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Crown Castle 年报与Fiber出售分析</w:t>
      </w:r>
    </w:p>
    <w:p>
      <w:r>
        <w:t>2025-01-01 — 2025-12-31　资料截止 2026-06-30　底稿 crown-castle-2025-public-3</w:t>
      </w:r>
    </w:p>
    <w:p>
      <w:r>
        <w:t>通过四表、附注、出售协议及信用协议分析交易会计、现金资源和债务约束，形成可复算的公开资料研究成果。</w:t>
      </w:r>
    </w:p>
    <w:p>
      <w:r>
        <w:t>方法与适用范围：下载官方 PDF，以 pypdf 提取；关键表逐页图像复核；原件 SHA-256 留存</w:t>
      </w:r>
    </w:p>
    <w:p>
      <w:r>
        <w:t>方法与适用范围：仅采用截止日前公开原件；分别保留原报、重列比较期和期后事项，禁止跨期倒填</w:t>
      </w:r>
    </w:p>
    <w:p>
      <w:r>
        <w:t>方法与适用范围：以共同底稿复算四表及交易调节；金额按原表百万美元记录，勾稽差额以美元列示</w:t>
      </w:r>
    </w:p>
    <w:p>
      <w:r>
        <w:t>方法与适用范围：已执行程序仅为公开资料阅读、版本对照和计算；内部审计证据列为待核请求</w:t>
      </w:r>
    </w:p>
    <w:p>
      <w:r>
        <w:t>方法与适用范围：读取出售备考、签署出售协议和新旧信贷定义，将备考假设、实际交割收付及尚未完成的计划分列。</w:t>
      </w:r>
    </w:p>
    <w:p>
      <w:r>
        <w:t>方法与适用范围：按S&amp;P Ratios and Adjustments 2025-12-17及Sector-Specific Corporate Methodology 2025-09-26数字基础设施章建立历史调整桥和条件路径；方法代理、实际现金和分析估计分列。</w:t>
      </w:r>
    </w:p>
    <w:p>
      <w:pPr>
        <w:pStyle w:val="Heading1"/>
      </w:pPr>
      <w:r>
        <w:t>核心判断</w:t>
      </w:r>
    </w:p>
    <w:p>
      <w:r>
        <w:t>[supported] 公司先测长期资产未折现可收回性，再测商誉。Fiber商誉4,958.00 百万USD全额减至0.00 百万USD；合并商誉由10,085.00 百万USD减至5,127.00 百万USD，剩余5,127.00 百万USD全部属于Towers。长期资产通过与Fiber商誉全额减值可同时成立。 [F01; ESECSEQ, E24IMPAIR, E24WRITE, EFASB, C_gw2024, C_fibergw]</w:t>
      </w:r>
    </w:p>
    <w:p>
      <w:r>
        <w:t>[supported] 原年末仍未达到持有待售；次年签约后列终止经营并重列比较列。2025 处置损失 1,575.00 百万USD = 准备 1,507.00 百万USD + 已发生售出成本 68.00 百万USD，处置税益 0.00 百万USD。 [F02; E25HFS, E24IMPAIR, ESECSALE, C_sale2025, C_preallow_netassets, C_postallow_netassets, ESPAPRICE, ESPASETTLE, EPROBS, EQ126INDEX]</w:t>
      </w:r>
    </w:p>
    <w:p>
      <w:r>
        <w:t>[supported] 合并净利润从 ‑3,903.00 百万USD 至 444.00 百万USD，变化 4,347.00 百万USD；持续净利润却变化 ‑59.00 百万USD，终止净损益变化 4,406.00 百万USD。权益由 ‑133.00 百万USD 经本期损益、股份及分配滚动至 ‑1,635.00 百万USD。 [F03; C_nimove, C_contnimove, C_discnimove, C_eqroll_2025, C_eqroll_2024, E25CF]</w:t>
      </w:r>
    </w:p>
    <w:p>
      <w:r>
        <w:t>范围：合并报表；明确区分持续经营、终止经营及契约借款人口径。会计基础：US GAAP。</w:t>
      </w:r>
    </w:p>
    <w:p>
      <w:r>
        <w:t>研究执行于 2026-10-03；信息截止严格为 2026-06-30。2026 年二季报及七月业绩公告虽涉及六月期末，因发表日晚于截止日排除。</w:t>
      </w:r>
    </w:p>
    <w:p>
      <w:r>
        <w:t>完整下载不等于逐页阅读。2025 年报已重点阅读审计意见、四表、政策/减值、终止经营、债务、税、现金及期后事项；2024 年报和新协议阅读范围见来源说明。</w:t>
      </w:r>
    </w:p>
    <w:p>
      <w:r>
        <w:t>未取得企业内部总账、估值模型、银行流水、合规证明、资金上划限制清单、最终交割结算及完整出售协议附件；不能形成审计保证或可支用现金/正式评级。</w:t>
      </w:r>
    </w:p>
    <w:p>
      <w:r>
        <w:t>2024 原报收入与 2025 年报重列比较收入差异，以及 2026 Q1 对 2025 Q1 待售准备回述差异尚未解释。</w:t>
      </w:r>
    </w:p>
    <w:p>
      <w:r>
        <w:t>现金流桥使用合并表内持续/终止组成项目，不能将其视为法律母公司单体现金流。</w:t>
      </w:r>
    </w:p>
    <w:p>
      <w:r>
        <w:t>US GAAP 条款编号来自 SEC 公司回复及公司政策，未将公司回复视为 SEC 批准，亦未声称已阅读全文 FASB Codification。</w:t>
      </w:r>
    </w:p>
    <w:p>
      <w:r>
        <w:t>公开备考BS假设2025-12-31完成、利润表假设2025-01-01完成，2026-05-01发表；其金额不属于2025已报实数或2026五月实际现金。出售协议后续修订未找到可识别文本，最初签署机制不能视为全部最终条款。</w:t>
      </w:r>
    </w:p>
    <w:p>
      <w:r>
        <w:t>S&amp;P桥包含披露支持的最佳估计及局部敏感性；未完成主权/行业、竞争地位、前瞻财务、支持与债项全形成链，不宣告机构级别。</w:t>
      </w:r>
    </w:p>
    <w:p>
      <w:r>
        <w:t>来源 SSEC, SFASB 的正式公布日期未核验；不得据此证明在信息截止日前已公开。当前披露内容可以继续分析，历史时点结论须补充公告时间证据。</w:t>
      </w:r>
    </w:p>
    <w:p>
      <w:pPr>
        <w:pStyle w:val="Heading1"/>
      </w:pPr>
      <w:r>
        <w:t>任务边界与实际程序</w:t>
      </w:r>
    </w:p>
    <w:p>
      <w:pPr>
        <w:pStyle w:val="Heading2"/>
      </w:pPr>
      <w:r>
        <w:t>公开资料程序与实际审计程序分界 [F12; supported]</w:t>
      </w:r>
    </w:p>
    <w:p>
      <w:r>
        <w:t>已完成官方原件取得、选定页阅读/视觉复核和四表复算；未声称执行银行函证、内部控制测试、合同全量测试或估值重建。</w:t>
      </w:r>
    </w:p>
    <w:p>
      <w:r>
        <w:t>PwC 已将 Fiber 出售作为关键审计事项并列明其工作；本研究可引用其报告存在，不能将审计师工作复制成自己已执行程序。来源可证实公司披露，内部测算与最终评级决定链仍需实证补足。</w:t>
      </w:r>
    </w:p>
    <w:p>
      <w:r>
        <w:t>证据：E25AUDIT, E25BS, E25HFS</w:t>
      </w:r>
    </w:p>
    <w:p>
      <w:r>
        <w:t>反证：尚无足以排除其他解释的额外证据</w:t>
      </w:r>
    </w:p>
    <w:p>
      <w:r>
        <w:t>其他解释：算术一致与披露齐备仍不能替代存在性、计价和完整性审计证据。</w:t>
      </w:r>
    </w:p>
    <w:p>
      <w:r>
        <w:t>判断改变条件：取得相反的正式更正或企业底稿后重新评估。</w:t>
      </w:r>
    </w:p>
    <w:p>
      <w:pPr>
        <w:pStyle w:val="Heading1"/>
      </w:pPr>
      <w:r>
        <w:t>US GAAP 减值顺序与出售分类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终止经营商誉减值费用 [discgw2024]</w:t>
            </w:r>
          </w:p>
        </w:tc>
        <w:tc>
          <w:tcPr>
            <w:tcW w:type="dxa" w:w="4386"/>
          </w:tcPr>
          <w:p>
            <w:r>
              <w:t>2024-12-31</w:t>
              <w:br/>
              <w:t>4,958.00 百万USD</w:t>
            </w:r>
          </w:p>
        </w:tc>
        <w:tc>
          <w:tcPr>
            <w:tcW w:type="dxa" w:w="1949"/>
          </w:tcPr>
          <w:p>
            <w:r>
              <w:t>E25HFS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合并商誉滚动 [C_gw2024]</w:t>
            </w:r>
          </w:p>
        </w:tc>
        <w:tc>
          <w:tcPr>
            <w:tcW w:type="dxa" w:w="4386"/>
          </w:tcPr>
          <w:p>
            <w:r>
              <w:t>2024-12-31</w:t>
              <w:br/>
              <w:t>5,127.00 百万USD</w:t>
            </w:r>
          </w:p>
        </w:tc>
        <w:tc>
          <w:tcPr>
            <w:tcW w:type="dxa" w:w="1949"/>
          </w:tcPr>
          <w:p>
            <w:r>
              <w:t>E24IMPAIR, E25HFS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处置损失组成 [C_sale2025]</w:t>
            </w:r>
          </w:p>
        </w:tc>
        <w:tc>
          <w:tcPr>
            <w:tcW w:type="dxa" w:w="4386"/>
          </w:tcPr>
          <w:p>
            <w:r>
              <w:t>2025-12-31</w:t>
              <w:br/>
              <w:t>1,575.00 百万USD</w:t>
            </w:r>
          </w:p>
        </w:tc>
        <w:tc>
          <w:tcPr>
            <w:tcW w:type="dxa" w:w="1949"/>
          </w:tcPr>
          <w:p>
            <w:r>
              <w:t>E25HFS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准备前终止净资产 [C_preallow_netassets]</w:t>
            </w:r>
          </w:p>
        </w:tc>
        <w:tc>
          <w:tcPr>
            <w:tcW w:type="dxa" w:w="4386"/>
          </w:tcPr>
          <w:p>
            <w:r>
              <w:t>2025-12-31</w:t>
              <w:br/>
              <w:t>9,918.00 百万USD</w:t>
            </w:r>
          </w:p>
        </w:tc>
        <w:tc>
          <w:tcPr>
            <w:tcW w:type="dxa" w:w="1949"/>
          </w:tcPr>
          <w:p>
            <w:r>
              <w:t>E25HFS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准备后终止净资产 [C_postallow_netassets]</w:t>
            </w:r>
          </w:p>
        </w:tc>
        <w:tc>
          <w:tcPr>
            <w:tcW w:type="dxa" w:w="4386"/>
          </w:tcPr>
          <w:p>
            <w:r>
              <w:t>2025-12-31</w:t>
              <w:br/>
              <w:t>8,411.00 百万USD</w:t>
            </w:r>
          </w:p>
        </w:tc>
        <w:tc>
          <w:tcPr>
            <w:tcW w:type="dxa" w:w="1949"/>
          </w:tcPr>
          <w:p>
            <w:r>
              <w:t>E25HFS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Fiber年初商誉 [fiber_gwopen]</w:t>
            </w:r>
          </w:p>
        </w:tc>
        <w:tc>
          <w:tcPr>
            <w:tcW w:type="dxa" w:w="4386"/>
          </w:tcPr>
          <w:p>
            <w:r>
              <w:t>2023-12-31</w:t>
              <w:br/>
              <w:t>4,958.00 百万USD</w:t>
            </w:r>
          </w:p>
        </w:tc>
        <w:tc>
          <w:tcPr>
            <w:tcW w:type="dxa" w:w="1949"/>
          </w:tcPr>
          <w:p>
            <w:r>
              <w:t>E24IMPAIR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Fiber年末商誉 [fiber_gwend]</w:t>
            </w:r>
          </w:p>
        </w:tc>
        <w:tc>
          <w:tcPr>
            <w:tcW w:type="dxa" w:w="4386"/>
          </w:tcPr>
          <w:p>
            <w:r>
              <w:t>2024-12-31</w:t>
              <w:br/>
              <w:t>0.00 百万USD</w:t>
            </w:r>
          </w:p>
        </w:tc>
        <w:tc>
          <w:tcPr>
            <w:tcW w:type="dxa" w:w="1949"/>
          </w:tcPr>
          <w:p>
            <w:r>
              <w:t>E24IMPAIR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Towers年末商誉 [towers_gwend]</w:t>
            </w:r>
          </w:p>
        </w:tc>
        <w:tc>
          <w:tcPr>
            <w:tcW w:type="dxa" w:w="4386"/>
          </w:tcPr>
          <w:p>
            <w:r>
              <w:t>2024-12-31</w:t>
              <w:br/>
              <w:t>5,127.00 百万USD</w:t>
            </w:r>
          </w:p>
        </w:tc>
        <w:tc>
          <w:tcPr>
            <w:tcW w:type="dxa" w:w="1949"/>
          </w:tcPr>
          <w:p>
            <w:r>
              <w:t>E24IMPAIR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Fiber商誉全额减至零 [C_fibergw]</w:t>
            </w:r>
          </w:p>
        </w:tc>
        <w:tc>
          <w:tcPr>
            <w:tcW w:type="dxa" w:w="4386"/>
          </w:tcPr>
          <w:p>
            <w:r>
              <w:t>2024-12-31</w:t>
              <w:br/>
              <w:t>0.00 百万USD</w:t>
            </w:r>
          </w:p>
        </w:tc>
        <w:tc>
          <w:tcPr>
            <w:tcW w:type="dxa" w:w="1949"/>
          </w:tcPr>
          <w:p>
            <w:r>
              <w:t>E24IMPAIR</w:t>
            </w:r>
          </w:p>
        </w:tc>
      </w:tr>
    </w:tbl>
    <w:p/>
    <w:p>
      <w:pPr>
        <w:pStyle w:val="Heading2"/>
      </w:pPr>
      <w:r>
        <w:t>同一 Fiber 单元为何长期资产通过、商誉减值 [F01; supported]</w:t>
      </w:r>
    </w:p>
    <w:p>
      <w:r>
        <w:t>公司先测长期资产未折现可收回性，再测商誉。Fiber商誉4,958.00 百万USD全额减至0.00 百万USD；合并商誉由10,085.00 百万USD减至5,127.00 百万USD，剩余5,127.00 百万USD全部属于Towers。长期资产通过与Fiber商誉全额减值可同时成立。</w:t>
      </w:r>
    </w:p>
    <w:p>
      <w:r>
        <w:t>资产组及报告单元均为 Fiber segment；未折现现金流门槛与报告单元公允价值测试不是同一计量。取消节点另有 106.00 百万USD 核销，故‘未触发资产组减值’不能表述为无核销。估值数值重做仍缺预测、资产组账面调整、折现/退出假设与敏感性。</w:t>
      </w:r>
    </w:p>
    <w:p>
      <w:r>
        <w:t>证据：ESECSEQ, E24IMPAIR, E24WRITE, EFASB, C_gw2024, C_fibergw</w:t>
      </w:r>
    </w:p>
    <w:p>
      <w:r>
        <w:t>反证：missing_discount, missing_recoverability</w:t>
      </w:r>
    </w:p>
    <w:p>
      <w:r>
        <w:t>其他解释：估值顺序披露一致，并不证明管理层预测可实现；未折现余量大小尚不明。</w:t>
      </w:r>
    </w:p>
    <w:p>
      <w:r>
        <w:t>判断改变条件：取得模型后若测试单元、顺序、现金流或计量调整不符，应重做减值及税/权益影响，不能只改商誉一个数字。</w:t>
      </w:r>
    </w:p>
    <w:p>
      <w:pPr>
        <w:pStyle w:val="Heading2"/>
      </w:pPr>
      <w:r>
        <w:t>由持有使用到待售及终止经营 [F02; supported]</w:t>
      </w:r>
    </w:p>
    <w:p>
      <w:r>
        <w:t>原年末仍未达到持有待售；次年签约后列终止经营并重列比较列。2025 处置损失 1,575.00 百万USD = 准备 1,507.00 百万USD + 已发生售出成本 68.00 百万USD，处置税益 0.00 百万USD。</w:t>
      </w:r>
    </w:p>
    <w:p>
      <w:r>
        <w:t>已发生费用不同于支付现金；持有待售后停止折旧摊销，使终止业务跨年营业表现不可直接解读为经营改善。净资产准备前 9,918.00 百万USD、准备后 8,411.00 百万USD 均可复算，但总价与净资产差额缺估计售出成本/价调逐项表，不能臆认其性质。</w:t>
        <w:br/>
        <w:br/>
        <w:t>已取得最初签署协议§2.2–2.7价格调整及结算机制（两业务基价合计8,500.00 百万USD），也取得2026五月发表的公开备考；它们未解释2025年末上述89差额，不以五月初步124或备考127倒填年末计量。</w:t>
      </w:r>
    </w:p>
    <w:p>
      <w:r>
        <w:t>证据：E25HFS, E24IMPAIR, ESECSALE, C_sale2025, C_preallow_netassets, C_postallow_netassets, ESPAPRICE, ESPASETTLE, EPROBS, EQ126INDEX</w:t>
      </w:r>
    </w:p>
    <w:p>
      <w:r>
        <w:t>反证：尚无足以排除其他解释的额外证据</w:t>
      </w:r>
    </w:p>
    <w:p>
      <w:r>
        <w:t>其他解释：总价和净资产的剩余差可能涉及预计售出成本或交易调整；未取得明细前不定性。</w:t>
      </w:r>
    </w:p>
    <w:p>
      <w:r>
        <w:t>判断改变条件：取得分类日内部备忘录、未公开附表及估计净售价逐项测算，核对公开签署版本后实际适用的修订；解释2025年末89差额后再更新计量判断。</w:t>
      </w:r>
    </w:p>
    <w:p>
      <w:pPr>
        <w:pStyle w:val="Heading1"/>
      </w:pPr>
      <w:r>
        <w:t>四表勾稽、税与收益质量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资产负债恒等式 [C_bs_2025]</w:t>
            </w:r>
          </w:p>
        </w:tc>
        <w:tc>
          <w:tcPr>
            <w:tcW w:type="dxa" w:w="4386"/>
          </w:tcPr>
          <w:p>
            <w:r>
              <w:t>2025-12-31</w:t>
              <w:br/>
              <w:t>31,518.00 百万USD</w:t>
            </w:r>
          </w:p>
        </w:tc>
        <w:tc>
          <w:tcPr>
            <w:tcW w:type="dxa" w:w="1949"/>
          </w:tcPr>
          <w:p>
            <w:r>
              <w:t>E25BS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从合并净利润到 CFO [C_cfo_2025]</w:t>
            </w:r>
          </w:p>
        </w:tc>
        <w:tc>
          <w:tcPr>
            <w:tcW w:type="dxa" w:w="4386"/>
          </w:tcPr>
          <w:p>
            <w:r>
              <w:t>2025-12-31</w:t>
              <w:br/>
              <w:t>3,057.00 百万USD</w:t>
            </w:r>
          </w:p>
        </w:tc>
        <w:tc>
          <w:tcPr>
            <w:tcW w:type="dxa" w:w="1949"/>
          </w:tcPr>
          <w:p>
            <w:r>
              <w:t>E25CF, E25PL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权益期初至期末 [C_eqroll_2025]</w:t>
            </w:r>
          </w:p>
        </w:tc>
        <w:tc>
          <w:tcPr>
            <w:tcW w:type="dxa" w:w="4386"/>
          </w:tcPr>
          <w:p>
            <w:r>
              <w:t>2025-12-31</w:t>
              <w:br/>
              <w:t>‑1,635.00 百万USD</w:t>
            </w:r>
          </w:p>
        </w:tc>
        <w:tc>
          <w:tcPr>
            <w:tcW w:type="dxa" w:w="1949"/>
          </w:tcPr>
          <w:p>
            <w:r>
              <w:t>E25EQ, E25PL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持续税额调节 [C_tax_2025]</w:t>
            </w:r>
          </w:p>
        </w:tc>
        <w:tc>
          <w:tcPr>
            <w:tcW w:type="dxa" w:w="4386"/>
          </w:tcPr>
          <w:p>
            <w:r>
              <w:t>2025-12-31</w:t>
              <w:br/>
              <w:t>‑16.00 百万USD</w:t>
            </w:r>
          </w:p>
        </w:tc>
        <w:tc>
          <w:tcPr>
            <w:tcW w:type="dxa" w:w="1949"/>
          </w:tcPr>
          <w:p>
            <w:r>
              <w:t>E25TAX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合并净利润变化 [C_nimove]</w:t>
            </w:r>
          </w:p>
        </w:tc>
        <w:tc>
          <w:tcPr>
            <w:tcW w:type="dxa" w:w="4386"/>
          </w:tcPr>
          <w:p>
            <w:r>
              <w:t>2025-12-31</w:t>
              <w:br/>
              <w:t>4,347.00 百万USD</w:t>
            </w:r>
          </w:p>
        </w:tc>
        <w:tc>
          <w:tcPr>
            <w:tcW w:type="dxa" w:w="1949"/>
          </w:tcPr>
          <w:p>
            <w:r>
              <w:t>E25PL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持续净利润变化 [C_contnimove]</w:t>
            </w:r>
          </w:p>
        </w:tc>
        <w:tc>
          <w:tcPr>
            <w:tcW w:type="dxa" w:w="4386"/>
          </w:tcPr>
          <w:p>
            <w:r>
              <w:t>2025-12-31</w:t>
              <w:br/>
              <w:t>‑59.00 百万USD</w:t>
            </w:r>
          </w:p>
        </w:tc>
        <w:tc>
          <w:tcPr>
            <w:tcW w:type="dxa" w:w="1949"/>
          </w:tcPr>
          <w:p>
            <w:r>
              <w:t>E25PL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2024 重列后持续加终止收入 [C_recastrev2024]</w:t>
            </w:r>
          </w:p>
        </w:tc>
        <w:tc>
          <w:tcPr>
            <w:tcW w:type="dxa" w:w="4386"/>
          </w:tcPr>
          <w:p>
            <w:r>
              <w:t>2024-12-31</w:t>
              <w:br/>
              <w:t>6,570.00 百万USD</w:t>
            </w:r>
          </w:p>
        </w:tc>
        <w:tc>
          <w:tcPr>
            <w:tcW w:type="dxa" w:w="1949"/>
          </w:tcPr>
          <w:p>
            <w:r>
              <w:t>E25HFS, E25PL</w:t>
            </w:r>
          </w:p>
        </w:tc>
      </w:tr>
    </w:tbl>
    <w:p/>
    <w:p>
      <w:pPr>
        <w:pStyle w:val="Heading2"/>
      </w:pPr>
      <w:r>
        <w:t>利润反弹、非现金减值与负权益须分开 [F03; supported]</w:t>
      </w:r>
    </w:p>
    <w:p>
      <w:r>
        <w:t>合并净利润从 ‑3,903.00 百万USD 至 444.00 百万USD，变化 4,347.00 百万USD；持续净利润却变化 ‑59.00 百万USD，终止净损益变化 4,406.00 百万USD。权益由 ‑133.00 百万USD 经本期损益、股份及分配滚动至 ‑1,635.00 百万USD。</w:t>
      </w:r>
    </w:p>
    <w:p>
      <w:r>
        <w:t>商誉减值、处置减值和停折旧影响利润，现金流表另作去除及调整。权益亏绌由累计结果和分配共同形成；不能从负权益直接宣布无偿债能力，也不能用非现金损失解释掉实际股利与资本支出。</w:t>
      </w:r>
    </w:p>
    <w:p>
      <w:r>
        <w:t>证据：C_nimove, C_contnimove, C_discnimove, C_eqroll_2025, C_eqroll_2024, E25CF</w:t>
      </w:r>
    </w:p>
    <w:p>
      <w:r>
        <w:t>反证：尚无足以排除其他解释的额外证据</w:t>
      </w:r>
    </w:p>
    <w:p>
      <w:r>
        <w:t>其他解释：持续净利润仍受融资成本及非现金会计项目影响；需正常化业务现金与未来债务服务才形成信用判断。</w:t>
      </w:r>
    </w:p>
    <w:p>
      <w:r>
        <w:t>判断改变条件：若分配合法性、可持续 CFO 或售后业务现金预测恶化，主体流动性判断可能转弱。</w:t>
      </w:r>
    </w:p>
    <w:p>
      <w:pPr>
        <w:pStyle w:val="Heading2"/>
      </w:pPr>
      <w:r>
        <w:t>四表和税项可复算，但现金分层不同 [F04; supported]</w:t>
      </w:r>
    </w:p>
    <w:p>
      <w:r>
        <w:t>2025 合并 CFO 3,057.00 百万USD、CFI ‑1,158.00 百万USD、CFF ‑1,886.00 百万USD 合计 13.00 百万USD，年初现金 295.00 百万USD 至年末 308.00 百万USD。税调节复算持续税费 ‑16.00 百万USD，REIT 不等于所有主体免税。</w:t>
      </w:r>
    </w:p>
    <w:p>
      <w:r>
        <w:t>四表主要加总、净利润接现金流、净利润/OCI接权益、资产=负债+权益均已复算。股份支付权益净额与持续经营股份支付现金流调整属于不同口径；上年宣告分配和实付差额不能擅自认作应付股利增减。</w:t>
      </w:r>
    </w:p>
    <w:p>
      <w:r>
        <w:t>证据：E25BS, E25PL, E25CF, E25EQ, E25TAX, C_cfo_2025, C_tax_2025, C_bs_2025</w:t>
      </w:r>
    </w:p>
    <w:p>
      <w:r>
        <w:t>反证：尚无足以排除其他解释的额外证据</w:t>
      </w:r>
    </w:p>
    <w:p>
      <w:r>
        <w:t>其他解释：算术通过只证明所列公开数字一致，不能验证交易发生、计价或完整性。</w:t>
      </w:r>
    </w:p>
    <w:p>
      <w:r>
        <w:t>判断改变条件：取得相反的正式更正或企业底稿后重新评估。</w:t>
      </w:r>
    </w:p>
    <w:p>
      <w:pPr>
        <w:pStyle w:val="Heading2"/>
      </w:pPr>
      <w:r>
        <w:t>公开版本差异保留而非强行平账 [F10; unresolved]</w:t>
      </w:r>
    </w:p>
    <w:p>
      <w:r>
        <w:t>2024 原报合并收入 6,568.00 百万USD，次年重列持续加终止为 6,570.00 百万USD；税前损益、税项及净利润仍精确勾稽。上年一季准备原报 819.00 百万USD，后年脚注回述 830.00 百万USD，但 SEC 桥支持前者。</w:t>
      </w:r>
    </w:p>
    <w:p>
      <w:r>
        <w:t>原 Tower segment 不应无解释地当作重列持续业务；收入差异可能源于范围/抵销重分类。上年准备回述也可能是标签或文字错误，但没有原件证明前不选定原因。两项在计算结果中保留未解释差异。</w:t>
      </w:r>
    </w:p>
    <w:p>
      <w:r>
        <w:t>证据：E24ORIG, E25PL, E25HFS, EQ125, ESECSALE, EQ126HFS, C_recastrev2024, C_priorallow</w:t>
      </w:r>
    </w:p>
    <w:p>
      <w:r>
        <w:t>反证：尚无足以排除其他解释的额外证据</w:t>
      </w:r>
    </w:p>
    <w:p>
      <w:r>
        <w:t>其他解释：收入范围与抵销重分类；比较脚注笔误或未解释口径变化</w:t>
      </w:r>
    </w:p>
    <w:p>
      <w:r>
        <w:t>判断改变条件：取得正式更正或管理层原报→重列逐项桥及上年准备滚动表后，才消除差异。</w:t>
      </w:r>
    </w:p>
    <w:p>
      <w:pPr>
        <w:pStyle w:val="Heading1"/>
      </w:pPr>
      <w:r>
        <w:t>现金、债务与契约资源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持续经营非受限现金 [cash2025]</w:t>
            </w:r>
          </w:p>
        </w:tc>
        <w:tc>
          <w:tcPr>
            <w:tcW w:type="dxa" w:w="4386"/>
          </w:tcPr>
          <w:p>
            <w:r>
              <w:t>2025-12-31</w:t>
              <w:br/>
              <w:t>99.00 百万USD</w:t>
            </w:r>
          </w:p>
        </w:tc>
        <w:tc>
          <w:tcPr>
            <w:tcW w:type="dxa" w:w="1949"/>
          </w:tcPr>
          <w:p>
            <w:r>
              <w:t>E25BS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CF 期末全部现金及受限现金 [cashend2025]</w:t>
            </w:r>
          </w:p>
        </w:tc>
        <w:tc>
          <w:tcPr>
            <w:tcW w:type="dxa" w:w="4386"/>
          </w:tcPr>
          <w:p>
            <w:r>
              <w:t>2025-12-31</w:t>
              <w:br/>
              <w:t>308.00 百万USD</w:t>
            </w:r>
          </w:p>
        </w:tc>
        <w:tc>
          <w:tcPr>
            <w:tcW w:type="dxa" w:w="1949"/>
          </w:tcPr>
          <w:p>
            <w:r>
              <w:t>E25CF, E25CASH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持续经营 CFO [C_contcfo_2025]</w:t>
            </w:r>
          </w:p>
        </w:tc>
        <w:tc>
          <w:tcPr>
            <w:tcW w:type="dxa" w:w="4386"/>
          </w:tcPr>
          <w:p>
            <w:r>
              <w:t>2025-12-31</w:t>
              <w:br/>
              <w:t>1,872.00 百万USD</w:t>
            </w:r>
          </w:p>
        </w:tc>
        <w:tc>
          <w:tcPr>
            <w:tcW w:type="dxa" w:w="1949"/>
          </w:tcPr>
          <w:p>
            <w:r>
              <w:t>E25CF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 持续 CFO 减持续资本支出及集团已付分配 [C_cashdiv_2025]</w:t>
            </w:r>
          </w:p>
        </w:tc>
        <w:tc>
          <w:tcPr>
            <w:tcW w:type="dxa" w:w="4386"/>
          </w:tcPr>
          <w:p>
            <w:r>
              <w:t>2025-12-31</w:t>
              <w:br/>
              <w:t>‑390.00 百万USD</w:t>
            </w:r>
          </w:p>
        </w:tc>
        <w:tc>
          <w:tcPr>
            <w:tcW w:type="dxa" w:w="1949"/>
          </w:tcPr>
          <w:p>
            <w:r>
              <w:t>E25CF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年末未提额度扣 CP 备用占用观察 [C_oldnetavailability]</w:t>
            </w:r>
          </w:p>
        </w:tc>
        <w:tc>
          <w:tcPr>
            <w:tcW w:type="dxa" w:w="4386"/>
          </w:tcPr>
          <w:p>
            <w:r>
              <w:t>2025-12-31</w:t>
              <w:br/>
              <w:t>4,084.00 百万USD</w:t>
            </w:r>
          </w:p>
        </w:tc>
        <w:tc>
          <w:tcPr>
            <w:tcW w:type="dxa" w:w="1949"/>
          </w:tcPr>
          <w:p>
            <w:r>
              <w:t>E25DEBT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持续经营债务及其他义务账面值 [debt2025]</w:t>
            </w:r>
          </w:p>
        </w:tc>
        <w:tc>
          <w:tcPr>
            <w:tcW w:type="dxa" w:w="4386"/>
          </w:tcPr>
          <w:p>
            <w:r>
              <w:t>2025-12-31</w:t>
              <w:br/>
              <w:t>24,337.00 百万USD</w:t>
            </w:r>
          </w:p>
        </w:tc>
        <w:tc>
          <w:tcPr>
            <w:tcW w:type="dxa" w:w="1949"/>
          </w:tcPr>
          <w:p>
            <w:r>
              <w:t>E25DEBT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旧协议实际总净杠杆 [leverage2025]</w:t>
            </w:r>
          </w:p>
        </w:tc>
        <w:tc>
          <w:tcPr>
            <w:tcW w:type="dxa" w:w="4386"/>
          </w:tcPr>
          <w:p>
            <w:r>
              <w:t>2025-12-31</w:t>
              <w:br/>
              <w:t>5.90 倍</w:t>
            </w:r>
          </w:p>
        </w:tc>
        <w:tc>
          <w:tcPr>
            <w:tcW w:type="dxa" w:w="1949"/>
          </w:tcPr>
          <w:p>
            <w:r>
              <w:t>E25COV</w:t>
            </w:r>
          </w:p>
        </w:tc>
      </w:tr>
    </w:tbl>
    <w:p/>
    <w:p>
      <w:pPr>
        <w:pStyle w:val="Heading2"/>
      </w:pPr>
      <w:r>
        <w:t>持续现金覆盖及备用资源 [F05; supported]</w:t>
      </w:r>
    </w:p>
    <w:p>
      <w:r>
        <w:t>年末全部现金 308.00 百万USD 含持续受限及终止现金；持续非受限现金仅 99.00 百万USD。持续 CFO 减资本支出 1,690.00 百万USD，再与集团分配比较为 ‑390.00 百万USD；旧额度扣 CP 备用占用观察 4,084.00 百万USD。</w:t>
      </w:r>
    </w:p>
    <w:p>
      <w:r>
        <w:t>把合并受限/终止现金、旧额度及 CP 发行能力全部相加会重复或夸大资源。持续业务覆盖缺口只是一项压力观察，非母公司现金缺口精确证明；还需要费用、租约、资本承诺、到期时间及上划限制。</w:t>
      </w:r>
    </w:p>
    <w:p>
      <w:r>
        <w:t>证据：E25CASH, E25DEBT, C_cashall_2025, C_contcfo_2025, C_cashdiv_2025, C_oldnetavailability</w:t>
      </w:r>
    </w:p>
    <w:p>
      <w:r>
        <w:t>反证：C_disccashflow_2025, missing_parent_cash</w:t>
      </w:r>
    </w:p>
    <w:p>
      <w:r>
        <w:t>其他解释：资产出售确已提供期后资金，但不得倒填为年末已持有现金。</w:t>
      </w:r>
    </w:p>
    <w:p>
      <w:r>
        <w:t>判断改变条件：取得法律实体银行确认、受限明细、现金转移限制及滚动资金计划后，才可形成母公司可用流动性和覆盖倍数。</w:t>
      </w:r>
    </w:p>
    <w:p>
      <w:pPr>
        <w:pStyle w:val="Heading2"/>
      </w:pPr>
      <w:r>
        <w:t>账面债务、契约本金与债项法律结构 [F06; conditional]</w:t>
      </w:r>
    </w:p>
    <w:p>
      <w:r>
        <w:t>持续经营债务 24,337.00 百万USD 与流动/长期及担保/无担保分类勾稽。塔票据账面 748.00 百万USD 与本金 750.00 百万USD 不同；担保 PPE 账面 610.00 百万USD 不能当作回收价值。</w:t>
      </w:r>
    </w:p>
    <w:p>
      <w:r>
        <w:t>CP 实际短期限与长期报表分类须分开；塔票据预期还款日后的现金清扫/加息条款早于最终到期日。SPE 债务偿还来源、担保物与可贡献分配的非义务主体并非一组。主体能力→法律义务人→担保/优先顺位→现金隔离与契约→回收及债项调整，链条仍缺法律/估值证据，故不输出债项字母。 已取得新旧主信贷原文；旧Total Indebtedness/§1.04与新强制全额本金文字不同，不能追溯套用。票据/SPE原始契约全量核查尚未完成，后续应先取官方公开原件，仅把无法公开取得的补充条款/证书/估值列为内部请求。</w:t>
      </w:r>
    </w:p>
    <w:p>
      <w:r>
        <w:t>证据：E25DEBT, E25SPE, C_debt2025, C_debtsec2025, EOLDCREDIT, ECREDIT</w:t>
      </w:r>
    </w:p>
    <w:p>
      <w:r>
        <w:t>反证：尚无足以排除其他解释的额外证据</w:t>
      </w:r>
    </w:p>
    <w:p>
      <w:r>
        <w:t>其他解释：即使发行人经营风险相同，母公司无担保票据与隔离塔资产票据仍可能面临不同损失路径。</w:t>
      </w:r>
    </w:p>
    <w:p>
      <w:r>
        <w:t>判断改变条件：按具体票据先补读已公开契约，再取得未公开补充担保/隔离结构、DSCR/现金陷阱证书与回收估值；不把公开可取得协议泛称内部缺口。</w:t>
      </w:r>
    </w:p>
    <w:p>
      <w:pPr>
        <w:pStyle w:val="Heading2"/>
      </w:pPr>
      <w:r>
        <w:t>旧协议遵约比率不等于通用债务/EBITDA [F07; supported]</w:t>
      </w:r>
    </w:p>
    <w:p>
      <w:r>
        <w:t>旧协议净杠杆 5.90 倍 对限额 6.50 倍，比率余量 0.60 倍；高级担保杠杆 0.20 倍 对 3.50 倍。</w:t>
      </w:r>
    </w:p>
    <w:p>
      <w:r>
        <w:t>旧§1.01/1.04/1.05/6.09/6.10及EBITDA、净利、债务和现金定义已实际补读。净利定义保留待售但尚未处置组成部分，因此GAAP终止经营并不证明交割前Fiber已经剔除。历史租赁冻结、指定评级触发的保障要求、重大出售及偿债备考均有原文；缺的是定义调整的逐项数值和已签合规证书，0.6倍不能直接变成借款美元。</w:t>
      </w:r>
    </w:p>
    <w:p>
      <w:r>
        <w:t>证据：E25COV, C_headroom2025, EOLDCREDIT, EOLDVERSION, EQ126INDEX</w:t>
      </w:r>
    </w:p>
    <w:p>
      <w:r>
        <w:t>反证：missing_covenant_ebitda</w:t>
      </w:r>
    </w:p>
    <w:p>
      <w:r>
        <w:t>其他解释：本案只复核公开报告及原条款，不独立确认公司所有遵约指标。</w:t>
      </w:r>
    </w:p>
    <w:p>
      <w:r>
        <w:t>判断改变条件：取得签署合规证书、定义逐项调整及同日债务/现金明细后重算。</w:t>
      </w:r>
    </w:p>
    <w:p>
      <w:pPr>
        <w:pStyle w:val="Heading2"/>
      </w:pPr>
      <w:r>
        <w:t>DISH 是收益质量与可收回性反证 [F11; conditional]</w:t>
      </w:r>
    </w:p>
    <w:p>
      <w:r>
        <w:t>年末 DISH 应收净敞口公司约报 165.00 百万USD；公司未因期后违约争议计提相关准备，并暂停后续相关收入确认。</w:t>
      </w:r>
    </w:p>
    <w:p>
      <w:r>
        <w:t>管理层认为可收回是一项判断；争议中的未来合同请求不是已到手现金。已签租约、直线确认的应收与现金收取节奏不同，是现金质量及预测的风险入口。</w:t>
      </w:r>
    </w:p>
    <w:p>
      <w:r>
        <w:t>证据：EDISH</w:t>
      </w:r>
    </w:p>
    <w:p>
      <w:r>
        <w:t>反证：尚无足以排除其他解释的额外证据</w:t>
      </w:r>
    </w:p>
    <w:p>
      <w:r>
        <w:t>其他解释：最终法律回收、和解及抵销金额可能不同于公司当前主张。</w:t>
      </w:r>
    </w:p>
    <w:p>
      <w:r>
        <w:t>判断改变条件：取得法律意见、债务人能力与期后收款/和解证据，再重估应收损失、收入预测与信用压力。</w:t>
      </w:r>
    </w:p>
    <w:p>
      <w:pPr>
        <w:pStyle w:val="Heading1"/>
      </w:pPr>
      <w:r>
        <w:t>截至六月已知期后事项及新协议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待售准备自年末到三月滚动 [C_qallow]</w:t>
            </w:r>
          </w:p>
        </w:tc>
        <w:tc>
          <w:tcPr>
            <w:tcW w:type="dxa" w:w="4386"/>
          </w:tcPr>
          <w:p>
            <w:r>
              <w:t>2026-03-31</w:t>
              <w:br/>
              <w:t>1,836.00 百万USD</w:t>
            </w:r>
          </w:p>
        </w:tc>
        <w:tc>
          <w:tcPr>
            <w:tcW w:type="dxa" w:w="1949"/>
          </w:tcPr>
          <w:p>
            <w:r>
              <w:t>E25HFS, EQ126HFS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交割初步实际价款桥 [C_saleproceeds]</w:t>
            </w:r>
          </w:p>
        </w:tc>
        <w:tc>
          <w:tcPr>
            <w:tcW w:type="dxa" w:w="4386"/>
          </w:tcPr>
          <w:p>
            <w:r>
              <w:t>2026-05-01</w:t>
              <w:br/>
              <w:t>8,376.00 百万USD</w:t>
            </w:r>
          </w:p>
        </w:tc>
        <w:tc>
          <w:tcPr>
            <w:tcW w:type="dxa" w:w="1949"/>
          </w:tcPr>
          <w:p>
            <w:r>
              <w:t>EQ126SALE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交割价款扣当时支付成本 [C_salecashcost]</w:t>
            </w:r>
          </w:p>
        </w:tc>
        <w:tc>
          <w:tcPr>
            <w:tcW w:type="dxa" w:w="4386"/>
          </w:tcPr>
          <w:p>
            <w:r>
              <w:t>2026-05-01</w:t>
              <w:br/>
              <w:t>8,302.00 百万USD</w:t>
            </w:r>
          </w:p>
        </w:tc>
        <w:tc>
          <w:tcPr>
            <w:tcW w:type="dxa" w:w="1949"/>
          </w:tcPr>
          <w:p>
            <w:r>
              <w:t>EQ126SALE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五月一日实际还债（约） [debtrepaid]</w:t>
            </w:r>
          </w:p>
        </w:tc>
        <w:tc>
          <w:tcPr>
            <w:tcW w:type="dxa" w:w="4386"/>
          </w:tcPr>
          <w:p>
            <w:r>
              <w:t>2026-05-01</w:t>
              <w:br/>
              <w:t>3,300.00 百万USD</w:t>
            </w:r>
          </w:p>
        </w:tc>
        <w:tc>
          <w:tcPr>
            <w:tcW w:type="dxa" w:w="1949"/>
          </w:tcPr>
          <w:p>
            <w:r>
              <w:t>EQ126SALE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计划随后随到期偿还 CP（约） [plan_cp]</w:t>
            </w:r>
          </w:p>
        </w:tc>
        <w:tc>
          <w:tcPr>
            <w:tcW w:type="dxa" w:w="4386"/>
          </w:tcPr>
          <w:p>
            <w:r>
              <w:t>2026-05-01</w:t>
              <w:br/>
              <w:t>1,800.00 百万USD</w:t>
            </w:r>
          </w:p>
        </w:tc>
        <w:tc>
          <w:tcPr>
            <w:tcW w:type="dxa" w:w="1949"/>
          </w:tcPr>
          <w:p>
            <w:r>
              <w:t>EQ126SALE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计划 2026 其他还债（约） [plan_otherdebt]</w:t>
            </w:r>
          </w:p>
        </w:tc>
        <w:tc>
          <w:tcPr>
            <w:tcW w:type="dxa" w:w="4386"/>
          </w:tcPr>
          <w:p>
            <w:r>
              <w:t>2026-05-01</w:t>
              <w:br/>
              <w:t>2,100.00 百万USD</w:t>
            </w:r>
          </w:p>
        </w:tc>
        <w:tc>
          <w:tcPr>
            <w:tcW w:type="dxa" w:w="1949"/>
          </w:tcPr>
          <w:p>
            <w:r>
              <w:t>EQ126SALE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新循环协议总承诺 [newcommit]</w:t>
            </w:r>
          </w:p>
        </w:tc>
        <w:tc>
          <w:tcPr>
            <w:tcW w:type="dxa" w:w="4386"/>
          </w:tcPr>
          <w:p>
            <w:r>
              <w:t>2026-05-01</w:t>
              <w:br/>
              <w:t>4,500.00 百万USD</w:t>
            </w:r>
          </w:p>
        </w:tc>
        <w:tc>
          <w:tcPr>
            <w:tcW w:type="dxa" w:w="1949"/>
          </w:tcPr>
          <w:p>
            <w:r>
              <w:t>ECREDIT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新承诺扣生效时信用证 [C_newnetLC]</w:t>
            </w:r>
          </w:p>
        </w:tc>
        <w:tc>
          <w:tcPr>
            <w:tcW w:type="dxa" w:w="4386"/>
          </w:tcPr>
          <w:p>
            <w:r>
              <w:t>2026-05-01</w:t>
              <w:br/>
              <w:t>4,460.60 百万USD</w:t>
            </w:r>
          </w:p>
        </w:tc>
        <w:tc>
          <w:tcPr>
            <w:tcW w:type="dxa" w:w="1949"/>
          </w:tcPr>
          <w:p>
            <w:r>
              <w:t>ECREDIT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公开备考价格—费用—偿债—剩余现金 [C_pf_cashadd]</w:t>
            </w:r>
          </w:p>
        </w:tc>
        <w:tc>
          <w:tcPr>
            <w:tcW w:type="dxa" w:w="4386"/>
          </w:tcPr>
          <w:p>
            <w:r>
              <w:t>2025-12-31</w:t>
              <w:br/>
              <w:t>6,247.00 百万USD</w:t>
            </w:r>
          </w:p>
        </w:tc>
        <w:tc>
          <w:tcPr>
            <w:tcW w:type="dxa" w:w="1949"/>
          </w:tcPr>
          <w:p>
            <w:r>
              <w:t>EPROBASIS, EPROBS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公开备考现金基数加交易调整 [C_pf_cash]</w:t>
            </w:r>
          </w:p>
        </w:tc>
        <w:tc>
          <w:tcPr>
            <w:tcW w:type="dxa" w:w="4386"/>
          </w:tcPr>
          <w:p>
            <w:r>
              <w:t>2025-12-31</w:t>
              <w:br/>
              <w:t>6,346.00 百万USD</w:t>
            </w:r>
          </w:p>
        </w:tc>
        <w:tc>
          <w:tcPr>
            <w:tcW w:type="dxa" w:w="1949"/>
          </w:tcPr>
          <w:p>
            <w:r>
              <w:t>EPROBASIS, EPROBS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公开备考历史权益加综合调整 [C_pf_equity]</w:t>
            </w:r>
          </w:p>
        </w:tc>
        <w:tc>
          <w:tcPr>
            <w:tcW w:type="dxa" w:w="4386"/>
          </w:tcPr>
          <w:p>
            <w:r>
              <w:t>2025-12-31</w:t>
              <w:br/>
              <w:t>‑1,796.00 百万USD</w:t>
            </w:r>
          </w:p>
        </w:tc>
        <w:tc>
          <w:tcPr>
            <w:tcW w:type="dxa" w:w="1949"/>
          </w:tcPr>
          <w:p>
            <w:r>
              <w:t>EPROBASIS, EPROBS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公开备考利息行 [C_pf_interest]</w:t>
            </w:r>
          </w:p>
        </w:tc>
        <w:tc>
          <w:tcPr>
            <w:tcW w:type="dxa" w:w="4386"/>
          </w:tcPr>
          <w:p>
            <w:r>
              <w:t>2025-12-31</w:t>
              <w:br/>
              <w:t>‑887.00 百万USD</w:t>
            </w:r>
          </w:p>
        </w:tc>
        <w:tc>
          <w:tcPr>
            <w:tcW w:type="dxa" w:w="1949"/>
          </w:tcPr>
          <w:p>
            <w:r>
              <w:t>EPROBASIS, EPROPL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公开备考持续经营利润 [C_pf_contni]</w:t>
            </w:r>
          </w:p>
        </w:tc>
        <w:tc>
          <w:tcPr>
            <w:tcW w:type="dxa" w:w="4386"/>
          </w:tcPr>
          <w:p>
            <w:r>
              <w:t>2025-12-31</w:t>
              <w:br/>
              <w:t>1,188.00 百万USD</w:t>
            </w:r>
          </w:p>
        </w:tc>
        <w:tc>
          <w:tcPr>
            <w:tcW w:type="dxa" w:w="1949"/>
          </w:tcPr>
          <w:p>
            <w:r>
              <w:t>EPROBASIS, EPROPL</w:t>
            </w:r>
          </w:p>
        </w:tc>
      </w:tr>
    </w:tbl>
    <w:p/>
    <w:p>
      <w:pPr>
        <w:pStyle w:val="Heading2"/>
      </w:pPr>
      <w:r>
        <w:t>期后交割现金不回写旧报表 [F08; supported]</w:t>
      </w:r>
    </w:p>
    <w:p>
      <w:r>
        <w:t>五月实际交割：合同总价 8,500.00 百万USD 减初步价调 124.00 百万USD，复算价款 8,376.00 百万USD；另付约 74.00 百万USD 先前已计提费用。实际还债约 3,300.00 百万USD；随后 CP 1,800.00 百万USD、其他还债 2,100.00 百万USD、回购 1,000.00 百万USD 为计划。</w:t>
        <w:br/>
        <w:br/>
        <w:t>另有公开备考：8,500.00 百万USD−124.00 百万USD−127.00 百万USD−2,002.00 百万USD=6,247.00 百万USD，连历史现金99.00 百万USD至6,346.00 百万USD；这是假设2025年末已出售的表，不是五月实际期末现金。</w:t>
      </w:r>
    </w:p>
    <w:p>
      <w:r>
        <w:t>三月待售准备 1,836.00 百万USD = 年末 1,507.00 百万USD + 当季损失 345.00 百万USD − 当季费用 16.00 百万USD。五月完成未调整三月报表；交割现金与确认费用时间不同。七月公布的第二季度实绩不在截止信息集中，最终处置损益仍为待核。</w:t>
        <w:br/>
        <w:br/>
        <w:t>2026-05-01发表的备考以2025-12-31为BS假设日、2025-01-01为损益假设日：权益‑1,635.00 百万USD经综合调整‑161.00 百万USD至‑1,796.00 百万USD，持续经营利润1,103.00 百万USD+85.00 百万USD=1,188.00 百万USD。‑161不是单独处置损失；2,002为年末本金假设偿债，127为估计交易及留任成本，均不得替代五月实际3,300还款或约74已计提成本支付。</w:t>
      </w:r>
    </w:p>
    <w:p>
      <w:r>
        <w:t>证据：EQ126SALE, ESALE, C_saleproceeds, C_salecashcost, C_qallow, EPROBASIS, EPROBS, EPROPL, ESALEVERSION, ESPASETTLE, C_pf_cashadd, C_pf_equity, C_pf_contni</w:t>
      </w:r>
    </w:p>
    <w:p>
      <w:r>
        <w:t>反证：maycp, missing_final_sale</w:t>
      </w:r>
    </w:p>
    <w:p>
      <w:r>
        <w:t>其他解释：五月初仍有 CP 余额佐证后续偿债计划未在交割当日全部实现。</w:t>
      </w:r>
    </w:p>
    <w:p>
      <w:r>
        <w:t>判断改变条件：取得截止前已公开的还款确认或最终结算原件可补充事实；后于截止的披露只能作为另一期验证。</w:t>
      </w:r>
    </w:p>
    <w:p>
      <w:pPr>
        <w:pStyle w:val="Heading2"/>
      </w:pPr>
      <w:r>
        <w:t>新协议替代与出售后备考指标 [F09; conditional]</w:t>
      </w:r>
    </w:p>
    <w:p>
      <w:r>
        <w:t>五月新循环承诺 4,500.00 百万USD 替代旧协议；扣生效时信用证 39.40 百万USD 后名义余额 4,460.60 百万USD，并非自由现金。总净杠杆限额改为 7.00 倍，旧利息保障条款移除。</w:t>
      </w:r>
    </w:p>
    <w:p>
      <w:r>
        <w:t>新协议按全额本金定义债务、约定历史租赁会计基础，并要求出售备考调整；既要减还债，也要剔除出售业务 EBITDA。提款仍需真实性陈述、无违约和申请。额度价格挂钩外部高级无担保评级，未替代本研究的独立主体/债项论证。 两版Net Income均保留尚未处置的待售组成部分例外；新协议生效后须按实际处置和偿债重建备考。公开Article11利润1,188及85节息不是契约EBITDA或独立遵约结果。有限公开版本检查未发现后续旧信贷定义修订，五月一日明确由新协议替代。</w:t>
      </w:r>
    </w:p>
    <w:p>
      <w:r>
        <w:t>证据：ECREDIT, EQ126FAC, C_newnetLC, EOLDCREDIT, EOLDVERSION, EQ126INDEX, EPROPL</w:t>
      </w:r>
    </w:p>
    <w:p>
      <w:r>
        <w:t>反证：missing_covenant_ebitda</w:t>
      </w:r>
    </w:p>
    <w:p>
      <w:r>
        <w:t>其他解释：放宽契约可能增加财务灵活性，但不自动代表经济杠杆较低或评级改善。</w:t>
      </w:r>
    </w:p>
    <w:p>
      <w:r>
        <w:t>判断改变条件：以新协议定义取得持续业务备考 EBITDA、限制性付款及担保债务明细、CP 同日余额，再重算提款余量和偿债覆盖。</w:t>
      </w:r>
    </w:p>
    <w:p>
      <w:pPr>
        <w:pStyle w:val="Heading1"/>
      </w:pPr>
      <w:r>
        <w:t>S&amp;P财务调整及分析估计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经营租赁利息代理 [sp_lease_interest]</w:t>
            </w:r>
          </w:p>
        </w:tc>
        <w:tc>
          <w:tcPr>
            <w:tcW w:type="dxa" w:w="4386"/>
          </w:tcPr>
          <w:p>
            <w:r>
              <w:t>2025-12-31</w:t>
              <w:br/>
              <w:t>274.43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S&amp;P口径EBITDA分析估计 [sp_ebitda]</w:t>
            </w:r>
          </w:p>
        </w:tc>
        <w:tc>
          <w:tcPr>
            <w:tcW w:type="dxa" w:w="4386"/>
          </w:tcPr>
          <w:p>
            <w:r>
              <w:t>2025-12-31</w:t>
              <w:br/>
              <w:t>3,448.00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FFO分析估计 [sp_ffo]</w:t>
            </w:r>
          </w:p>
        </w:tc>
        <w:tc>
          <w:tcPr>
            <w:tcW w:type="dxa" w:w="4386"/>
          </w:tcPr>
          <w:p>
            <w:r>
              <w:t>2025-12-31</w:t>
              <w:br/>
              <w:t>2,178.57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CFO分析估计 [sp_cfo]</w:t>
            </w:r>
          </w:p>
        </w:tc>
        <w:tc>
          <w:tcPr>
            <w:tcW w:type="dxa" w:w="4386"/>
          </w:tcPr>
          <w:p>
            <w:r>
              <w:t>2025-12-31</w:t>
              <w:br/>
              <w:t>2,181.57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FOCF分析估计（尚非付完全部租赁本金的现金） [sp_focf]</w:t>
            </w:r>
          </w:p>
        </w:tc>
        <w:tc>
          <w:tcPr>
            <w:tcW w:type="dxa" w:w="4386"/>
          </w:tcPr>
          <w:p>
            <w:r>
              <w:t>2025-12-31</w:t>
              <w:br/>
              <w:t>2,014.57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债务分析估计（ARO尚未抵减） [sp_gross_debt]</w:t>
            </w:r>
          </w:p>
        </w:tc>
        <w:tc>
          <w:tcPr>
            <w:tcW w:type="dxa" w:w="4386"/>
          </w:tcPr>
          <w:p>
            <w:r>
              <w:t>2025-12-31</w:t>
              <w:br/>
              <w:t>29,888.00 百万USD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2025历史条件债务/EBITDA [sp_leverage]</w:t>
            </w:r>
          </w:p>
        </w:tc>
        <w:tc>
          <w:tcPr>
            <w:tcW w:type="dxa" w:w="4386"/>
          </w:tcPr>
          <w:p>
            <w:r>
              <w:t>2025-12-31</w:t>
              <w:br/>
              <w:t>8.64 倍</w:t>
            </w:r>
          </w:p>
        </w:tc>
        <w:tc>
          <w:tcPr>
            <w:tcW w:type="dxa" w:w="1949"/>
          </w:tcPr>
          <w:p>
            <w:r>
              <w:t>专门结果 Q_sp_crown（输入与证据见该节）</w:t>
            </w:r>
          </w:p>
        </w:tc>
      </w:tr>
    </w:tbl>
    <w:p/>
    <w:p>
      <w:pPr>
        <w:pStyle w:val="Heading2"/>
      </w:pPr>
      <w:r>
        <w:t>租赁调整应同时改变债务、盈利及现金分类 [F13; conditional]</w:t>
      </w:r>
    </w:p>
    <w:p>
      <w:r>
        <w:t>期末经营租赁负债5,229.00 百万USD，真实期初期末均值5,277.50 百万USD。按披露贴现率计算利息代理274.43 百万USD及CFO加回代理324.57 百万USD；实际经营租赁付现519.00 百万USD另列。该分类不增加可支用现金。</w:t>
      </w:r>
    </w:p>
    <w:p>
      <w:r>
        <w:t>ROU成本599.00 百万USD与可变费用147.00 百万USD分开；可变费用没有进入对应租赁负债，继续留经营成本。融资租赁折旧已在DDA内、融资租赁负债已在金融债内；预付租赁PPA和直线租赁成本不能再叠加到ROU成本。Crown为塔资产提供方，不直接套移动运营商MSA付塔费分支。</w:t>
      </w:r>
    </w:p>
    <w:p>
      <w:r>
        <w:t>证据：E_SP_RATIOS, E_SP_SCOPE, E_SP_LEASE, sp_lease_interest, sp_lease_principal_proxy</w:t>
      </w:r>
    </w:p>
    <w:p>
      <w:r>
        <w:t>反证：尚无足以排除其他解释的额外证据</w:t>
      </w:r>
    </w:p>
    <w:p>
      <w:r>
        <w:t>其他解释：期末披露贴现率是方法要求的年度利息代理；实际租赁现金仍可能因预付、确认节奏和新增合同不同于该代理。</w:t>
      </w:r>
    </w:p>
    <w:p>
      <w:r>
        <w:t>判断改变条件：未来续租、可变租金、地块迁移或合同范围改变时重做债务与现金路径；不把租赁CFO加回当新增偿债来源。</w:t>
      </w:r>
    </w:p>
    <w:p>
      <w:pPr>
        <w:pStyle w:val="Heading2"/>
      </w:pPr>
      <w:r>
        <w:t>从原报至EBITDA、FFO与FOCF的估计桥 [F14; conditional]</w:t>
      </w:r>
    </w:p>
    <w:p>
      <w:r>
        <w:t>SEC原申报确认现金付息965.00 百万USD排除资本化利息。以资本化现金付息15.00 百万USD估计，EBITDA为3,448.00 百万USD、FFO为2,178.57 百万USD、CFO为2,181.57 百万USD、FOCF为2,014.57 百万USD。这些为方法分析估计，不是机构已发表指标；FOCF尚非支付全部租赁本金后的自由现金。</w:t>
      </w:r>
    </w:p>
    <w:p>
      <w:r>
        <w:t>现金税采用15.00 百万USD而非费用16；ARO非现金增值只接应计利息，不再当现金。股份支付73.00 百万USD中RSU61.00 百万USD已直接证实，差额12.00 百万USD另作敏感性：只加回RSU时EBITDA3,436.00 百万USD、FFO2,166.57 百万USD。净减记行与PP&amp;E核销差1.00 百万USD未解释，采用总额敏感性EBITDA3,449.00 百万USD。现有业务没有外售软件触发，适用内部使用软件不反转分支；不把未披露IT投入全额费用化。资本化现金估计每增加一单位，FFO/CFO各下降一单位，capex也下降一单位，FOCF不变。</w:t>
      </w:r>
    </w:p>
    <w:p>
      <w:r>
        <w:t>证据：E_SP_RATIOS, E_SP_CASH, E_SP_SBC, E_SP_ARO, E_SP_XBRL, sp_ebitda, sp_ffo, sp_focf</w:t>
      </w:r>
    </w:p>
    <w:p>
      <w:r>
        <w:t>反证：C_sp_sbc_residual, C_sp_writeoff_difference</w:t>
      </w:r>
    </w:p>
    <w:p>
      <w:r>
        <w:t>其他解释：非RSU差额可能仍符合权益结算条件，不能把仅加回RSU的敏感性当已证实主值；净减记与PP&amp;E总额差异也不能未经证据命名为转回。</w:t>
      </w:r>
    </w:p>
    <w:p>
      <w:r>
        <w:t>判断改变条件：取得资本化现金结算、股份支付差额分类或减记差额后更新相关项及聚合影响；接近财务分档临界值时提高精确取证程度，不暂停已可完成的分析。</w:t>
      </w:r>
    </w:p>
    <w:p>
      <w:pPr>
        <w:pStyle w:val="Heading2"/>
      </w:pPr>
      <w:r>
        <w:t>历史高杠杆与售后去杠杆须按时间连接 [F15; conditional]</w:t>
      </w:r>
    </w:p>
    <w:p>
      <w:r>
        <w:t>将经营租赁及尚未抵减ARO接入后，2025债务估计29,888.00 百万USD。仅在普通现金符合可动用条件时净债为29,789.00 百万USD，对应历史债务/EBITDA8.64 倍、FFO/债务7.31%。这是2025保留业务与债务的历史压力，不是出售后杠杆或评级等级。</w:t>
      </w:r>
    </w:p>
    <w:p>
      <w:r>
        <w:t>ARO滚动可勾稽，但具体税益、专用基金及残值需继续核；不能对REIT机械套21%或认定税益必为零。受限现金须按用途判断，不能全扣或永久全排除；最低运营现金需求属于实际预算，不能擅加为S&amp;P抵债的普遍条件。2025备考按2,002.00 百万USD偿债、利息改善85.00 百万USD；五月实际已偿约3,300.00 百万USD，后续偿债与回购仍为计划。出售现金释放与保留租赁义务、资本分配需同时接入预测，不能以出售总价直接冲历史债务。</w:t>
      </w:r>
    </w:p>
    <w:p>
      <w:r>
        <w:t>证据：E_SP_RATIOS, E_SP_ARO, E25CASH, EPROBASIS, EPROBS, EPROPL, EQ126SALE, sp_net_debt, sp_leverage</w:t>
      </w:r>
    </w:p>
    <w:p>
      <w:r>
        <w:t>反证：missing_parent_cash</w:t>
      </w:r>
    </w:p>
    <w:p>
      <w:r>
        <w:t>其他解释：已完成出售和偿债降低融资负担，但租赁义务仍保留，回购与资本投入会消耗释放现金；历史杠杆不能单独说明售后状态。</w:t>
      </w:r>
    </w:p>
    <w:p>
      <w:r>
        <w:t>判断改变条件：取得截至六月的售后实际债务、可支用现金和完成回购记录后更新债务/现金桥，再用经营及续约预测判断财务档和流动性。</w:t>
      </w:r>
    </w:p>
    <w:p>
      <w:pPr>
        <w:pStyle w:val="Heading1"/>
      </w:pPr>
      <w:r>
        <w:t>经营变化与信用方法形成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持续经营Q1 CFO 2026 [C_sp_q1_cfo_2026]</w:t>
            </w:r>
          </w:p>
        </w:tc>
        <w:tc>
          <w:tcPr>
            <w:tcW w:type="dxa" w:w="4386"/>
          </w:tcPr>
          <w:p>
            <w:r>
              <w:t>2026-03-31</w:t>
              <w:br/>
              <w:t>296.00 百万USD</w:t>
            </w:r>
          </w:p>
        </w:tc>
        <w:tc>
          <w:tcPr>
            <w:tcW w:type="dxa" w:w="1949"/>
          </w:tcPr>
          <w:p>
            <w:r>
              <w:t>E_SP_Q1CFO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持续经营Q1 CFO同比 [C_sp_q1_cfo_change]</w:t>
            </w:r>
          </w:p>
        </w:tc>
        <w:tc>
          <w:tcPr>
            <w:tcW w:type="dxa" w:w="4386"/>
          </w:tcPr>
          <w:p>
            <w:r>
              <w:t>2026-03-31</w:t>
              <w:br/>
              <w:t>‑20.22%</w:t>
            </w:r>
          </w:p>
        </w:tc>
        <w:tc>
          <w:tcPr>
            <w:tcW w:type="dxa" w:w="1949"/>
          </w:tcPr>
          <w:p>
            <w:r>
              <w:t>E_SP_Q1CFO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Q1站点billings变动 [C_sp_bill_change]</w:t>
            </w:r>
          </w:p>
        </w:tc>
        <w:tc>
          <w:tcPr>
            <w:tcW w:type="dxa" w:w="4386"/>
          </w:tcPr>
          <w:p>
            <w:r>
              <w:t>2026-03-31</w:t>
              <w:br/>
              <w:t>‑24.00 百万USD</w:t>
            </w:r>
          </w:p>
        </w:tc>
        <w:tc>
          <w:tcPr>
            <w:tcW w:type="dxa" w:w="1949"/>
          </w:tcPr>
          <w:p>
            <w:r>
              <w:t>E_SP_Q1BILL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2028续约组AT&amp;T暴露占比 [C_sp_renew_share]</w:t>
            </w:r>
          </w:p>
        </w:tc>
        <w:tc>
          <w:tcPr>
            <w:tcW w:type="dxa" w:w="4386"/>
          </w:tcPr>
          <w:p>
            <w:r>
              <w:t>2025-12-31</w:t>
              <w:br/>
              <w:t>90.01%</w:t>
            </w:r>
          </w:p>
        </w:tc>
        <w:tc>
          <w:tcPr>
            <w:tcW w:type="dxa" w:w="1949"/>
          </w:tcPr>
          <w:p>
            <w:r>
              <w:t>E_SP_RENEW</w:t>
            </w:r>
          </w:p>
        </w:tc>
      </w:tr>
    </w:tbl>
    <w:p/>
    <w:p>
      <w:pPr>
        <w:pStyle w:val="Heading2"/>
      </w:pPr>
      <w:r>
        <w:t>Q1实际现金与客户违约检验历史趋势 [F16; supported]</w:t>
      </w:r>
    </w:p>
    <w:p>
      <w:r>
        <w:t>同口径持续经营Q1 CFO由371.00 百万USD降至296.00 百万USD，同比‑20.22%。剔DISH/Sprint后的billings增量30.00 百万USD，被DISH-49.00 百万USD及Sprint-5.00 百万USD抵销，净变动‑24.00 百万USD。现金降幅不能全归因DISH；需继续分解营运资本、支付节奏和重组。</w:t>
      </w:r>
    </w:p>
    <w:p>
      <w:r>
        <w:t>公司Q1的2026重组计划费用14.00 百万USD、支付12.00 百万USD和余额2.00 百万USD；2023/2024计划另有本期支付4.00 百万USD、余额12.00 百万USD。经营性重组不能跟随公司非GAAP任意全部加回。DISH索赔不是现金，管理层应收可回收判断也不是确定回款。当前实际证据支持压力已经发生，同时说明剔除两个事件的业务仍有增长，不能只给单方向故事。</w:t>
      </w:r>
    </w:p>
    <w:p>
      <w:r>
        <w:t>证据：E_SP_Q1CFO, E_SP_Q1BILL, EDISH, C_sp_q1_cfo_change, C_sp_bill_change</w:t>
      </w:r>
    </w:p>
    <w:p>
      <w:r>
        <w:t>反证：尚无足以排除其他解释的额外证据</w:t>
      </w:r>
    </w:p>
    <w:p>
      <w:r>
        <w:t>其他解释：应付结算、计息支付及重组付款可令季度CFO变化大于经常盈利变化；DISH实际损失不排除其他客户仍有新增租赁及合同提价。</w:t>
      </w:r>
    </w:p>
    <w:p>
      <w:r>
        <w:t>判断改变条件：取得Q1现金变化逐项归因、DISH实收及后续续约后更新现金预测；对持续增长和特定客户损失分别建情景。</w:t>
      </w:r>
    </w:p>
    <w:p>
      <w:pPr>
        <w:pStyle w:val="Heading2"/>
      </w:pPr>
      <w:r>
        <w:t>塔资产控制、续约集中与波动档形成 [F17; conditional]</w:t>
      </w:r>
    </w:p>
    <w:p>
      <w:r>
        <w:t>自有土地覆盖30.26%的塔，贡献42.68%的末季年化毛现金利润。2028续约组年度化租金暴露中AT&amp;T占90.01%，该暴露不代表当年确定损失。长期租赁及续约经济性支持将medial列为待验证候选；若相应条件不满足则检验standard，不能预授low或直接输出等级。</w:t>
      </w:r>
    </w:p>
    <w:p>
      <w:r>
        <w:t>租地35年含公司续约权、账内租赁15年、客户当前合同6年/AT&amp;T3年各有不同定义。土地控制和核心市场规模是正面证据，客户集中及DISH违约为反证。S&amp;P数字基础设施章低/中波动要求业务风险、竞争地位及至少90%/2/3可预测CFO等共同条件；收入占比不能替代CFO归属，客户短剩余期也不单独否定支持性框架路径。本案尚未独立完成CICRA、竞争地位、预测CFO及支持债项形成链，保留明确分支，不将保守标签视作已证实分类。</w:t>
      </w:r>
    </w:p>
    <w:p>
      <w:r>
        <w:t>证据：E_SP_LAND, E_SP_RENEW, E_SP_SECTORS, E_SP_Q1BILL, C_sp_renew_share</w:t>
      </w:r>
    </w:p>
    <w:p>
      <w:r>
        <w:t>反证：EDISH</w:t>
      </w:r>
    </w:p>
    <w:p>
      <w:r>
        <w:t>其他解释：网络迁移成本、核心站点及可执行土地续约权可能缓释集中风险；DISH违约和AT&amp;T续约集中则要求验证客户质量和费率假设，不能由平均合同期直接定档。</w:t>
      </w:r>
    </w:p>
    <w:p>
      <w:r>
        <w:t>判断改变条件：把实际土地续约权、客户续约费率/迁移经济性和违约压力接入预测，核准竞争地位及现金归属，再确定波动档和后续评级路径。</w:t>
      </w:r>
    </w:p>
    <w:p>
      <w:pPr>
        <w:pStyle w:val="Heading1"/>
      </w:pPr>
      <w:r>
        <w:t>勾稽结果</w:t>
      </w:r>
    </w:p>
    <w:p>
      <w:r>
        <w:t>2025 流动资产分项合计 [R_ca_2025]：within_input_tolerance；基础单位残差 0。 原表百万美元列示精度，检验可直接复算桥；阈值以美元计。</w:t>
      </w:r>
    </w:p>
    <w:p>
      <w:r>
        <w:t>2025 总资产分项合计 [R_assets_2025]：within_input_tolerance；基础单位残差 0。 原表百万美元列示精度，检验可直接复算桥；阈值以美元计。</w:t>
      </w:r>
    </w:p>
    <w:p>
      <w:r>
        <w:t>2025 流动负债分项合计 [R_cl_2025]：within_input_tolerance；基础单位残差 0。 原表百万美元列示精度，检验可直接复算桥；阈值以美元计。</w:t>
      </w:r>
    </w:p>
    <w:p>
      <w:r>
        <w:t>2025 总负债分项合计 [R_liab_2025]：within_input_tolerance；基础单位残差 0。 原表百万美元列示精度，检验可直接复算桥；阈值以美元计。</w:t>
      </w:r>
    </w:p>
    <w:p>
      <w:r>
        <w:t>2025 权益组成 [R_eqparts_2025]：within_input_tolerance；基础单位残差 0。 原表百万美元列示精度，检验可直接复算桥；阈值以美元计。</w:t>
      </w:r>
    </w:p>
    <w:p>
      <w:r>
        <w:t>2025 资产负债恒等式 [R_bs_2025]：within_input_tolerance；基础单位残差 0。 原表百万美元列示精度，检验可直接复算桥；阈值以美元计。</w:t>
      </w:r>
    </w:p>
    <w:p>
      <w:r>
        <w:t>2025 持续收入组成 [R_rev_2025]：within_input_tolerance；基础单位残差 0。 原表百万美元列示精度，检验可直接复算桥；阈值以美元计。</w:t>
      </w:r>
    </w:p>
    <w:p>
      <w:r>
        <w:t>2025 持续费用组成 [R_opex_2025]：within_input_tolerance；基础单位残差 0。 原表百万美元列示精度，检验可直接复算桥；阈值以美元计。</w:t>
      </w:r>
    </w:p>
    <w:p>
      <w:r>
        <w:t>2025 持续税前利润桥 [R_pbt_2025]：within_input_tolerance；基础单位残差 0。 原表百万美元列示精度，检验可直接复算桥；阈值以美元计。</w:t>
      </w:r>
    </w:p>
    <w:p>
      <w:r>
        <w:t>2025 持续净利润桥 [R_contni_2025]：within_input_tolerance；基础单位残差 0。 原表百万美元列示精度，检验可直接复算桥；阈值以美元计。</w:t>
      </w:r>
    </w:p>
    <w:p>
      <w:r>
        <w:t>2025 持续加终止净利润 [R_net_2025]：within_input_tolerance；基础单位残差 0。 原表百万美元列示精度，检验可直接复算桥；阈值以美元计。</w:t>
      </w:r>
    </w:p>
    <w:p>
      <w:r>
        <w:t>2025 综合收益桥 [R_comp_2025]：within_input_tolerance；基础单位残差 0。 原表百万美元列示精度，检验可直接复算桥；阈值以美元计。</w:t>
      </w:r>
    </w:p>
    <w:p>
      <w:r>
        <w:t>2025 投资现金流组成 [R_cfi_2025]：within_input_tolerance；基础单位残差 0。 原表百万美元列示精度，检验可直接复算桥；阈值以美元计。</w:t>
      </w:r>
    </w:p>
    <w:p>
      <w:r>
        <w:t>2025 融资现金流组成 [R_cff_2025]：within_input_tolerance；基础单位残差 0。 原表百万美元列示精度，检验可直接复算桥；阈值以美元计。</w:t>
      </w:r>
    </w:p>
    <w:p>
      <w:r>
        <w:t>2025 三类现金流合计 [R_cashdelta_2025]：within_input_tolerance；基础单位残差 0。 原表百万美元列示精度，检验可直接复算桥；阈值以美元计。</w:t>
      </w:r>
    </w:p>
    <w:p>
      <w:r>
        <w:t>2025 终止资产分项 [R_discassets_2025]：within_input_tolerance；基础单位残差 0。 原表百万美元列示精度，检验可直接复算桥；阈值以美元计。</w:t>
      </w:r>
    </w:p>
    <w:p>
      <w:r>
        <w:t>2025 终止负债分项 [R_discliab_2025]：within_input_tolerance；基础单位残差 0。 原表百万美元列示精度，检验可直接复算桥；阈值以美元计。</w:t>
      </w:r>
    </w:p>
    <w:p>
      <w:r>
        <w:t>2025 终止税前利润桥 [R_discpbt_2025]：within_input_tolerance；基础单位残差 0。 原表百万美元列示精度，检验可直接复算桥；阈值以美元计。</w:t>
      </w:r>
    </w:p>
    <w:p>
      <w:r>
        <w:t>2025 终止处置前净利润桥 [R_discpre_2025]：within_input_tolerance；基础单位残差 0。 原表百万美元列示精度，检验可直接复算桥；阈值以美元计。</w:t>
      </w:r>
    </w:p>
    <w:p>
      <w:r>
        <w:t>2025 持续税额调节 [R_tax_2025]：within_input_tolerance；基础单位残差 0。 原表百万美元列示精度，检验可直接复算桥；阈值以美元计。</w:t>
      </w:r>
    </w:p>
    <w:p>
      <w:r>
        <w:t>2025 持续现金分层 [R_contcash_2025]：within_input_tolerance；基础单位残差 0。 原表百万美元列示精度，检验可直接复算桥；阈值以美元计。</w:t>
      </w:r>
    </w:p>
    <w:p>
      <w:r>
        <w:t>2025 终止现金分层 [R_disccash_2025]：within_input_tolerance；基础单位残差 0。 原表百万美元列示精度，检验可直接复算桥；阈值以美元计。</w:t>
      </w:r>
    </w:p>
    <w:p>
      <w:r>
        <w:t>2025 全部现金分层 [R_cashall_2025]：within_input_tolerance；基础单位残差 0。 原表百万美元列示精度，检验可直接复算桥；阈值以美元计。</w:t>
      </w:r>
    </w:p>
    <w:p>
      <w:r>
        <w:t>2025 持续营业利润 [R_op_2025]：within_input_tolerance；基础单位残差 0。 原表百万美元列示精度，检验可直接复算桥；阈值以美元计。</w:t>
      </w:r>
    </w:p>
    <w:p>
      <w:r>
        <w:t>2025 终止净损益 [R_discni_2025]：within_input_tolerance；基础单位残差 0。 原表百万美元列示精度，检验可直接复算桥；阈值以美元计。</w:t>
      </w:r>
    </w:p>
    <w:p>
      <w:r>
        <w:t>2025 CFO 全桥 [R_cfo_2025]：within_input_tolerance；基础单位残差 0。 原表百万美元列示精度，检验可直接复算桥；阈值以美元计。</w:t>
      </w:r>
    </w:p>
    <w:p>
      <w:r>
        <w:t>2025 现金滚动 [R_cashroll_2025]：within_input_tolerance；基础单位残差 0。 原表百万美元列示精度，检验可直接复算桥；阈值以美元计。</w:t>
      </w:r>
    </w:p>
    <w:p>
      <w:r>
        <w:t>2025 权益滚动 [R_eqroll_2025]：within_input_tolerance；基础单位残差 0。 原表百万美元列示精度，检验可直接复算桥；阈值以美元计。</w:t>
      </w:r>
    </w:p>
    <w:p>
      <w:r>
        <w:t>2024 流动资产分项合计 [R_ca_2024]：within_input_tolerance；基础单位残差 0。 原表百万美元列示精度，检验可直接复算桥；阈值以美元计。</w:t>
      </w:r>
    </w:p>
    <w:p>
      <w:r>
        <w:t>2024 总资产分项合计 [R_assets_2024]：within_input_tolerance；基础单位残差 0。 原表百万美元列示精度，检验可直接复算桥；阈值以美元计。</w:t>
      </w:r>
    </w:p>
    <w:p>
      <w:r>
        <w:t>2024 流动负债分项合计 [R_cl_2024]：within_input_tolerance；基础单位残差 0。 原表百万美元列示精度，检验可直接复算桥；阈值以美元计。</w:t>
      </w:r>
    </w:p>
    <w:p>
      <w:r>
        <w:t>2024 总负债分项合计 [R_liab_2024]：within_input_tolerance；基础单位残差 0。 原表百万美元列示精度，检验可直接复算桥；阈值以美元计。</w:t>
      </w:r>
    </w:p>
    <w:p>
      <w:r>
        <w:t>2024 权益组成 [R_eqparts_2024]：within_input_tolerance；基础单位残差 0。 原表百万美元列示精度，检验可直接复算桥；阈值以美元计。</w:t>
      </w:r>
    </w:p>
    <w:p>
      <w:r>
        <w:t>2024 资产负债恒等式 [R_bs_2024]：within_input_tolerance；基础单位残差 0。 原表百万美元列示精度，检验可直接复算桥；阈值以美元计。</w:t>
      </w:r>
    </w:p>
    <w:p>
      <w:r>
        <w:t>2024 持续收入组成 [R_rev_2024]：within_input_tolerance；基础单位残差 0。 原表百万美元列示精度，检验可直接复算桥；阈值以美元计。</w:t>
      </w:r>
    </w:p>
    <w:p>
      <w:r>
        <w:t>2024 持续费用组成 [R_opex_2024]：within_input_tolerance；基础单位残差 0。 原表百万美元列示精度，检验可直接复算桥；阈值以美元计。</w:t>
      </w:r>
    </w:p>
    <w:p>
      <w:r>
        <w:t>2024 持续税前利润桥 [R_pbt_2024]：within_input_tolerance；基础单位残差 0。 原表百万美元列示精度，检验可直接复算桥；阈值以美元计。</w:t>
      </w:r>
    </w:p>
    <w:p>
      <w:r>
        <w:t>2024 持续净利润桥 [R_contni_2024]：within_input_tolerance；基础单位残差 0。 原表百万美元列示精度，检验可直接复算桥；阈值以美元计。</w:t>
      </w:r>
    </w:p>
    <w:p>
      <w:r>
        <w:t>2024 持续加终止净利润 [R_net_2024]：within_input_tolerance；基础单位残差 0。 原表百万美元列示精度，检验可直接复算桥；阈值以美元计。</w:t>
      </w:r>
    </w:p>
    <w:p>
      <w:r>
        <w:t>2024 综合收益桥 [R_comp_2024]：within_input_tolerance；基础单位残差 0。 原表百万美元列示精度，检验可直接复算桥；阈值以美元计。</w:t>
      </w:r>
    </w:p>
    <w:p>
      <w:r>
        <w:t>2024 投资现金流组成 [R_cfi_2024]：within_input_tolerance；基础单位残差 0。 原表百万美元列示精度，检验可直接复算桥；阈值以美元计。</w:t>
      </w:r>
    </w:p>
    <w:p>
      <w:r>
        <w:t>2024 融资现金流组成 [R_cff_2024]：within_input_tolerance；基础单位残差 0。 原表百万美元列示精度，检验可直接复算桥；阈值以美元计。</w:t>
      </w:r>
    </w:p>
    <w:p>
      <w:r>
        <w:t>2024 三类现金流合计 [R_cashdelta_2024]：within_input_tolerance；基础单位残差 0。 原表百万美元列示精度，检验可直接复算桥；阈值以美元计。</w:t>
      </w:r>
    </w:p>
    <w:p>
      <w:r>
        <w:t>2024 终止资产分项 [R_discassets_2024]：within_input_tolerance；基础单位残差 0。 原表百万美元列示精度，检验可直接复算桥；阈值以美元计。</w:t>
      </w:r>
    </w:p>
    <w:p>
      <w:r>
        <w:t>2024 终止负债分项 [R_discliab_2024]：within_input_tolerance；基础单位残差 0。 原表百万美元列示精度，检验可直接复算桥；阈值以美元计。</w:t>
      </w:r>
    </w:p>
    <w:p>
      <w:r>
        <w:t>2024 终止税前利润桥 [R_discpbt_2024]：within_input_tolerance；基础单位残差 0。 原表百万美元列示精度，检验可直接复算桥；阈值以美元计。</w:t>
      </w:r>
    </w:p>
    <w:p>
      <w:r>
        <w:t>2024 终止处置前净利润桥 [R_discpre_2024]：within_input_tolerance；基础单位残差 0。 原表百万美元列示精度，检验可直接复算桥；阈值以美元计。</w:t>
      </w:r>
    </w:p>
    <w:p>
      <w:r>
        <w:t>2024 持续税额调节 [R_tax_2024]：within_input_tolerance；基础单位残差 0。 原表百万美元列示精度，检验可直接复算桥；阈值以美元计。</w:t>
      </w:r>
    </w:p>
    <w:p>
      <w:r>
        <w:t>2024 持续现金分层 [R_contcash_2024]：within_input_tolerance；基础单位残差 0。 原表百万美元列示精度，检验可直接复算桥；阈值以美元计。</w:t>
      </w:r>
    </w:p>
    <w:p>
      <w:r>
        <w:t>2024 终止现金分层 [R_disccash_2024]：within_input_tolerance；基础单位残差 0。 原表百万美元列示精度，检验可直接复算桥；阈值以美元计。</w:t>
      </w:r>
    </w:p>
    <w:p>
      <w:r>
        <w:t>2024 全部现金分层 [R_cashall_2024]：within_input_tolerance；基础单位残差 0。 原表百万美元列示精度，检验可直接复算桥；阈值以美元计。</w:t>
      </w:r>
    </w:p>
    <w:p>
      <w:r>
        <w:t>2024 持续营业利润 [R_op_2024]：within_input_tolerance；基础单位残差 0。 原表百万美元列示精度，检验可直接复算桥；阈值以美元计。</w:t>
      </w:r>
    </w:p>
    <w:p>
      <w:r>
        <w:t>2024 终止净损益 [R_discni_2024]：within_input_tolerance；基础单位残差 0。 原表百万美元列示精度，检验可直接复算桥；阈值以美元计。</w:t>
      </w:r>
    </w:p>
    <w:p>
      <w:r>
        <w:t>2024 CFO 全桥 [R_cfo_2024]：within_input_tolerance；基础单位残差 0。 原表百万美元列示精度，检验可直接复算桥；阈值以美元计。</w:t>
      </w:r>
    </w:p>
    <w:p>
      <w:r>
        <w:t>2024 现金滚动 [R_cashroll_2024]：within_input_tolerance；基础单位残差 0。 原表百万美元列示精度，检验可直接复算桥；阈值以美元计。</w:t>
      </w:r>
    </w:p>
    <w:p>
      <w:r>
        <w:t>2024 权益滚动 [R_eqroll_2024]：within_input_tolerance；基础单位残差 0。 原表百万美元列示精度，检验可直接复算桥；阈值以美元计。</w:t>
      </w:r>
    </w:p>
    <w:p>
      <w:r>
        <w:t>2025 准备与已发生费用至处置损失 [R_sale2025]：within_input_tolerance；基础单位残差 0。 原表百万美元列示精度，检验可直接复算桥；阈值以美元计。</w:t>
      </w:r>
    </w:p>
    <w:p>
      <w:r>
        <w:t>合并商誉减值至期末余额 [R_gw2024]：within_input_tolerance；基础单位残差 0。 原表百万美元列示精度，检验可直接复算桥；阈值以美元计。</w:t>
      </w:r>
    </w:p>
    <w:p>
      <w:r>
        <w:t>2024 原报与重列收入版本桥 [R_original_revenue]：unexplained_difference；基础单位残差 ‑2000000。 原报及重列皆原件实际读；2 百万美元差异未披露完整重列明细，零阈值保留差异，不作错报结论。</w:t>
      </w:r>
    </w:p>
    <w:p>
      <w:r>
        <w:t>2024 原报至重列 pbt [R_recast_pbt]：within_input_tolerance；基础单位残差 0。 原表百万美元列示精度，检验可直接复算桥；阈值以美元计。</w:t>
      </w:r>
    </w:p>
    <w:p>
      <w:r>
        <w:t>2024 原报至重列 tax [R_recast_tax]：within_input_tolerance；基础单位残差 0。 原表百万美元列示精度，检验可直接复算桥；阈值以美元计。</w:t>
      </w:r>
    </w:p>
    <w:p>
      <w:r>
        <w:t>2024 原报至重列 ni [R_recast_ni]：within_input_tolerance；基础单位残差 0。 原表百万美元列示精度，检验可直接复算桥；阈值以美元计。</w:t>
      </w:r>
    </w:p>
    <w:p>
      <w:r>
        <w:t>债务附注至资产负债表 [R_debt2025]：within_input_tolerance；基础单位残差 0。 原表百万美元列示精度，检验可直接复算桥；阈值以美元计。</w:t>
      </w:r>
    </w:p>
    <w:p>
      <w:r>
        <w:t>债务分类桥 [R_debtsec2025]：within_input_tolerance；基础单位残差 0。 原表百万美元列示精度，检验可直接复算桥；阈值以美元计。</w:t>
      </w:r>
    </w:p>
    <w:p>
      <w:r>
        <w:t>准备跨年滚动 [R_qallow]：within_input_tolerance；基础单位残差 0。 原表百万美元列示精度，检验可直接复算桥；阈值以美元计。</w:t>
      </w:r>
    </w:p>
    <w:p>
      <w:r>
        <w:t>Q1 终止税前利润 [R_qpbt]：within_input_tolerance；基础单位残差 0。 原表百万美元列示精度，检验可直接复算桥；阈值以美元计。</w:t>
      </w:r>
    </w:p>
    <w:p>
      <w:r>
        <w:t>Q1 终止处置前税后利润 [R_qdiscpre]：within_input_tolerance；基础单位残差 0。 原表百万美元列示精度，检验可直接复算桥；阈值以美元计。</w:t>
      </w:r>
    </w:p>
    <w:p>
      <w:r>
        <w:t>Q1 现金分层 [R_qcash]：within_input_tolerance；基础单位残差 0。 原表百万美元列示精度，检验可直接复算桥；阈值以美元计。</w:t>
      </w:r>
    </w:p>
    <w:p>
      <w:r>
        <w:t>Q1 债务桥 [R_qdebt]：within_input_tolerance；基础单位残差 0。 原表百万美元列示精度，检验可直接复算桥；阈值以美元计。</w:t>
      </w:r>
    </w:p>
    <w:p>
      <w:r>
        <w:t>2025 Q1 原报准备与 SEC 回复 [R_priorallow_original]：within_input_tolerance；基础单位残差 0。 原表百万美元列示精度，检验可直接复算桥；阈值以美元计。</w:t>
      </w:r>
    </w:p>
    <w:p>
      <w:r>
        <w:t>2026 Q1 对上年准备回述与原报桥 [R_priorallow_recalled]：unexplained_difference；基础单位残差 11000000。 同日同项跨版本比较；差额 11 百万美元保留，未知是否笔误、口径变化或其他更正。</w:t>
      </w:r>
    </w:p>
    <w:p>
      <w:r>
        <w:t>利润变化分解 [R_nimove]：within_input_tolerance；基础单位残差 0。 原表百万美元列示精度，检验可直接复算桥；阈值以美元计。</w:t>
      </w:r>
    </w:p>
    <w:p>
      <w:r>
        <w:t>公开备考价格—费用—偿债—剩余现金 [R_pf_cashadd]：within_input_tolerance；基础单位残差 0。 仅复算官方公开表所列百万美元精度；零阈值不代表审计门槛，残差单位美元。</w:t>
      </w:r>
    </w:p>
    <w:p>
      <w:r>
        <w:t>公开备考现金基数加交易调整 [R_pf_cash]：within_input_tolerance；基础单位残差 0。 仅复算官方公开表所列百万美元精度；零阈值不代表审计门槛，残差单位美元。</w:t>
      </w:r>
    </w:p>
    <w:p>
      <w:r>
        <w:t>公开备考资产调整 [R_pf_assetdelta]：within_input_tolerance；基础单位残差 0。 仅复算官方公开表所列百万美元精度；零阈值不代表审计门槛，残差单位美元。</w:t>
      </w:r>
    </w:p>
    <w:p>
      <w:r>
        <w:t>公开备考负债调整 [R_pf_liabdelta]：within_input_tolerance；基础单位残差 0。 仅复算官方公开表所列百万美元精度；零阈值不代表审计门槛，残差单位美元。</w:t>
      </w:r>
    </w:p>
    <w:p>
      <w:r>
        <w:t>公开备考资产/负债调整接权益 [R_pf_equitydelta]：within_input_tolerance；基础单位残差 0。 仅复算官方公开表所列百万美元精度；零阈值不代表审计门槛，残差单位美元。</w:t>
      </w:r>
    </w:p>
    <w:p>
      <w:r>
        <w:t>公开备考历史权益加综合调整 [R_pf_equity]：within_input_tolerance；基础单位残差 0。 仅复算官方公开表所列百万美元精度；零阈值不代表审计门槛，残差单位美元。</w:t>
      </w:r>
    </w:p>
    <w:p>
      <w:r>
        <w:t>公开备考利息行 [R_pf_interest]：within_input_tolerance；基础单位残差 0。 仅复算官方公开表所列百万美元精度；零阈值不代表审计门槛，残差单位美元。</w:t>
      </w:r>
    </w:p>
    <w:p>
      <w:r>
        <w:t>公开备考持续经营利润 [R_pf_contni]：within_input_tolerance；基础单位残差 0。 仅复算官方公开表所列百万美元精度；零阈值不代表审计门槛，残差单位美元。</w:t>
      </w:r>
    </w:p>
    <w:p>
      <w:r>
        <w:t>Fiber报告单元商誉滚动 [R_fibergw]：within_input_tolerance；基础单位残差 0。 仅复算官方公开表所列百万美元精度；零阈值不代表审计门槛，残差单位美元。</w:t>
      </w:r>
    </w:p>
    <w:p>
      <w:r>
        <w:t>S&amp;P输入原报interest勾稽 [R_sp_interest]：within_input_tolerance；基础单位残差 0。 同一百万美元原表可直接复算，未扩大容差。</w:t>
      </w:r>
    </w:p>
    <w:p>
      <w:r>
        <w:t>S&amp;P输入原报dda勾稽 [R_sp_dda]：within_input_tolerance；基础单位残差 0。 同一百万美元原表可直接复算，未扩大容差。</w:t>
      </w:r>
    </w:p>
    <w:p>
      <w:r>
        <w:t>S&amp;P输入原报aro勾稽 [R_sp_aro]：within_input_tolerance；基础单位残差 0。 同一百万美元原表可直接复算，未扩大容差。</w:t>
      </w:r>
    </w:p>
    <w:p>
      <w:r>
        <w:br w:type="page"/>
      </w:r>
    </w:p>
    <w:p>
      <w:pPr>
        <w:pStyle w:val="Heading1"/>
      </w:pPr>
      <w:r>
        <w:t>Crown Castle持续经营财务方法桥 [Q_sp_crown]</w:t>
      </w:r>
    </w:p>
    <w:p>
      <w:r>
        <w:t>S&amp;P Ratios and Adjustments 2025-12-17；案例专用Decimal复算；截至 2026-06-30。</w:t>
      </w:r>
    </w:p>
    <w:p>
      <w:r>
        <w:t>已运行专门结果快照；本次导出未重新计算或校验。输入或方法改变后须重跑专门脚本并重新导出。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指标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结果及单位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底稿引用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经营租赁利息代理</w:t>
            </w:r>
          </w:p>
        </w:tc>
        <w:tc>
          <w:tcPr>
            <w:tcW w:type="dxa" w:w="4386"/>
          </w:tcPr>
          <w:p>
            <w:r>
              <w:t>274.43 百万USD</w:t>
            </w:r>
          </w:p>
        </w:tc>
        <w:tc>
          <w:tcPr>
            <w:tcW w:type="dxa" w:w="1949"/>
          </w:tcPr>
          <w:p>
            <w:r>
              <w:t>sp_lease_interest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经营租赁折旧及CFO加回代理</w:t>
            </w:r>
          </w:p>
        </w:tc>
        <w:tc>
          <w:tcPr>
            <w:tcW w:type="dxa" w:w="4386"/>
          </w:tcPr>
          <w:p>
            <w:r>
              <w:t>324.57 百万USD</w:t>
            </w:r>
          </w:p>
        </w:tc>
        <w:tc>
          <w:tcPr>
            <w:tcW w:type="dxa" w:w="1949"/>
          </w:tcPr>
          <w:p>
            <w:r>
              <w:t>sp_lease_principal_proxy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S&amp;P口径EBITDA分析估计</w:t>
            </w:r>
          </w:p>
        </w:tc>
        <w:tc>
          <w:tcPr>
            <w:tcW w:type="dxa" w:w="4386"/>
          </w:tcPr>
          <w:p>
            <w:r>
              <w:t>3,448.00 百万USD</w:t>
            </w:r>
          </w:p>
        </w:tc>
        <w:tc>
          <w:tcPr>
            <w:tcW w:type="dxa" w:w="1949"/>
          </w:tcPr>
          <w:p>
            <w:r>
              <w:t>sp_ebitda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应计利息已识别调整小计</w:t>
            </w:r>
          </w:p>
        </w:tc>
        <w:tc>
          <w:tcPr>
            <w:tcW w:type="dxa" w:w="4386"/>
          </w:tcPr>
          <w:p>
            <w:r>
              <w:t>1,286.43 百万USD</w:t>
            </w:r>
          </w:p>
        </w:tc>
        <w:tc>
          <w:tcPr>
            <w:tcW w:type="dxa" w:w="1949"/>
          </w:tcPr>
          <w:p>
            <w:r>
              <w:t>sp_accrual_interest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现金利息分析估计（含租赁代理）</w:t>
            </w:r>
          </w:p>
        </w:tc>
        <w:tc>
          <w:tcPr>
            <w:tcW w:type="dxa" w:w="4386"/>
          </w:tcPr>
          <w:p>
            <w:r>
              <w:t>1,254.43 百万USD</w:t>
            </w:r>
          </w:p>
        </w:tc>
        <w:tc>
          <w:tcPr>
            <w:tcW w:type="dxa" w:w="1949"/>
          </w:tcPr>
          <w:p>
            <w:r>
              <w:t>sp_cash_interest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FFO分析估计</w:t>
            </w:r>
          </w:p>
        </w:tc>
        <w:tc>
          <w:tcPr>
            <w:tcW w:type="dxa" w:w="4386"/>
          </w:tcPr>
          <w:p>
            <w:r>
              <w:t>2,178.57 百万USD</w:t>
            </w:r>
          </w:p>
        </w:tc>
        <w:tc>
          <w:tcPr>
            <w:tcW w:type="dxa" w:w="1949"/>
          </w:tcPr>
          <w:p>
            <w:r>
              <w:t>sp_ffo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CFO分析估计</w:t>
            </w:r>
          </w:p>
        </w:tc>
        <w:tc>
          <w:tcPr>
            <w:tcW w:type="dxa" w:w="4386"/>
          </w:tcPr>
          <w:p>
            <w:r>
              <w:t>2,181.57 百万USD</w:t>
            </w:r>
          </w:p>
        </w:tc>
        <w:tc>
          <w:tcPr>
            <w:tcW w:type="dxa" w:w="1949"/>
          </w:tcPr>
          <w:p>
            <w:r>
              <w:t>sp_cfo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资本支出分析估计（移出资本化现金利息）</w:t>
            </w:r>
          </w:p>
        </w:tc>
        <w:tc>
          <w:tcPr>
            <w:tcW w:type="dxa" w:w="4386"/>
          </w:tcPr>
          <w:p>
            <w:r>
              <w:t>167.00 百万USD</w:t>
            </w:r>
          </w:p>
        </w:tc>
        <w:tc>
          <w:tcPr>
            <w:tcW w:type="dxa" w:w="1949"/>
          </w:tcPr>
          <w:p>
            <w:r>
              <w:t>sp_capex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FOCF分析估计（尚非付完全部租赁本金的现金）</w:t>
            </w:r>
          </w:p>
        </w:tc>
        <w:tc>
          <w:tcPr>
            <w:tcW w:type="dxa" w:w="4386"/>
          </w:tcPr>
          <w:p>
            <w:r>
              <w:t>2,014.57 百万USD</w:t>
            </w:r>
          </w:p>
        </w:tc>
        <w:tc>
          <w:tcPr>
            <w:tcW w:type="dxa" w:w="1949"/>
          </w:tcPr>
          <w:p>
            <w:r>
              <w:t>sp_focf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仅加回已直接证实RSU的EBITDA敏感性</w:t>
            </w:r>
          </w:p>
        </w:tc>
        <w:tc>
          <w:tcPr>
            <w:tcW w:type="dxa" w:w="4386"/>
          </w:tcPr>
          <w:p>
            <w:r>
              <w:t>3,436.00 百万USD</w:t>
            </w:r>
          </w:p>
        </w:tc>
        <w:tc>
          <w:tcPr>
            <w:tcW w:type="dxa" w:w="1949"/>
          </w:tcPr>
          <w:p>
            <w:r>
              <w:t>sp_ebitda_rsu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仅加回已直接证实RSU的FFO敏感性</w:t>
            </w:r>
          </w:p>
        </w:tc>
        <w:tc>
          <w:tcPr>
            <w:tcW w:type="dxa" w:w="4386"/>
          </w:tcPr>
          <w:p>
            <w:r>
              <w:t>2,166.57 百万USD</w:t>
            </w:r>
          </w:p>
        </w:tc>
        <w:tc>
          <w:tcPr>
            <w:tcW w:type="dxa" w:w="1949"/>
          </w:tcPr>
          <w:p>
            <w:r>
              <w:t>sp_ffo_rsu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采用PP&amp;E核销总额的EBITDA敏感性</w:t>
            </w:r>
          </w:p>
        </w:tc>
        <w:tc>
          <w:tcPr>
            <w:tcW w:type="dxa" w:w="4386"/>
          </w:tcPr>
          <w:p>
            <w:r>
              <w:t>3,449.00 百万USD</w:t>
            </w:r>
          </w:p>
        </w:tc>
        <w:tc>
          <w:tcPr>
            <w:tcW w:type="dxa" w:w="1949"/>
          </w:tcPr>
          <w:p>
            <w:r>
              <w:t>sp_ebitda_writeoff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债务分析估计（ARO尚未抵减）</w:t>
            </w:r>
          </w:p>
        </w:tc>
        <w:tc>
          <w:tcPr>
            <w:tcW w:type="dxa" w:w="4386"/>
          </w:tcPr>
          <w:p>
            <w:r>
              <w:t>29,888.00 百万USD</w:t>
            </w:r>
          </w:p>
        </w:tc>
        <w:tc>
          <w:tcPr>
            <w:tcW w:type="dxa" w:w="1949"/>
          </w:tcPr>
          <w:p>
            <w:r>
              <w:t>sp_gross_debt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仅扣99合格现金的条件债务</w:t>
            </w:r>
          </w:p>
        </w:tc>
        <w:tc>
          <w:tcPr>
            <w:tcW w:type="dxa" w:w="4386"/>
          </w:tcPr>
          <w:p>
            <w:r>
              <w:t>29,789.00 百万USD</w:t>
            </w:r>
          </w:p>
        </w:tc>
        <w:tc>
          <w:tcPr>
            <w:tcW w:type="dxa" w:w="1949"/>
          </w:tcPr>
          <w:p>
            <w:r>
              <w:t>sp_net_debt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2025历史条件债务/EBITDA</w:t>
            </w:r>
          </w:p>
        </w:tc>
        <w:tc>
          <w:tcPr>
            <w:tcW w:type="dxa" w:w="4386"/>
          </w:tcPr>
          <w:p>
            <w:r>
              <w:t>8.64 倍</w:t>
            </w:r>
          </w:p>
        </w:tc>
        <w:tc>
          <w:tcPr>
            <w:tcW w:type="dxa" w:w="1949"/>
          </w:tcPr>
          <w:p>
            <w:r>
              <w:t>sp_leverage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2025历史条件FFO/债务</w:t>
            </w:r>
          </w:p>
        </w:tc>
        <w:tc>
          <w:tcPr>
            <w:tcW w:type="dxa" w:w="4386"/>
          </w:tcPr>
          <w:p>
            <w:r>
              <w:t>7.31%</w:t>
            </w:r>
          </w:p>
        </w:tc>
        <w:tc>
          <w:tcPr>
            <w:tcW w:type="dxa" w:w="1949"/>
          </w:tcPr>
          <w:p>
            <w:r>
              <w:t>sp_ffo_debt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股份支付差额对EBITDA的影响</w:t>
            </w:r>
          </w:p>
        </w:tc>
        <w:tc>
          <w:tcPr>
            <w:tcW w:type="dxa" w:w="4386"/>
          </w:tcPr>
          <w:p>
            <w:r>
              <w:t>0.35%</w:t>
            </w:r>
          </w:p>
        </w:tc>
        <w:tc>
          <w:tcPr>
            <w:tcW w:type="dxa" w:w="1949"/>
          </w:tcPr>
          <w:p>
            <w:r>
              <w:t>sp_sbc_effect</w:t>
            </w:r>
          </w:p>
        </w:tc>
      </w:tr>
    </w:tbl>
    <w:p/>
    <w:p>
      <w:r>
        <w:t>此处仅汇总声明的指标；全部结果行、公式和未舍入值保留在工作簿及结果JSON。</w:t>
      </w:r>
    </w:p>
    <w:p>
      <w:r>
        <w:t>证据记录：E_SP_RATIOS, E_SP_SCOPE, E_SP_LEASE, E_SP_CASH, E_SP_SBC, E_SP_ARO, E_SP_XBRL</w:t>
      </w:r>
    </w:p>
    <w:p>
      <w:pPr>
        <w:pStyle w:val="Heading2"/>
      </w:pPr>
      <w:r>
        <w:t>假设与适用限制</w:t>
      </w:r>
    </w:p>
    <w:p>
      <w:r>
        <w:t>资本化现金付息以同年已披露应计资本化利息估计，原报值与估计分列；改变该估计时FFO和CFO同额反向变动，资本支出同额反向变动，FOCF不变。</w:t>
      </w:r>
    </w:p>
    <w:p>
      <w:r>
        <w:t>股份支付全部作为权益结算、资产净减记全部作为非流动项是有披露支持的分析估计；RSU已直接证实，余项另给敏感性。内部使用软件按适用方法不反转。</w:t>
      </w:r>
    </w:p>
    <w:p>
      <w:r>
        <w:t>ARO先采用未抵减负债的分析估计；税益、专款和残值尚未量化。条件净债仅扣普通现金，并以其符合方法可动用条件为前提。</w:t>
      </w:r>
    </w:p>
    <w:p>
      <w:r>
        <w:t>指标是按已识别事项形成的分析估计，不是S&amp;P发表的发行人指标或会计报表重述；不构成主体或债项等级。</w:t>
      </w:r>
    </w:p>
    <w:p>
      <w:r>
        <w:t>历史2025持续经营利润与当年末保留债务配套；未把2026实际出售收款直接从历史债务扣除。</w:t>
      </w:r>
    </w:p>
    <w:p>
      <w:r>
        <w:t>租赁CFO加回是方法分类代理，不等于实际付款，也不增加可支用现金。受限现金用途及最终售后债务现金仍需独立取证。</w:t>
      </w:r>
    </w:p>
    <w:p>
      <w:r>
        <w:t>完整结果、输入快照与复算信息见 Excel Q1/Quant1 系列工作表及 quantitative-Q_sp_crown.json。</w:t>
      </w:r>
    </w:p>
    <w:p>
      <w:pPr>
        <w:pStyle w:val="Heading1"/>
      </w:pPr>
      <w:r>
        <w:t>已执行程序与待核工作</w:t>
      </w:r>
    </w:p>
    <w:p>
      <w:pPr>
        <w:pStyle w:val="Heading2"/>
      </w:pPr>
      <w:r>
        <w:t>P01 核实减值先后及测试单元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 2024 年报政策、商誉滚动和资产核销段落</w:t>
      </w:r>
    </w:p>
    <w:p>
      <w:r>
        <w:t>读 SEC 问询回复关于测试顺序、资产组、CBSA 及计量基础的说明</w:t>
      </w:r>
    </w:p>
    <w:p>
      <w:r>
        <w:t>读 FASB ASU 2017-04 选定条款并视觉区分增删标记，不把 ASU 称权威 Codification</w:t>
      </w:r>
    </w:p>
    <w:p>
      <w:r>
        <w:t>复算商誉期初减费用至期末</w:t>
      </w:r>
    </w:p>
    <w:p>
      <w:r>
        <w:t>重新读note5/p75并核图像：Fiber4,958至0、Towers5,127不变；更正合并标签并复算分部桥</w:t>
      </w:r>
    </w:p>
    <w:p>
      <w:r>
        <w:t>实际结果：公开披露顺序与算术支持；未取得模型，未重新执行估值。；证据 E24IMPAIR, E24WRITE, ESECSEQ, EFASB, C_gw2024, C_fibergw。</w:t>
      </w:r>
    </w:p>
    <w:p>
      <w:pPr>
        <w:pStyle w:val="Heading2"/>
      </w:pPr>
      <w:r>
        <w:t>P02 验证持有待售损失组成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读年报 note 3 及脚注，逐页图像核对金额与列头</w:t>
      </w:r>
    </w:p>
    <w:p>
      <w:r>
        <w:t>把准备与售出费用同表损失勾稽；分别保留税、现金及范围</w:t>
      </w:r>
    </w:p>
    <w:p>
      <w:r>
        <w:t>实际补读最初签署协议§2.2–2.7及所用定义，区分公开机制、未公开附表和实际结算</w:t>
      </w:r>
    </w:p>
    <w:p>
      <w:r>
        <w:t>读取五月公开备考，明确不能倒填2025年末89差额；检查已读官方索引的修订信息</w:t>
      </w:r>
    </w:p>
    <w:p>
      <w:r>
        <w:t>实际结果：分类与2025损失桥保留；公开价格/结算机制及备考已取得，年末89差额、实际结算和未识别修订影响仍未解释。；证据 E25HFS, ESECSALE, C_sale2025, ESPAPRICE, ESPASETTLE, EPROBS, EQ126INDEX。</w:t>
      </w:r>
    </w:p>
    <w:p>
      <w:pPr>
        <w:pStyle w:val="Heading2"/>
      </w:pPr>
      <w:r>
        <w:t>P03 复算四表及税现金桥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读取并视觉核对年报四表和现金调节表</w:t>
      </w:r>
    </w:p>
    <w:p>
      <w:r>
        <w:t>用现有 calculate.evaluate 复算加总、损益—现金—权益及资产负债恒等式</w:t>
      </w:r>
    </w:p>
    <w:p>
      <w:r>
        <w:t>检验现金单位/期初期末/终止范围，保留输出差额</w:t>
      </w:r>
    </w:p>
    <w:p>
      <w:r>
        <w:t>实际结果：四表列示加总和滚动复算；算术结果另存 results.json，非审计意见。；证据 E25BS, E25PL, E25CF, E25EQ, E25TAX, E25CASH。</w:t>
      </w:r>
    </w:p>
    <w:p>
      <w:pPr>
        <w:pStyle w:val="Heading2"/>
      </w:pPr>
      <w:r>
        <w:t>P04 核验原报与重列版本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读原 2024 年报损益及分部表，并视觉复核</w:t>
      </w:r>
    </w:p>
    <w:p>
      <w:r>
        <w:t>对比 2025 年报 2024 持续和终止列；分别核验收入、税前利润、税、净利润</w:t>
      </w:r>
    </w:p>
    <w:p>
      <w:r>
        <w:t>读 2025 Q1 原 note 3、SEC 回复和 2026 Q1 脚注，保持来源版本</w:t>
      </w:r>
    </w:p>
    <w:p>
      <w:r>
        <w:t>实际结果：两处版本差异保留并请求解释，没有替换原文数字。；证据 E24ORIG, EQ125, ESECSALE, EQ126HFS, C_recastrev2024, C_priorallow。</w:t>
      </w:r>
    </w:p>
    <w:p>
      <w:pPr>
        <w:pStyle w:val="Heading2"/>
      </w:pPr>
      <w:r>
        <w:t>P05 验证出售与偿债时间界线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读五月一日完成公告和五月七日 Q1 报告期后附注</w:t>
      </w:r>
    </w:p>
    <w:p>
      <w:r>
        <w:t>将三月准备滚动、交割价调、已预提成本支付、实际及计划偿债分开</w:t>
      </w:r>
    </w:p>
    <w:p>
      <w:r>
        <w:t>排除七月及之后发表的 Q2 结果</w:t>
      </w:r>
    </w:p>
    <w:p>
      <w:r>
        <w:t>实际读出售8-K Ex99.2 p18–21及Note2(A)–(E)，将发表日、BS/损益假设日、五月实际/计划逐层区分</w:t>
      </w:r>
    </w:p>
    <w:p>
      <w:r>
        <w:t>复算公开备考现金、资产/负债调整接权益、利息和持续经营利润；保留834行原始标签差异</w:t>
      </w:r>
    </w:p>
    <w:p>
      <w:r>
        <w:t>实际结果：实际约数和备考均各有来源：备考现金调整6,247、现金6,346、权益‑1,796、持续利润1,188闭合；未将其认作五月实际现金、最终处置损益或契约EBITDA。；证据 ESALE, EQ126SALE, C_qallow, C_saleproceeds, EPROBASIS, EPROBS, EPROPL, ESALEVERSION, C_pf_cashadd, C_pf_equity, C_pf_contni。</w:t>
      </w:r>
    </w:p>
    <w:p>
      <w:pPr>
        <w:pStyle w:val="Heading2"/>
      </w:pPr>
      <w:r>
        <w:t>P06 阅读新旧融资资源与定义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阅读年报债务表、契约报告和隔离实体说明</w:t>
      </w:r>
    </w:p>
    <w:p>
      <w:r>
        <w:t>读新协议 §1.01、1.04、1.05、4.02、6.10，复核替代关系及提款约束</w:t>
      </w:r>
    </w:p>
    <w:p>
      <w:r>
        <w:t>分开账面值、本金、旧未提额度、CP 备用占用及新信用证</w:t>
      </w:r>
    </w:p>
    <w:p>
      <w:r>
        <w:t>补读2022 Amendment7附后旧协议指定定义及§1.04/1.05/6.09/6.10，与新原文分别核对</w:t>
      </w:r>
    </w:p>
    <w:p>
      <w:r>
        <w:t>读2025年报和2026Q1附件索引、五月新8-K终止条款，有限检索截止前后续版本；无证据不推定不存在未公开修订</w:t>
      </w:r>
    </w:p>
    <w:p>
      <w:r>
        <w:t>实际结果：旧新主信贷选定条款链现已补齐；旧待售例外和租赁/债务口径分别标明。内部缺口限数值调整、合规证明及非公开条款，未声称检查所有SPE票据契约。；证据 E25DEBT, E25COV, E25SPE, ECREDIT, C_oldnetavailability, C_newnetLC, EOLDCREDIT, EOLDVERSION, EQ126INDEX。</w:t>
      </w:r>
    </w:p>
    <w:p>
      <w:pPr>
        <w:pStyle w:val="Heading2"/>
      </w:pPr>
      <w:r>
        <w:t>P07 寻找不利证据</w:t>
      </w:r>
    </w:p>
    <w:p>
      <w:r>
        <w:t>状态 performed；认定 披露一致性、计算准确性、期间及范围；总体 上述来源已明确定位的公开页面与表格，非企业交易总体；选取 围绕交易、四表及资金债务的针对性选取；不是统计审计抽样。</w:t>
      </w:r>
    </w:p>
    <w:p>
      <w:r>
        <w:t>读 DISH 期后披露及现金/收入确认含义</w:t>
      </w:r>
    </w:p>
    <w:p>
      <w:r>
        <w:t>将公司可收回判断与独立收款证据区分</w:t>
      </w:r>
    </w:p>
    <w:p>
      <w:r>
        <w:t>实际结果：将应收收回风险作为反证；未进行法律或收款函证。；证据 EDISH。</w:t>
      </w:r>
    </w:p>
    <w:p>
      <w:pPr>
        <w:pStyle w:val="Heading2"/>
      </w:pPr>
      <w:r>
        <w:t>P_SP 复核持续经营范围及跨会计和信用方法的调整桥</w:t>
      </w:r>
    </w:p>
    <w:p>
      <w:r>
        <w:t>状态 performed；认定 完整性、分类、计算准确性、期间及范围；总体 所列官方年报、Q1披露、SEC原申报标签与S&amp;P相关条文；选取 按实际租赁、付息、股份支付、减记、ARO及客户事件取证，不是企业交易统计审计抽样。</w:t>
      </w:r>
    </w:p>
    <w:p>
      <w:r>
        <w:t>核对原报附注默认持续经营范围及现金流剥离</w:t>
      </w:r>
    </w:p>
    <w:p>
      <w:r>
        <w:t>核原SEC accession和InterestPaidNet定义，分别记录应计与现金资本化利息</w:t>
      </w:r>
    </w:p>
    <w:p>
      <w:r>
        <w:t>阅读租赁/ARO/股份支付/软件及最佳估计条款并建立无重复加回的桥</w:t>
      </w:r>
    </w:p>
    <w:p>
      <w:r>
        <w:t>从同一底稿执行确定性计算及案例专用方法桥，保留局部敏感性</w:t>
      </w:r>
    </w:p>
    <w:p>
      <w:r>
        <w:t>核对Q1实际变化、续约表头及土地指标定义</w:t>
      </w:r>
    </w:p>
    <w:p>
      <w:r>
        <w:t>实际结果：原报利息、DDA和ARO滚动勾稽，资本化现金与分类残余保留估计；不构成完整主体或债项评级。；证据 E_SP_RATIOS, E_SP_XBRL, E_SP_Q1CFO, E_SP_RENEW, E_SP_LAND, sp_ffo, C_sp_aro。</w:t>
      </w:r>
    </w:p>
    <w:p>
      <w:pPr>
        <w:pStyle w:val="Heading2"/>
      </w:pPr>
      <w:r>
        <w:t>Q01 待补资料</w:t>
      </w:r>
    </w:p>
    <w:p>
      <w:r>
        <w:t>资产组/报告单元组织图、长期资产账面基数、未折现预测、商誉 DCF/市场法、税属性及敏感性</w:t>
      </w:r>
    </w:p>
    <w:p>
      <w:r>
        <w:t>影响：不能从公司结论独立重做可收回性或公允价值。责任角色：财务估值/业务预算负责人。关闭条件：取得可追溯模型、董事会预算及实际回测，按正确顺序重做并解释余量</w:t>
      </w:r>
    </w:p>
    <w:p>
      <w:pPr>
        <w:pStyle w:val="Heading2"/>
      </w:pPr>
      <w:r>
        <w:t>Q02 待补资料</w:t>
      </w:r>
    </w:p>
    <w:p>
      <w:r>
        <w:t>分类日内部会计备忘录、公开原件省略的ScheduleII/VI等附表及出售估值/费用明细、准备滚动；实际适用但未在已取得的公开原件找到的签署修订</w:t>
      </w:r>
    </w:p>
    <w:p>
      <w:r>
        <w:t>影响：最初签署协议及§2.2–2.7机制已读；公开备考不能解释2025年末89差额或证明所有初始/后续计量。责任角色：交易会计/法务。关闭条件：按2025分类/年末各日期逐项连接净资产、估计售价、费用与准备；说明89差额及实际适用修订，避免五月信息倒填</w:t>
      </w:r>
    </w:p>
    <w:p>
      <w:pPr>
        <w:pStyle w:val="Heading2"/>
      </w:pPr>
      <w:r>
        <w:t>Q03 待补资料</w:t>
      </w:r>
    </w:p>
    <w:p>
      <w:r>
        <w:t>按法律实体的银行确认、受限现金、CP 备用额度、现金上划限制、未来逐月支出债务服务</w:t>
      </w:r>
    </w:p>
    <w:p>
      <w:r>
        <w:t>影响：集团现金不等于法律母公司可动用资源，不能双算融资来源。责任角色：司库/法务。关闭条件：形成同一时点来源用途表、到期梯度与压力情境，分清承诺/限制/备用占用</w:t>
      </w:r>
    </w:p>
    <w:p>
      <w:pPr>
        <w:pStyle w:val="Heading2"/>
      </w:pPr>
      <w:r>
        <w:t>Q04 待补资料</w:t>
      </w:r>
    </w:p>
    <w:p>
      <w:r>
        <w:t>已公开票据/SPE契约之外的未公开补充担保/现金限制、实际DSCR及现金陷阱合规证书、回收估值和估值输入</w:t>
      </w:r>
    </w:p>
    <w:p>
      <w:r>
        <w:t>影响：公开契约的后续补读另见F06，不列为内部资料缺口；母公司主信用协议定义已读，但不替代每项SPE实际遵约与回收价值证据。责任角色：融资法务/司库。关闭条件：完成主体→债项法律及资金链，若需评级字母另选截止内正式方法并公开判断调整</w:t>
      </w:r>
    </w:p>
    <w:p>
      <w:pPr>
        <w:pStyle w:val="Heading2"/>
      </w:pPr>
      <w:r>
        <w:t>Q05 待补资料</w:t>
      </w:r>
    </w:p>
    <w:p>
      <w:r>
        <w:t>新旧已签合规证书、Borrower/Restricted Subsidiary总体及债务/合格现金/EBITDA逐项数值调整、出售及偿债备考底稿、实际限制性付款和未公开豁免</w:t>
      </w:r>
    </w:p>
    <w:p>
      <w:r>
        <w:t>影响：公开新旧定义及会计备考已取得；缺按各适用版本执行的金额与证明，Article11净利润/节息不等于契约EBITDA。责任角色：司库/贷款代理行。关闭条件：分别按生效版本重建合规证书，验证待售例外/出售剔除及本金/租赁/现金调整、提款当日CP和条件，确认美元余量</w:t>
      </w:r>
    </w:p>
    <w:p>
      <w:pPr>
        <w:pStyle w:val="Heading2"/>
      </w:pPr>
      <w:r>
        <w:t>Q06 待补资料</w:t>
      </w:r>
    </w:p>
    <w:p>
      <w:r>
        <w:t>未公开的交割前估计表、实际124价调组成、最终结算表及尾款、银行收款/还款凭证、127备考估计与实际费用/留任支付及74已应计费用支付桥、四月新增投资</w:t>
      </w:r>
    </w:p>
    <w:p>
      <w:r>
        <w:t>影响：公开8,500−124−127−2,002=6,247备考已取得；它不证明最终现金、实际还债时间或最终损益；最初合同机制不提供未公开结算数。责任角色：交易财务/司库。关闭条件：从实际交割凭证逐项连接最终价格、费用应计/支付及每笔偿债；确定后续修订影响。截止后材料另列验证层，不回填截止事实</w:t>
      </w:r>
    </w:p>
    <w:p>
      <w:pPr>
        <w:pStyle w:val="Heading2"/>
      </w:pPr>
      <w:r>
        <w:t>Q07 待补资料</w:t>
      </w:r>
    </w:p>
    <w:p>
      <w:r>
        <w:t>原 2024 分部到重列持续/终止收入的逐项抵销与范围桥；2025 Q1 准备脚注差异正式解释</w:t>
      </w:r>
    </w:p>
    <w:p>
      <w:r>
        <w:t>影响：两处公开版本算术不能无解释合并。责任角色：财务报告负责人。关闭条件：正式桥或更正分别解释两项差异，不将猜测写成事实</w:t>
      </w:r>
    </w:p>
    <w:p>
      <w:pPr>
        <w:pStyle w:val="Heading2"/>
      </w:pPr>
      <w:r>
        <w:t>Q08 待补资料</w:t>
      </w:r>
    </w:p>
    <w:p>
      <w:r>
        <w:t>DISH 合同争议法律意见、期后收款、和解及对手方能力证据</w:t>
      </w:r>
    </w:p>
    <w:p>
      <w:r>
        <w:t>影响：管理层可收回判断需要独立反证与收款支持。责任角色：法务/信用控制。关闭条件：按公开信息截止和法律实体区分已收、争议、预计收回及计量调整</w:t>
      </w:r>
    </w:p>
    <w:p>
      <w:pPr>
        <w:pStyle w:val="Heading2"/>
      </w:pPr>
      <w:r>
        <w:t>Q_SP 待补资料</w:t>
      </w:r>
    </w:p>
    <w:p>
      <w:r>
        <w:t>资本化现金利息的结算拆分、股份支付非RSU差额的结算分类、PP&amp;E核销与净减记差额说明；ARO可用税益及专款抵减</w:t>
      </w:r>
    </w:p>
    <w:p>
      <w:r>
        <w:t>影响：收窄实际存在的估计差额和评级临界性；965付息gross/net以及RSU已知部分无需重复索取。责任角色：资金、财务及税务负责人。关闭条件：逐项解释已识别差额，重新执行同一方法桥并评价聚合影响；不要求无关的全量内部资料才提供已有分析</w:t>
      </w:r>
    </w:p>
    <w:p>
      <w:pPr>
        <w:pStyle w:val="Heading1"/>
      </w:pPr>
      <w:r>
        <w:t>来源与定位</w:t>
      </w:r>
    </w:p>
    <w:p>
      <w:r>
        <w:t>[S25] Crown Castle 2025 Form 10-K；公布 2026-02-23</w:t>
        <w:br/>
        <w:t>https://investor.crowncastle.com/static-files/68fb84e1-1dac-440d-96b4-55b9603e10dd</w:t>
        <w:br/>
        <w:t>官方 IR 原件；SEC accession 0001051470-26-000016。重点实际读印刷/物理页 40、45、56–61、65–72、75–81、87–90；数字表 p45/58/59/60/61/72/88 视觉复核。其余只用于检索定位，不称全页审阅。 核对note8/p75–79、note18/p89及Exhibit Index p101–102。</w:t>
      </w:r>
    </w:p>
    <w:p>
      <w:r>
        <w:t>[S24] Crown Castle 2024 Form 10-K（原报）；公布 2025-03-14</w:t>
        <w:br/>
        <w:t>https://investor.crowncastle.com/static-files/baed4489-6578-4e32-81e6-a084eea66a02</w:t>
        <w:br/>
        <w:t>官方IR原件；accession 0001051470-25-000089。承接原读p39、48–50、61、89；实际读取note5/p75和note14/p88–89，p75图像核对Fiber/Towers/合并商誉三列。</w:t>
      </w:r>
    </w:p>
    <w:p>
      <w:r>
        <w:t>[SSEC] Crown Castle 2025-06-04 SEC comment-response letter；公布 未核验</w:t>
        <w:br/>
        <w:t>https://www.sec.gov/Archives/edgar/data/1051470/000105147025000154/filename1.htm</w:t>
        <w:br/>
        <w:t>实际在线阅读完整公司回复；信函日期 2025-06-04、accession 为 2025 年；首次公开日期未独立核准，故 published=null。用于事后理解截至截止日已公开的会计解释，不是当时市场首次获悉日研究。 在线核对comments1–2；ASC360实际引用35-17，税及830/819差额均在comment2。</w:t>
      </w:r>
    </w:p>
    <w:p>
      <w:r>
        <w:t>[SQ125] Crown Castle Q1 2025 Form 10-Q 原报；公布 2025-05-09</w:t>
        <w:br/>
        <w:t>https://www.sec.gov/Archives/edgar/data/1051470/000105147025000141/cci-20250331.htm</w:t>
        <w:br/>
        <w:t>实际在线读 note 3 待售资产负债及准备；未本地保存全文。日期经公司 IR filing index 核对。</w:t>
      </w:r>
    </w:p>
    <w:p>
      <w:r>
        <w:t>[SQ126] Crown Castle Q1 2026 Form 10-Q；公布 2026-05-07</w:t>
        <w:br/>
        <w:t>https://investor.crowncastle.com/static-files/de60fca2-89d5-499d-899b-8e0a23030617</w:t>
        <w:br/>
        <w:t>accession 0001051470-26-000059；印刷页比物理 PDF 页少 1。实际读四表相关行、note 3/p9、债务 p12、现金 p18、期后 p19–20、流动性 p28；物理 p10/19/20/21 视觉复核。未经审计中期报表。 另读Item6 Exhibit Index印刷p38/PDF p39，用于公开协议版本核查。</w:t>
      </w:r>
    </w:p>
    <w:p>
      <w:r>
        <w:t>[SSALE] Crown Castle announces completion of fiber and small cell sale；公布 2026-05-01</w:t>
        <w:br/>
        <w:t>https://investor.crowncastle.com/node/29086</w:t>
        <w:br/>
        <w:t>实际阅读公司 2026-05-01 09:19 EDT 新闻稿；区分已完成交割与预计未来偿债/回购。</w:t>
      </w:r>
    </w:p>
    <w:p>
      <w:r>
        <w:t>[SCREDIT] Crown Castle May 1 2026 Form 8-K and Exhibit 10.1 credit agreement；公布 2026-05-01</w:t>
        <w:br/>
        <w:t>https://investor.crowncastle.com/static-files/dd7712df-51aa-4a29-b6a5-67becf7b2234</w:t>
        <w:br/>
        <w:t>accession 0001051470-26-000055；已读 8-K 概要、协议 §1.01 EBITDA/债务/现金定义、§1.04、§1.05、§4.02、§6.10；协议印刷页 43/44/93/108 对应 PDF 物理页 53/54/103/118。未声称检查所有附件。 核对8-K Item1.02及新协议Net Income印刷p12–13/PDF p22–23，与旧协议分别比较，不追溯使用新本金/租赁文字。</w:t>
      </w:r>
    </w:p>
    <w:p>
      <w:r>
        <w:t>[SFASB] FASB ASU 2017-04 — Simplifying the Test for Goodwill Impairment；公布 未核验</w:t>
        <w:br/>
        <w:t>https://storage.fasb.org/ASU2017-04.pdf</w:t>
        <w:br/>
        <w:t>封面 January 2017，未核定日级发表日期。实际读封面权威性说明、摘要、印刷 p8/PDF p14 与印刷 p12/PDF p18，后两页图像复核下划线新增和删除线。ASU 说明 Codification 变更，本身并非权威 Codification；未称已核对所有后续修订。</w:t>
      </w:r>
    </w:p>
    <w:p>
      <w:r>
        <w:t>[SPROFORMA] 2026-05-01 出售8-K及Exhibit99.2公开未经审计备考；公布 2026-05-01</w:t>
        <w:br/>
        <w:t>https://investor.crowncastle.com/static-files/f4ff727f-0f13-4f18-affa-1ff461698ccf</w:t>
        <w:br/>
        <w:t>官方21页PDF；实际读物理p2–3正文/索引、p5/p10公告及p18–21 Exhibit99.2，特别Note2(A)–(E)。完整下载和提取不等于全文审阅；BS假设2025-12-31、利润表假设2025-01-01完成。</w:t>
      </w:r>
    </w:p>
    <w:p>
      <w:r>
        <w:t>[SSPA] 2025-03-13签署出售协议（2025-03-17提交8-K Exhibit2.1）；公布 2025-03-17</w:t>
        <w:br/>
        <w:t>https://investor.crowncastle.com/static-files/3b910737-4f3d-4197-a8b4-893f83855c9f</w:t>
        <w:br/>
        <w:t>官方169页PDF；SEC对应原件https://www.sec.gov/Archives/edgar/data/1051470/000095014225000762/eh250603725_ex0201.htm亦在线读。实际读§2.2–2.7（协议p35–44/PDF p45–54）、§1.1相关定义PDF p16/20/23/34–37/40和§12.9 PDF p160。附表/部分内容按Reg S-K省略；未把最初协议称作完整最终修订版。</w:t>
      </w:r>
    </w:p>
    <w:p>
      <w:r>
        <w:t>[SOLDCREDIT] 2022-07-08 Amendment No.7及附后旧信用协议；公布 2022-07-08</w:t>
        <w:br/>
        <w:t>https://investor.crowncastle.com/static-files/d735da3e-9136-43ce-ad76-3a96bcb686cf</w:t>
        <w:br/>
        <w:t>官方196页PDF，SEC对应https://www.sec.gov/Archives/edgar/data/1051470/000119312522190527/d536644dex101.htm。实际读指定定义PDF p42–43/45–46/56–57/69/73/79–81、§1.04/1.05 PDF p84–85（印刷p55–56）、§6.09/6.10 PDF p158（印刷p129）；SEC在线区分删除线。未全读所有附件。</w:t>
      </w:r>
    </w:p>
    <w:p>
      <w:r>
        <w:t>[S_SP_Q4] Crown Castle Q4 2025 Supplemental Information；公布 2026-02-04</w:t>
        <w:br/>
        <w:t>https://investor.crowncastle.com/static-files/bea23792-6649-4b95-9395-aa837e68396c</w:t>
        <w:br/>
        <w:t>官方原件；S&amp;P日期为当前所用重发版，原发日期与阅读范围见对应证据；公司补充资料页码为PDF物理页。</w:t>
      </w:r>
    </w:p>
    <w:p>
      <w:r>
        <w:t>[S_SP_Q1] Crown Castle Q1 2026 Supplemental Information；公布 2026-04-22</w:t>
        <w:br/>
        <w:t>https://investor.crowncastle.com/static-files/38f6a584-60a8-452d-bfd2-a44103aeec82</w:t>
        <w:br/>
        <w:t>官方原件；S&amp;P日期为当前所用重发版，原发日期与阅读范围见对应证据；公司补充资料页码为PDF物理页。</w:t>
      </w:r>
    </w:p>
    <w:p>
      <w:r>
        <w:t>[S_SP_RATIOS] S&amp;P Corporate Methodology: Ratios And Adjustments；公布 2025-12-17</w:t>
        <w:br/>
        <w:t>https://www.maalot.co.il/Publications/MT20251223092257.pdf</w:t>
        <w:br/>
        <w:t>官方原件；S&amp;P日期为当前所用重发版，原发日期与阅读范围见对应证据；公司补充资料页码为PDF物理页。</w:t>
      </w:r>
    </w:p>
    <w:p>
      <w:r>
        <w:t>[S_SP_SECTORS] S&amp;P Sector-Specific Corporate Methodology — Digital Infrastructure；公布 2025-09-26</w:t>
        <w:br/>
        <w:t>https://www.maalot.co.il/Publications/MT20251012123218.pdf</w:t>
        <w:br/>
        <w:t>官方原件；S&amp;P日期为当前所用重发版，原发日期与阅读范围见对应证据；公司补充资料页码为PDF物理页。</w:t>
      </w:r>
    </w:p>
    <w:p>
      <w:r>
        <w:t>[S_SP_XBRL] SEC Companyfacts：Crown Castle 2025原申报事实；公布 2026-02-23</w:t>
        <w:br/>
        <w:t>https://data.sec.gov/api/xbrl/companyfacts/CIK0001051470.json</w:t>
        <w:br/>
        <w:t>API响应取得于2026-10-04；仅选accession 0001051470-26-000016、filed 2026-02-23、2025年度事实，未使用截止日后申报值。published为所选原申报公开日，非API快照取得日。</w:t>
      </w:r>
    </w:p>
    <w:p>
      <w:r>
        <w:t>[E25BS] S25 印刷及 PDF p58，Consolidated Balance Sheet，2025/2024 两列。资产、负债及权益四表组成行；比较列已按终止经营重列。 官方原件披露；阅读与复算不构成审计保证</w:t>
      </w:r>
    </w:p>
    <w:p>
      <w:r>
        <w:t>[E25PL] S25 印刷及 PDF p59，Consolidated Statement of Operations and Comprehensive Income。持续、终止、处置损失及合并损益分别列示。 官方原件披露；阅读与复算不构成审计保证</w:t>
      </w:r>
    </w:p>
    <w:p>
      <w:r>
        <w:t>[E25CF] S25 印刷及 PDF p60，Consolidated Statement of Cash Flows。现金流始于合并净利润，先去除终止经营损益及处置损失，再并入终止经营 CFO；期末现金含受限及终止经营。 官方原件披露；阅读与复算不构成审计保证</w:t>
      </w:r>
    </w:p>
    <w:p>
      <w:r>
        <w:t>[E25EQ] S25 印刷及 PDF p61，Consolidated Statement of Equity (Deficit)。权益年初、股份支付相关净额、库存股/回购、综合收益和宣告分配桥。 官方原件披露；阅读与复算不构成审计保证</w:t>
      </w:r>
    </w:p>
    <w:p>
      <w:r>
        <w:t>[E25HFS] S25 note 3，印刷及 PDF p71–72，尤其 p72 资产负债、损益及脚注 (b)(c)。Fiber Business 出售构成重大策略转变；持有待售后停止折旧摊销；处置损失包括准备与已发生售出费用，REIT 未确认对应税益。 官方原件披露；阅读与复算不构成审计保证</w:t>
      </w:r>
    </w:p>
    <w:p>
      <w:r>
        <w:t>[E24IMPAIR] S24 p48–50 Critical Accounting Policies；note 5，印刷/PDF p75 goodwill rollforward。长期资产用未折现现金流先测试可收回性；Fiber 商誉估值受 small cells 需求、扩张计划、长期现金流及估值假设影响；年末尚未满足持有待售。 p75分部表：Fiber商誉4,958全额减值至0；Towers5,127未变；集团合并10,085减至5,127，剩余全属Towers。 官方原件披露；阅读与复算不构成审计保证</w:t>
      </w:r>
    </w:p>
    <w:p>
      <w:r>
        <w:t>[E24WRITE] S24 MD&amp;A p39，Asset write-down charges。当年取消约七千 greenfield nodes 有独立资产核销；不能把未触发 ASC360 资产组减值泛化为没有任何资产核销。 官方原件披露；阅读与复算不构成审计保证</w:t>
      </w:r>
    </w:p>
    <w:p>
      <w:r>
        <w:t>[ESECSEQ] SSEC 公司回复 Staff comment 1；引用 ASC350-20-35-31 和 ASC360-10-35-17。公司明确先测长期资产再测商誉。Fiber segment 同时是最低独立现金流资产组及商誉报告单元；同一预算模型以未折现和折现两个计量基础形成不同结论。CBSA 分析为辅助，非主要测试单元。 SEC 托管公司正式回复；非 SEC 接受结论或审计程序执行证据</w:t>
      </w:r>
    </w:p>
    <w:p>
      <w:r>
        <w:t>[ESECSALE] SSEC 公司回复 comment 2；ASC205-20-45-3A、税项及830损失/819准备/11售出费用。公司区分当季处置损失与持有待售准备，差额系已支付或应计售出成本；终止业务税额与处置税额不是同一事项。 公司回复；未把其承诺的披露修订等同会计差错更正</w:t>
      </w:r>
    </w:p>
    <w:p>
      <w:r>
        <w:t>[E24ORIG] S24 原报 p61 合并损益；note 14/p88–89 segment results，分部表p89。保留原报合并收入及原 Tower/Fiber 分部收入，与次年重列版本独立比较。 官方原件披露；阅读与复算不构成审计保证</w:t>
      </w:r>
    </w:p>
    <w:p>
      <w:r>
        <w:t>[E25TAX] S25 note 10，印刷及 PDF p80，所得税组成及法定税率金额调节。持续经营税项以法定金额、REIT、州及外国税因素调节；REIT 不代表全部业务免税。 官方原件披露；阅读与复算不构成审计保证</w:t>
      </w:r>
    </w:p>
    <w:p>
      <w:r>
        <w:t>[E25CASH] S25 note 16，印刷及 PDF p88，cash reconciliation table。现金按持续/终止及受限/非受限分层；受限现金多为债务服务托管资金。 官方原件披露；阅读与复算不构成审计保证</w:t>
      </w:r>
    </w:p>
    <w:p>
      <w:r>
        <w:t>[E25DEBT] S25 note 8，p75–79 债务表、2018 Tower Revenue Notes、CP Program；MD&amp;A p40/p45。账面债务含债务费用折抵；CP 虽呈长期仍属短票，备用承诺与 CP 不能相加；塔票据预期还款日与最终到期日不同。 官方原件披露；阅读与复算不构成审计保证</w:t>
      </w:r>
    </w:p>
    <w:p>
      <w:r>
        <w:t>[E25COV] S25 MD&amp;A p45 covenant table 及脚注。旧协议报告合规比率；条件式利息保障只在两家指定评级触发时适用；报告比率不能直接由 GAAP 总债/管理层 EBITDA 替代。 官方原件披露；阅读与复算不构成审计保证</w:t>
      </w:r>
    </w:p>
    <w:p>
      <w:r>
        <w:t>[E25SPE] S25 note 8/p77–78，2018 Tower Revenue Notes 及 2009 Securitized Notes。SPE 债项、现金流、担保品和非义务主体存在区别；某些 Verizon 相关实体分配可入偿债来源，但其资产不是担保物。 官方原件披露；阅读与复算不构成审计保证</w:t>
      </w:r>
    </w:p>
    <w:p>
      <w:r>
        <w:t>[E25AUDIT] S25 p56–57，PwC auditor report，2026-02-23。PwC 对财务报表及内控发表意见；Fiber 处置列为 CAM。审计师所列合同检查/账簿勾稽并非本研究已完成程序。 官方原件披露；阅读与复算不构成审计保证</w:t>
      </w:r>
    </w:p>
    <w:p>
      <w:r>
        <w:t>[EQ125] SQ125 note 3，2025-03-31 held-for-sale table。原报待售准备与 SEC 回复一致；保留为原始比较版本。 官方原件披露；阅读与复算不构成审计保证</w:t>
      </w:r>
    </w:p>
    <w:p>
      <w:r>
        <w:t>[EQ126HFS] SQ126 note 3 印刷 p9/PDF p10，2026/2025 比较损益、准备表、脚注 (c)。本期准备可按处置损失减售出费用滚动；脚注回述上年准备金额与上年原报不同，未见此处附解释。 官方原件披露；阅读与复算不构成审计保证</w:t>
      </w:r>
    </w:p>
    <w:p>
      <w:r>
        <w:t>[EQ126CF] SQ126 印刷 p18/PDF p19 现金调节；note 5/p12 债务；MD&amp;A/p28 流动性。三月现金、债务和旧额度是出售前余额，不能减去五月偿还后仍称三月实际数。 官方原件披露；阅读与复算不构成审计保证</w:t>
      </w:r>
    </w:p>
    <w:p>
      <w:r>
        <w:t>[EQ126SALE] SQ126 note 14 印刷 p19/PDF p20，Completion of Strategic Fiber Transaction。五月实收为合同总价扣初步价调；交割成本此前已入账；实际已还贷与预计后续还贷分别披露；三月报表未因五月完成而调整。 官方原件披露；阅读与复算不构成审计保证</w:t>
      </w:r>
    </w:p>
    <w:p>
      <w:r>
        <w:t>[EQ126FAC] SQ126 note 14 印刷 p20/PDF p21；MD&amp;A/p28 May 5 balances。新额度替代旧协议，净杠杆门槛上调并移除利息保障条款；五月初 CP 尚未全部偿清。 官方原件披露；阅读与复算不构成审计保证</w:t>
      </w:r>
    </w:p>
    <w:p>
      <w:r>
        <w:t>[ESALE] SSALE 2026-05-01 官方 completion 公告开头、Use of proceeds。确认交割已发生；后续还款和回购是管理层计划而非全额已执行。 官方原件披露；阅读与复算不构成审计保证</w:t>
      </w:r>
    </w:p>
    <w:p>
      <w:r>
        <w:t>[ECREDIT] SCREDIT 8-K Item 1.01；协议 §1.01、§1.04/p43、§1.05/p44、§4.02/p93、§6.10/p108。新额度的法律借款人、承诺、信用证、指标定义及提款条件；总债按本金而非融资费用净额，租赁遵约按约定旧会计定义，出售要求备考调整 EBITDA。 新Net Income同样保留待售尚未处置例外。新§1.04全本金与2015-12-31租赁基础不得追溯旧版；Item1.02确认五月一日旧贷款已全还，不给出等同备考2,002的实际金额。 官方原件披露；阅读与复算不构成审计保证</w:t>
      </w:r>
    </w:p>
    <w:p>
      <w:r>
        <w:t>[EDISH] S25 note 18/p89，Subsequent Events—DISH Wireless。DISH 违约争议后公司仍认为已有应收可收回；未来合同主张不是现金或无争议已实现资产。 官方原件披露；阅读与复算不构成审计保证</w:t>
      </w:r>
    </w:p>
    <w:p>
      <w:r>
        <w:t>[EFASB] SFASB 印刷 p12/PDF p18：350-20-35-31/32；印刷 p8/PDF p14：350-20-35-4/8 修订标记。同日测试其他资产/资产组先于商誉；取消旧商誉 Step 2 后，报告单元账面超过公允价值的费用受分配商誉上限约束，适用时考虑可税扣商誉税影响。实际查看删除线，未误用被删除段落。 FASB 官方准则变更原件；本身不是权威 Codification，结合公司当期政策和 SEC 回复使用</w:t>
      </w:r>
    </w:p>
    <w:p>
      <w:r>
        <w:t>[EPROBASIS] SPROFORMA Ex99.2 PDF p18编制基础；p21 Note1。BS假设2025-12-31交割；全年损益假设2025-01-01交割，2026-05-01发表。Article11说明性备考非预测或五月实际报表，未纳入其他非直接相关事项。 官方公开原件；选定原文阅读与复算，不构成审计保证</w:t>
      </w:r>
    </w:p>
    <w:p>
      <w:r>
        <w:t>[EPROBS] SPROFORMA Ex99.2 PDF p19资产负债表；p21 Note2(A)–(D)。8,500−124初步价调‑127估计交易及留任成本‑2,002按2025年末本金假设偿债=6,247剩余现金，历史现金99至备考6,346；资产减少4,478、负债减少4,317，权益变化‑161至‑1,796。Note2(A)把124称作2025历史报表尚未反映的增量处置损失，仍为备考处理，非最终第二季度实绩。834行原件重复标Deferred site rental receivables，而2025年报p58称site rental contracts and tenant relationships；原标签差异保留，未据此改历史事实。 官方公开原件；选定原文阅读与复算，不构成审计保证</w:t>
      </w:r>
    </w:p>
    <w:p>
      <w:r>
        <w:t>[EPROPL] SPROFORMA Ex99.2 PDF p20损益；p21 Note2(E)。2025历史持续经营净利1,103加备考利息减少85至1,188；利息行‑972+85=‑887，税费16不变。85源自2025实际发生的旧额度及其融资偿债利息测算，非以2,002乘臆测利率，也非契约EBITDA。 官方公开原件；选定原文阅读与复算，不构成审计保证</w:t>
      </w:r>
    </w:p>
    <w:p>
      <w:r>
        <w:t>[ESPAPRICE] SSPA §2.2–2.3，PDF p45–48；§1.1定义PDF p16/20/23/34–37/40。最初签署协议Fiber/Small Cell基价各4,250；按营运资本差、净债务、未付交易费用、分拆费用、CapEx及特定支付调整。相关定义有指定范围和防双计，不能用GAAP总流动项替代。定义/机制已公开，但不能由此拆出124初步调整或2025年末8,500与净资产8,411的89差额。 官方公开原件；选定原文阅读与复算，不构成审计保证</w:t>
      </w:r>
    </w:p>
    <w:p>
      <w:r>
        <w:t>[ESPASETTLE] SSPA §2.4–2.7，PDF p48–54；§12.9 PDF p160。估计表、交割后买方初步表、卖方异议/会计师裁决及最终补款/退款机制已公开；Specified Payments等有例外。实际估计/最终表、附件分摊及可能未公开修订未取得，不能用期限经过推定结算完成。 官方公开原件；选定原文阅读与复算，不构成审计保证</w:t>
      </w:r>
    </w:p>
    <w:p>
      <w:r>
        <w:t>[ESALEVERSION] SPROFORMA 8-K PDF p2 Item2.01、p3 Exhibit Index；Ex99.1 p10 Fiber Business定义。公司确认五月完成和约8.4bn实收；初步价格调整仍待交割后结算。正文未列可识别修订日期/条款；仅概括修订措辞不能证明某项已改或从未改。 官方公开原件；选定原文阅读与复算，不构成审计保证</w:t>
      </w:r>
    </w:p>
    <w:p>
      <w:r>
        <w:t>[EQ126INDEX] SQ126 Item6 Exhibit Index，印刷p38/PDF p39。Ex2.1仍指向2025-03-17出售协议；Ex10.3指向2026-05-01新信贷协议。未找到单独出售修订文本，无法证明初始机制所有细节均沿用至交割。 官方公开原件；选定原文阅读与复算，不构成审计保证</w:t>
      </w:r>
    </w:p>
    <w:p>
      <w:r>
        <w:t>[EOLDCREDIT] SOLDCREDIT §1.01定义：印刷p13–17/27–28/40/44/50–52；§1.04/1.05 p55–56；§6.09/6.10 p129。旧Net Income保留待售尚未处置组成部分；EBITDA按Borrower/Restricted Subsidiaries及列明调整。债务、Unrestricted Cash和Restricted定义及历史租赁冻结已读；旧§1.04并无2026新增全本金文字。§1.05含重大出售/偿债备考；旧常规净杠杆6.50、担保3.50及评级触发保障2.50，符合收购条件可有限期7.00。金额调整与合规证书尚缺。 官方公开原件；选定原文阅读与复算，不构成审计保证</w:t>
      </w:r>
    </w:p>
    <w:p>
      <w:r>
        <w:t>[EOLDVERSION] S25 Exhibit Index p101–102，Ex10.49–10.55，尤其2022 Amendment7。截至2025年报官方索引最后列明旧信贷2022-07-08 Amendment7；结合2026Q1索引和新信贷8-K终止披露、截止前官方定向搜索，所读范围未发现后续改变选定旧定义/门槛的提交文本。不能推定不存在未公开豁免。 官方公开原件；选定原文阅读与复算，不构成审计保证</w:t>
      </w:r>
    </w:p>
    <w:p>
      <w:r>
        <w:t>[E_SP_RATIOS] S_SP_RATIOS 原发2019-04-01，2025-12-17重发，PDF7 ¶31–35；17–25 ¶86–137；44–45 ¶223–225。例行调整资料不完整时允许有依据的最佳估计；经营租赁同步调整债、EBITDA、利息和现金流；资本化现金利息重分类不改变FOCF；内部使用软件通常不反转。现金抵债不普遍扣最低运营预算，特殊受限现金按实际目的判断。 官方原件；按所列范围取证，估计及方法适用判断另标，不构成审计保证。</w:t>
      </w:r>
    </w:p>
    <w:p>
      <w:r>
        <w:t>[E_SP_SCOPE] S25 note1/PDF及印刷p62；p60、p87–88。附注除特别说明外采用持续经营范围。合并CFO含终止经营，需剥离；补充现金付息、现金税和租赁支付按该附注范围解释。现金总计308不能全部作为可抵债现金。 官方原件；按所列范围取证，估计及方法适用判断另标，不构成审计保证。</w:t>
      </w:r>
    </w:p>
    <w:p>
      <w:r>
        <w:t>[E_SP_LEASE] S25 PDF/印刷p58、p64、p75、p85、p87；note14。经营租赁成本599对应ROU，另有可变147，经营租赁实际付现519；期末经营租赁负债5229，贴现率5.2%。融资租赁折旧185已含690，融资租赁负债5已含金融债务；不能重复加回。 官方原件；按所列范围取证，估计及方法适用判断另标，不构成审计保证。</w:t>
      </w:r>
    </w:p>
    <w:p>
      <w:r>
        <w:t>[E_SP_CASH] S25 PDF/印刷p68利息表；p87补充现金流。应计利息956、融资费摊销31、资本化15，净列费用972。现金付息965、现金税15，不能把所得税费用16或全部非现金利息当现金。资本化现金实付未单列，另作分析估计。 官方原件；按所列范围取证，估计及方法适用判断另标，不构成审计保证。</w:t>
      </w:r>
    </w:p>
    <w:p>
      <w:r>
        <w:t>[E_SP_SBC] S25 PDF/印刷p59、p65、p83–84。持续经营股份支付73，其中每RSU对应一股普通股的费用61。PP&amp;E放弃和核销12、损益净减记行11，差1未解释；不得将权益变动157代替费用73。 官方原件；按所列范围取证，估计及方法适用判断另标，不构成审计保证。</w:t>
      </w:r>
    </w:p>
    <w:p>
      <w:r>
        <w:t>[E_SP_ARO] S25 PDF/印刷p65、p73–74；p80–82税务。ARO301加增值25减结算4至322；折旧488、摊销177及ARO增值25合为690。未识别逐项税益/专款抵减，REIT身份不证明所有税益为零，也不能机械用21%。 官方原件；按所列范围取证，估计及方法适用判断另标，不构成审计保证。</w:t>
      </w:r>
    </w:p>
    <w:p>
      <w:r>
        <w:t>[E_SP_XBRL] S_SP_XBRL facts/us-gaap/InterestPaidNet、InterestCostsCapitalized、AllocatedShareBasedCompensationExpense、ShareBasedCompensation；指定原申报accession。InterestPaidNet的2025值965百万美元，标签定义明确排除资本化利息且列经营活动。资本化利息15为发生额而非独立现金金额；73同时标为股份支付费用及非现金股份支付费用。 官方原件；按所列范围取证，估计及方法适用判断另标，不构成审计保证。</w:t>
      </w:r>
    </w:p>
    <w:p>
      <w:r>
        <w:t>[E_SP_Q1CFO] SQ126 PDF6/印刷p5，2026Q1/2025Q1现金流表；PDF19–20/印刷p18–19，note13重组事项。合并CFO509/641，终止经营CFO213/270；比较期间均按同一持续经营范围剥离。2026重组计划费用14、已付12、未付2；2023/2024计划本季另付4、未付12。不能因公司非GAAP加回就从方法经营费用全部剔除。 官方原件；按所列范围取证，估计及方法适用判断另标，不构成审计保证。</w:t>
      </w:r>
    </w:p>
    <w:p>
      <w:r>
        <w:t>[E_SP_Q1BILL] S_SP_Q1 PDF10/印刷p9：2026Q1列，Components of changes in site rental revenues。上年同期billings964；剔DISH及Sprint后的本期增量30，DISH终止影响‑49、Sprint不续约‑5，合为‑24。该非GAAP经营桥不是现金回款或IFRS/CAS收入。 官方原件；按所列范围取证，估计及方法适用判断另标，不构成审计保证。</w:t>
      </w:r>
    </w:p>
    <w:p>
      <w:r>
        <w:t>[E_SP_RENEW] S_SP_Q4 PDF13/印刷p12；TENANT OVERVIEW及脚注(a)–(f)。客户合同平均剩余6年，AT&amp;T3年；2028续约组年度化现金租金861，其中AT&amp;T775。该表假设续约/延期，排除DISH，不是2028确定损失或当年现金到期额。 官方原件；按所列范围取证，估计及方法适用判断另标，不构成审计保证。</w:t>
      </w:r>
    </w:p>
    <w:p>
      <w:r>
        <w:t>[E_SP_LAND] S_SP_Q4 PDF14/印刷p13：GROUND INTEREST OVERVIEW及脚注(e)–(i)。自有土地塔12045/39804，自有地块贡献末季年化站点租金毛现金利润1280/2999。租地加权剩余35年含续约选择权，与账内租赁15年、客户当前6年不可等同。 官方原件；按所列范围取证，估计及方法适用判断另标，不构成审计保证。</w:t>
      </w:r>
    </w:p>
    <w:p>
      <w:r>
        <w:t>[E_SP_SECTORS] S_SP_SECTORS 2025-07-07原发、2025-09-26重发；PDF61–78数字基础设施章，尤其68–71及77。塔资产提供方与移动运营商付塔费不同。波动档要求业务风险、竞争地位及可预测CFO等共同条件，90%/2/3不是租赁收入比例。土地控制、客户质量和网络必要性可以缓释，但不能替代续约及违约压力。 官方原件；按所列范围取证，估计及方法适用判断另标，不构成审计保证。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Crown Castle Inc. and subsidiaries  |  crown-castle-2025-public-3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