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贵州茅台酒股份有限公司 年报分析</w:t>
      </w:r>
    </w:p>
    <w:p>
      <w:r>
        <w:t>600519.SH | A-share | CAS | consolidated | 2024-12-31 | CNY | 亿元</w:t>
      </w:r>
    </w:p>
    <w:p>
      <w:r>
        <w:t>分析范围以披露资料及下列阅读记录为准。缺失信息和未解决问题单独列示。</w:t>
      </w:r>
    </w:p>
    <w:p>
      <w:pPr>
        <w:pStyle w:val="Heading1"/>
      </w:pPr>
      <w:r>
        <w:t>主要发现</w:t>
      </w:r>
    </w:p>
    <w:p>
      <w:pPr>
        <w:keepNext/>
      </w:pPr>
      <w:r>
        <w:rPr>
          <w:b/>
        </w:rPr>
        <w:t xml:space="preserve">披露事实  </w:t>
      </w:r>
      <w:r>
        <w:t>2024年营业收入1708.99亿元、归母净利润862.28亿元，均高于2023年。营业收入与包含利息收入的营业总收入1741.44亿元是不同口径。</w:t>
      </w:r>
    </w:p>
    <w:p>
      <w:pPr>
        <w:keepLines/>
      </w:pPr>
      <w:r>
        <w:rPr>
          <w:color w:val="58655F"/>
          <w:sz w:val="18"/>
        </w:rPr>
        <w:t>[ar2024] PDF p. 63 / 印刷页 63; [ar2024] PDF p. 64 / 印刷页 64; [business] PDF p. 7-9 / 印刷页 7-9</w:t>
      </w:r>
    </w:p>
    <w:p>
      <w:pPr>
        <w:keepNext/>
      </w:pPr>
      <w:r>
        <w:rPr>
          <w:b/>
        </w:rPr>
        <w:t xml:space="preserve">分析判断  </w:t>
      </w:r>
      <w:r>
        <w:t>经营现金流超过合并净利润，但现金增长包含财务公司归集成员单位资金的影响，不能据此独立认定酒业利润全部实现了现金回收。</w:t>
      </w:r>
    </w:p>
    <w:p>
      <w:pPr>
        <w:keepLines/>
      </w:pPr>
      <w:r>
        <w:rPr>
          <w:color w:val="58655F"/>
          <w:sz w:val="18"/>
        </w:rPr>
        <w:t>[ar2024] PDF p. 67 / 印刷页 67; [ar2024] PDF p. 64 / 印刷页 64; [business] PDF p. 7-9 / 印刷页 7-9; [cashnote] PDF p. 116-117 / 印刷页 116-117; [related] PDF p. 131-132 / 印刷页 131-132</w:t>
      </w:r>
    </w:p>
    <w:p>
      <w:pPr>
        <w:keepNext/>
      </w:pPr>
      <w:r>
        <w:rPr>
          <w:b/>
        </w:rPr>
        <w:t xml:space="preserve">披露事实  </w:t>
      </w:r>
      <w:r>
        <w:t>无保留审计意见；收入确认、关联方及交易为关键审计事项。关键审计事项表示审计关注，并非造假结论。</w:t>
      </w:r>
    </w:p>
    <w:p>
      <w:pPr>
        <w:keepLines/>
      </w:pPr>
      <w:r>
        <w:rPr>
          <w:color w:val="58655F"/>
          <w:sz w:val="18"/>
        </w:rPr>
        <w:t>[audit] PDF p. 55-58 / 印刷页 55-58</w:t>
      </w:r>
    </w:p>
    <w:p>
      <w:pPr>
        <w:pStyle w:val="Heading1"/>
      </w:pPr>
      <w:r>
        <w:t>业务与收入变化</w:t>
      </w:r>
    </w:p>
    <w:p>
      <w:pPr>
        <w:keepNext/>
      </w:pPr>
      <w:r>
        <w:rPr>
          <w:b/>
        </w:rPr>
        <w:t xml:space="preserve">管理层表述  </w:t>
      </w:r>
      <w:r>
        <w:t>公司主营茅台酒及系列酒，使用批发代理和直销渠道；管理层将收入增长归因于销量增长及茅台酒主要产品价格调整。</w:t>
      </w:r>
    </w:p>
    <w:p>
      <w:pPr>
        <w:keepLines/>
      </w:pPr>
      <w:r>
        <w:rPr>
          <w:color w:val="58655F"/>
          <w:sz w:val="18"/>
        </w:rPr>
        <w:t>[business] PDF p. 7-9 / 印刷页 7-9</w:t>
      </w:r>
    </w:p>
    <w:p>
      <w:pPr>
        <w:keepNext/>
      </w:pPr>
      <w:r>
        <w:rPr>
          <w:b/>
        </w:rPr>
        <w:t xml:space="preserve">披露事实  </w:t>
      </w:r>
      <w:r>
        <w:t>2024年其他系列酒主营收入同比增长19.65%，茅台酒增长15.28%；直销增长11.32%，批发代理增长19.73%。这些为年报披露口径，不应替换合并营业收入增长率。</w:t>
      </w:r>
    </w:p>
    <w:p>
      <w:pPr>
        <w:keepLines/>
      </w:pPr>
      <w:r>
        <w:rPr>
          <w:color w:val="58655F"/>
          <w:sz w:val="18"/>
        </w:rPr>
        <w:t>[business] PDF p. 7-9 / 印刷页 7-9</w:t>
      </w:r>
    </w:p>
    <w:p>
      <w:pPr>
        <w:pStyle w:val="Heading1"/>
      </w:pPr>
      <w:r>
        <w:t>现金、利润与资本支出</w:t>
      </w:r>
    </w:p>
    <w:p>
      <w:pPr>
        <w:keepNext/>
      </w:pPr>
      <w:r>
        <w:rPr>
          <w:b/>
        </w:rPr>
        <w:t xml:space="preserve">披露事实  </w:t>
      </w:r>
      <w:r>
        <w:t>合并现金流量补充资料将净利润调节至经营现金流；其中存货增加调减79.08亿元，经营性应付项目增加调增80.66亿元。</w:t>
      </w:r>
    </w:p>
    <w:p>
      <w:pPr>
        <w:keepLines/>
      </w:pPr>
      <w:r>
        <w:rPr>
          <w:color w:val="58655F"/>
          <w:sz w:val="18"/>
        </w:rPr>
        <w:t>[cashnote] PDF p. 116-117 / 印刷页 116-117</w:t>
      </w:r>
    </w:p>
    <w:p>
      <w:pPr>
        <w:keepNext/>
      </w:pPr>
      <w:r>
        <w:rPr>
          <w:b/>
        </w:rPr>
        <w:t xml:space="preserve">分析判断  </w:t>
      </w:r>
      <w:r>
        <w:t>CFO减资本支出可作为本例的简单现金余量指标，但包含财务公司业务现金流，也未扣除所有资本配置需求，不能直接称为可分配给股东的现金。</w:t>
      </w:r>
    </w:p>
    <w:p>
      <w:pPr>
        <w:keepLines/>
      </w:pPr>
      <w:r>
        <w:rPr>
          <w:color w:val="58655F"/>
          <w:sz w:val="18"/>
        </w:rPr>
        <w:t>[ar2024] PDF p. 67 / 印刷页 67; [related] PDF p. 131-132 / 印刷页 131-132; [commitments] PDF p. 135-136 / 印刷页 135-136</w:t>
      </w:r>
    </w:p>
    <w:p>
      <w:pPr>
        <w:keepNext/>
      </w:pPr>
      <w:r>
        <w:rPr>
          <w:b/>
        </w:rPr>
        <w:t xml:space="preserve">披露事实  </w:t>
      </w:r>
      <w:r>
        <w:t>2024年期末现金及现金等价物1699.70亿元包含存放同业款项和买入返售金融资产；法定存款准备金74.04亿元未计入现金及现金等价物。</w:t>
      </w:r>
    </w:p>
    <w:p>
      <w:pPr>
        <w:keepLines/>
      </w:pPr>
      <w:r>
        <w:rPr>
          <w:color w:val="58655F"/>
          <w:sz w:val="18"/>
        </w:rPr>
        <w:t>[cashnote] PDF p. 116-117 / 印刷页 116-117</w:t>
      </w:r>
    </w:p>
    <w:p>
      <w:pPr>
        <w:pStyle w:val="Heading1"/>
      </w:pPr>
      <w:r>
        <w:t>资产、负债与附注观察</w:t>
      </w:r>
    </w:p>
    <w:p>
      <w:pPr>
        <w:keepNext/>
      </w:pPr>
      <w:r>
        <w:rPr>
          <w:b/>
        </w:rPr>
        <w:t xml:space="preserve">分析判断  </w:t>
      </w:r>
      <w:r>
        <w:t>存货由464.35亿元增至543.43亿元；合同负债从141.26亿元降至95.92亿元。长期贮存工艺与渠道预收共同影响营运资金，单一存货天数或合同负债变化不能证明需求恶化。</w:t>
      </w:r>
    </w:p>
    <w:p>
      <w:pPr>
        <w:keepLines/>
      </w:pPr>
      <w:r>
        <w:rPr>
          <w:color w:val="58655F"/>
          <w:sz w:val="18"/>
        </w:rPr>
        <w:t>[ar2024] PDF p. 59 / 印刷页 59; [outlook] PDF p. 20-21 / 印刷页 20-21; [business] PDF p. 7-9 / 印刷页 7-9; [cashnote] PDF p. 116-117 / 印刷页 116-117; [balance] PDF p. 58-61 / 印刷页 58-61</w:t>
      </w:r>
    </w:p>
    <w:p>
      <w:pPr>
        <w:keepNext/>
      </w:pPr>
      <w:r>
        <w:rPr>
          <w:b/>
        </w:rPr>
        <w:t xml:space="preserve">披露事实  </w:t>
      </w:r>
      <w:r>
        <w:t>财务公司存放同业款项中100亿元不能随时支取；公司对两只产业基金尚未履行的认缴出资余额各30亿元。</w:t>
      </w:r>
    </w:p>
    <w:p>
      <w:pPr>
        <w:keepLines/>
      </w:pPr>
      <w:r>
        <w:rPr>
          <w:color w:val="58655F"/>
          <w:sz w:val="18"/>
        </w:rPr>
        <w:t>[restricted] PDF p. 86 / 印刷页 86; [commitments] PDF p. 135-136 / 印刷页 135-136</w:t>
      </w:r>
    </w:p>
    <w:p>
      <w:pPr>
        <w:pStyle w:val="Heading1"/>
      </w:pPr>
      <w:r>
        <w:t>审计、会计口径与扣非</w:t>
      </w:r>
    </w:p>
    <w:p>
      <w:pPr>
        <w:keepNext/>
      </w:pPr>
      <w:r>
        <w:rPr>
          <w:b/>
        </w:rPr>
        <w:t xml:space="preserve">披露事实  </w:t>
      </w:r>
      <w:r>
        <w:t>天健审〔2025〕8-171号审计报告日期为2025年4月1日；财务报表采用中国企业会计准则和持续经营基础。</w:t>
      </w:r>
    </w:p>
    <w:p>
      <w:pPr>
        <w:keepLines/>
      </w:pPr>
      <w:r>
        <w:rPr>
          <w:color w:val="58655F"/>
          <w:sz w:val="18"/>
        </w:rPr>
        <w:t>[audit] PDF p. 55-58 / 印刷页 55-58; [policy] PDF p. 74-75、85 / 印刷页 74-75、85</w:t>
      </w:r>
    </w:p>
    <w:p>
      <w:pPr>
        <w:keepNext/>
      </w:pPr>
      <w:r>
        <w:rPr>
          <w:b/>
        </w:rPr>
        <w:t xml:space="preserve">披露事实  </w:t>
      </w:r>
      <w:r>
        <w:t>年报披露2024年重要会计政策、会计估计变更及首次执行准则涉及年初调整均不适用。本底稿使用本报告的2023年比较数；2023年权益变动表内仍列示更早的期初会计政策调整，不能据此称历史上从无调整。</w:t>
      </w:r>
    </w:p>
    <w:p>
      <w:pPr>
        <w:keepLines/>
      </w:pPr>
      <w:r>
        <w:rPr>
          <w:color w:val="58655F"/>
          <w:sz w:val="18"/>
        </w:rPr>
        <w:t>[policy] PDF p. 74-75、85 / 印刷页 74-75、85; [equitynote] PDF p. 70-72 / 印刷页 70-72</w:t>
      </w:r>
    </w:p>
    <w:p>
      <w:pPr>
        <w:keepNext/>
      </w:pPr>
      <w:r>
        <w:rPr>
          <w:b/>
        </w:rPr>
        <w:t xml:space="preserve">披露事实  </w:t>
      </w:r>
      <w:r>
        <w:t>2024年归母扣非净利润862.41亿元，非经常性损益合计为负1275.96万元，已包含所得税及少数股东影响。保留公司扣非口径，不自行把全部投资收益删除。</w:t>
      </w:r>
    </w:p>
    <w:p>
      <w:pPr>
        <w:keepLines/>
      </w:pPr>
      <w:r>
        <w:rPr>
          <w:color w:val="58655F"/>
          <w:sz w:val="18"/>
        </w:rPr>
        <w:t>[nonrecurring] PDF p. 5-7 / 印刷页 5-7</w:t>
      </w:r>
    </w:p>
    <w:p>
      <w:pPr>
        <w:pStyle w:val="Heading1"/>
      </w:pPr>
      <w:r>
        <w:t>治理与关联交易</w:t>
      </w:r>
    </w:p>
    <w:p>
      <w:pPr>
        <w:keepNext/>
      </w:pPr>
      <w:r>
        <w:rPr>
          <w:b/>
        </w:rPr>
        <w:t xml:space="preserve">披露事实  </w:t>
      </w:r>
      <w:r>
        <w:t>年报列示审计委员会2024年召开六次会议，审议定期报告、审计机构聘任及财务公司日常关联交易等事项。</w:t>
      </w:r>
    </w:p>
    <w:p>
      <w:pPr>
        <w:keepLines/>
      </w:pPr>
      <w:r>
        <w:rPr>
          <w:color w:val="58655F"/>
          <w:sz w:val="18"/>
        </w:rPr>
        <w:t>[governance] PDF p. 31-32 / 印刷页 31-32</w:t>
      </w:r>
    </w:p>
    <w:p>
      <w:pPr>
        <w:keepNext/>
      </w:pPr>
      <w:r>
        <w:rPr>
          <w:b/>
        </w:rPr>
        <w:t xml:space="preserve">分析判断  </w:t>
      </w:r>
      <w:r>
        <w:t>财务公司期末吸收关联方存款及同业存放231.03亿元，涉及控股股东等成员单位。需要结合存贷款定价、期限和资金使用限制评价，会议次数不能证明治理有效性。</w:t>
      </w:r>
    </w:p>
    <w:p>
      <w:pPr>
        <w:keepLines/>
      </w:pPr>
      <w:r>
        <w:rPr>
          <w:color w:val="58655F"/>
          <w:sz w:val="18"/>
        </w:rPr>
        <w:t>[related] PDF p. 131-132 / 印刷页 131-132; [governance] PDF p. 31-32 / 印刷页 31-32</w:t>
      </w:r>
    </w:p>
    <w:p>
      <w:pPr>
        <w:pStyle w:val="Heading1"/>
      </w:pPr>
      <w:r>
        <w:t>未来计划与后续跟踪</w:t>
      </w:r>
    </w:p>
    <w:p>
      <w:pPr>
        <w:keepNext/>
      </w:pPr>
      <w:r>
        <w:rPr>
          <w:b/>
        </w:rPr>
        <w:t xml:space="preserve">管理层表述  </w:t>
      </w:r>
      <w:r>
        <w:t>管理层给出的2025年目标为营业总收入增长约9%、固定资产投资47.11亿元；这是当时披露的计划，不是本报告对未来结果的预测。</w:t>
      </w:r>
    </w:p>
    <w:p>
      <w:pPr>
        <w:keepLines/>
      </w:pPr>
      <w:r>
        <w:rPr>
          <w:color w:val="58655F"/>
          <w:sz w:val="18"/>
        </w:rPr>
        <w:t>[outlook] PDF p. 20-21 / 印刷页 20-21</w:t>
      </w:r>
    </w:p>
    <w:p>
      <w:pPr>
        <w:keepNext/>
      </w:pPr>
      <w:r>
        <w:rPr>
          <w:b/>
        </w:rPr>
        <w:t xml:space="preserve">披露事实  </w:t>
      </w:r>
      <w:r>
        <w:t>资产负债表日后披露拟分配利润346.71亿元及股份回购安排；未将拟分红直接记入2024年现金支出。</w:t>
      </w:r>
    </w:p>
    <w:p>
      <w:pPr>
        <w:keepLines/>
      </w:pPr>
      <w:r>
        <w:rPr>
          <w:color w:val="58655F"/>
          <w:sz w:val="18"/>
        </w:rPr>
        <w:t>[commitments] PDF p. 135-136 / 印刷页 135-136</w:t>
      </w:r>
    </w:p>
    <w:p>
      <w:pPr>
        <w:pStyle w:val="Heading1"/>
      </w:pPr>
      <w:r>
        <w:t>财务事实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088"/>
        <w:gridCol w:w="1512"/>
        <w:gridCol w:w="3024"/>
      </w:tblGrid>
      <w:tr>
        <w:trPr>
          <w:tblHeader/>
        </w:trPr>
        <w:tc>
          <w:tcPr>
            <w:tcW w:type="dxa" w:w="3456"/>
          </w:tcPr>
          <w:p>
            <w:r>
              <w:rPr>
                <w:b/>
                <w:color w:val="000000"/>
                <w:sz w:val="19"/>
              </w:rPr>
              <w:t>项目及口径</w:t>
            </w:r>
          </w:p>
        </w:tc>
        <w:tc>
          <w:tcPr>
            <w:tcW w:type="dxa" w:w="2088"/>
          </w:tcPr>
          <w:p>
            <w:r>
              <w:rPr>
                <w:b/>
                <w:color w:val="000000"/>
                <w:sz w:val="19"/>
              </w:rPr>
              <w:t>期间</w:t>
            </w:r>
          </w:p>
        </w:tc>
        <w:tc>
          <w:tcPr>
            <w:tcW w:type="dxa" w:w="1512"/>
          </w:tcPr>
          <w:p>
            <w:r>
              <w:rPr>
                <w:b/>
                <w:color w:val="000000"/>
                <w:sz w:val="19"/>
              </w:rPr>
              <w:t>金额 (亿元)</w:t>
            </w:r>
          </w:p>
        </w:tc>
        <w:tc>
          <w:tcPr>
            <w:tcW w:type="dxa" w:w="3024"/>
          </w:tcPr>
          <w:p>
            <w:r>
              <w:rPr>
                <w:b/>
                <w:color w:val="000000"/>
                <w:sz w:val="19"/>
              </w:rPr>
              <w:t>出处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营业收入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1,708.99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63 / 印刷页 63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营业收入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1,476.94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63 / 印刷页 63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营业成本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137.89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63 / 印刷页 63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营业成本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118.67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63 / 印刷页 63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合并净利润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893.35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合并净利润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775.21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归属于母公司股东的净利润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862.28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归属于母公司股东的净利润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747.34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少数股东损益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31.07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少数股东损益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27.87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64 / 印刷页 64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资产总计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2,989.45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资产总计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2,727.00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负债合计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569.33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60 / 印刷页 60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负债合计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490.43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60 / 印刷页 60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所有者权益合计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2,420.11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61 / 印刷页 61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所有者权益合计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2,236.56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61 / 印刷页 61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归属于母公司所有者权益合计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2,331.06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61 / 印刷页 61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归属于母公司所有者权益合计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2,156.69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61 / 印刷页 61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流动资产合计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2,517.27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流动资产合计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2,251.73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流动负债合计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565.16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60 / 印刷页 60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流动负债合计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486.98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60 / 印刷页 60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存货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543.43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存货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464.35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应收账款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0.19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应收账款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0.60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59 / 印刷页 59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经营活动产生的现金流量净额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924.64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经营活动产生的现金流量净额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665.93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投资活动产生的现金流量净额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-17.85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投资活动产生的现金流量净额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-97.24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筹资活动产生的现金流量净额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-710.68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筹资活动产生的现金流量净额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-588.89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汇率变动对现金及现金等价物的影响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-0.01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68 / 印刷页 68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汇率变动对现金及现金等价物的影响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0.02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68 / 印刷页 68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现金及现金等价物期末余额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1,699.70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68 / 印刷页 68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现金及现金等价物期末余额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1,503.60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68 / 印刷页 68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购建固定资产、无形资产和其他长期资产支付的现金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46.79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购建固定资产、无形资产和其他长期资产支付的现金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26.20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67 / 印刷页 67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综合收益总额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893.31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65 / 印刷页 65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综合收益总额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2023-01-01 → 2023-12-31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775.26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65 / 印刷页 65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现金及现金等价物期末余额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— → 2022-12-31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1,523.79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68 / 印刷页 68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/>
            </w:pPr>
            <w:r>
              <w:rPr>
                <w:sz w:val="19"/>
              </w:rPr>
              <w:t>所有者交易净额（对所有者的分配）</w:t>
              <w:br/>
              <w:t>consolidated / reported / 原披露候选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9"/>
              </w:rPr>
              <w:t>2024-01-01 → 2024-12-31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sz w:val="19"/>
              </w:rPr>
              <w:t>-709.76 CNY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[ar2024] PDF p. 70-71 / 印刷页 70-71</w:t>
            </w:r>
          </w:p>
        </w:tc>
      </w:tr>
    </w:tbl>
    <w:p/>
    <w:p>
      <w:pPr>
        <w:keepLines/>
      </w:pPr>
      <w:r>
        <w:rPr>
          <w:sz w:val="18"/>
        </w:rPr>
        <w:t>营业收入 (2024-12-31)  采用营业收入，未使用含财务公司利息收入的营业总收入；2024年营业总收入为174,144,069,958.25元。</w:t>
      </w:r>
    </w:p>
    <w:p>
      <w:pPr>
        <w:keepLines/>
      </w:pPr>
      <w:r>
        <w:rPr>
          <w:sz w:val="18"/>
        </w:rPr>
        <w:t>营业收入 (2023-12-31)  采用营业收入，未使用含财务公司利息收入的营业总收入；2024年营业总收入为174,144,069,958.25元。</w:t>
      </w:r>
    </w:p>
    <w:p>
      <w:pPr>
        <w:keepLines/>
      </w:pPr>
      <w:r>
        <w:rPr>
          <w:sz w:val="18"/>
        </w:rPr>
        <w:t>应收账款 (2024-12-31)  应收账款净额，不含应收票据及其他应收款；周转指标只能解释此限定口径。</w:t>
      </w:r>
    </w:p>
    <w:p>
      <w:pPr>
        <w:keepLines/>
      </w:pPr>
      <w:r>
        <w:rPr>
          <w:sz w:val="18"/>
        </w:rPr>
        <w:t>应收账款 (2023-12-31)  应收账款净额，不含应收票据及其他应收款；周转指标只能解释此限定口径。</w:t>
      </w:r>
    </w:p>
    <w:p>
      <w:pPr>
        <w:keepLines/>
      </w:pPr>
      <w:r>
        <w:rPr>
          <w:sz w:val="18"/>
        </w:rPr>
        <w:t>经营活动产生的现金流量净额 (2024-12-31)  合并范围包括财务公司；含成员单位存款、同业及贷款相关现金变动，不能等同酒业经营回款。</w:t>
      </w:r>
    </w:p>
    <w:p>
      <w:pPr>
        <w:keepLines/>
      </w:pPr>
      <w:r>
        <w:rPr>
          <w:sz w:val="18"/>
        </w:rPr>
        <w:t>经营活动产生的现金流量净额 (2023-12-31)  合并范围包括财务公司；含成员单位存款、同业及贷款相关现金变动，不能等同酒业经营回款。</w:t>
      </w:r>
    </w:p>
    <w:p>
      <w:pPr>
        <w:keepLines/>
      </w:pPr>
      <w:r>
        <w:rPr>
          <w:sz w:val="18"/>
        </w:rPr>
        <w:t>购建固定资产、无形资产和其他长期资产支付的现金 (2024-12-31)  采用报表披露的购建固定资产、无形资产和其他长期资产现金支出；不含投资支付的现金和企业收购，未进一步拆分维持性/扩张性支出。</w:t>
      </w:r>
    </w:p>
    <w:p>
      <w:pPr>
        <w:keepLines/>
      </w:pPr>
      <w:r>
        <w:rPr>
          <w:sz w:val="18"/>
        </w:rPr>
        <w:t>购建固定资产、无形资产和其他长期资产支付的现金 (2023-12-31)  采用报表披露的购建固定资产、无形资产和其他长期资产现金支出；不含投资支付的现金和企业收购，未进一步拆分维持性/扩张性支出。</w:t>
      </w:r>
    </w:p>
    <w:p>
      <w:pPr>
        <w:keepLines/>
      </w:pPr>
      <w:r>
        <w:rPr>
          <w:sz w:val="18"/>
        </w:rPr>
        <w:t>现金及现金等价物期末余额 (2022-12-31)  作为2023年现金变动勾稽的期初余额。</w:t>
      </w:r>
    </w:p>
    <w:p>
      <w:pPr>
        <w:keepLines/>
      </w:pPr>
      <w:r>
        <w:rPr>
          <w:sz w:val="18"/>
        </w:rPr>
        <w:t>所有者交易净额（对所有者的分配） (2024-12-31)  2024年所有者交易仅列示利润分配；采用权益变动表确认金额，不以现金支付股利金额替代，也不是倒算平衡项。</w:t>
      </w:r>
    </w:p>
    <w:p>
      <w:pPr>
        <w:pStyle w:val="Heading1"/>
      </w:pPr>
      <w:r>
        <w:t>计算结果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440"/>
        <w:gridCol w:w="5616"/>
      </w:tblGrid>
      <w:tr>
        <w:trPr>
          <w:tblHeader/>
        </w:trPr>
        <w:tc>
          <w:tcPr>
            <w:tcW w:type="dxa" w:w="3024"/>
          </w:tcPr>
          <w:p>
            <w:r>
              <w:rPr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5616"/>
          </w:tcPr>
          <w:p>
            <w:r>
              <w:rPr>
                <w:b/>
                <w:color w:val="000000"/>
                <w:sz w:val="19"/>
              </w:rPr>
              <w:t>依据或缺失原因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营业收入变动额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232.06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{revenue_2024}-{revenue_2023}</w:t>
              <w:br/>
              <w:t>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营业收入同比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15.71%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({revenue_2024}-{revenue_2023})/{revenue_2023}</w:t>
              <w:br/>
              <w:t>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净利润变动额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118.13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{net_income_2024}-{net_income_2023}</w:t>
              <w:br/>
              <w:t>[ar2024] PDF p. 64 / 印刷页 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净利润同比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15.24%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({net_income_2024}-{net_income_2023})/{net_income_2023}</w:t>
              <w:br/>
              <w:t>[ar2024] PDF p. 64 / 印刷页 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毛利率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91.93%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({revenue_2024}-{cost_of_sales_2024})/{revenue_2024}</w:t>
              <w:br/>
              <w:t>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净利率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52.27%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{net_income_2024}/{revenue_2024}</w:t>
              <w:br/>
              <w:t>[ar2024] PDF p. 64 / 印刷页 64; 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经营现金流与净利润比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1.04×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{cfo_2024}/{net_income_2024}</w:t>
              <w:br/>
              <w:t>[ar2024] PDF p. 67 / 印刷页 67; [ar2024] PDF p. 64 / 印刷页 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流动比率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4.45×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{current_assets_2024}/{current_liabilities_2024}</w:t>
              <w:br/>
              <w:t>[ar2024] PDF p. 59 / 印刷页 59; [ar2024] PDF p. 60 / 印刷页 60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资产负债率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19.04%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{liabilities_2024}/{assets_2024}</w:t>
              <w:br/>
              <w:t>[ar2024] PDF p. 60 / 印刷页 60; [ar2024] PDF p. 59 / 印刷页 59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简化归母ROE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38.43%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{parent_net_income_2024}/(({parent_equity_2023}+{parent_equity_2024})/2)</w:t>
              <w:br/>
              <w:t>[ar2024] PDF p. 64 / 印刷页 64; [ar2024] PDF p. 61 / 印刷页 61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ROA 净利润口径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31.26%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{net_income_2024}/(({assets_2023}+{assets_2024})/2)</w:t>
              <w:br/>
              <w:t>[ar2024] PDF p. 64 / 印刷页 64; [ar2024] PDF p. 59 / 印刷页 59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存货周转天数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1,337.43 天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({inventory_2023}+{inventory_2024})/2/{cost_of_sales_2024}*366</w:t>
              <w:br/>
              <w:t>[ar2024] PDF p. 59 / 印刷页 59; 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应收账款周转天数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0.08 天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({receivables_2023}+{receivables_2024})/2/{revenue_2024}*366</w:t>
              <w:br/>
              <w:t>[ar2024] PDF p. 59 / 印刷页 59; [ar2024] PDF p. 63 / 印刷页 63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自由现金流 CFO减资本开支</w:t>
              <w:br/>
              <w:t>2024-12-31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9"/>
              </w:rPr>
              <w:t>877.85</w:t>
            </w:r>
          </w:p>
        </w:tc>
        <w:tc>
          <w:tcPr>
            <w:tcW w:type="dxa" w:w="5616"/>
          </w:tcPr>
          <w:p>
            <w:pPr>
              <w:spacing w:after="60"/>
            </w:pPr>
            <w:r>
              <w:rPr>
                <w:sz w:val="19"/>
              </w:rPr>
              <w:t>{cfo_2024}-{capex_2024}</w:t>
              <w:br/>
              <w:t>[ar2024] PDF p. 67 / 印刷页 67</w:t>
            </w:r>
          </w:p>
        </w:tc>
      </w:tr>
    </w:tbl>
    <w:p/>
    <w:p>
      <w:pPr>
        <w:pStyle w:val="Heading1"/>
      </w:pPr>
      <w:r>
        <w:t>报表勾稽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800"/>
        <w:gridCol w:w="5256"/>
      </w:tblGrid>
      <w:tr>
        <w:trPr>
          <w:tblHeader/>
        </w:trPr>
        <w:tc>
          <w:tcPr>
            <w:tcW w:type="dxa" w:w="3024"/>
          </w:tcPr>
          <w:p>
            <w:r>
              <w:rPr>
                <w:b/>
                <w:color w:val="000000"/>
                <w:sz w:val="19"/>
              </w:rPr>
              <w:t>检查</w:t>
            </w:r>
          </w:p>
        </w:tc>
        <w:tc>
          <w:tcPr>
            <w:tcW w:type="dxa" w:w="1800"/>
          </w:tcPr>
          <w:p>
            <w:r>
              <w:rPr>
                <w:b/>
                <w:color w:val="000000"/>
                <w:sz w:val="19"/>
              </w:rPr>
              <w:t>差额及状态</w:t>
            </w:r>
          </w:p>
        </w:tc>
        <w:tc>
          <w:tcPr>
            <w:tcW w:type="dxa" w:w="5256"/>
          </w:tcPr>
          <w:p>
            <w:r>
              <w:rPr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资产减负债减权益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sz w:val="19"/>
              </w:rPr>
              <w:t>0.00 / matched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sz w:val="19"/>
              </w:rPr>
              <w:t>{assets_2024}-{liabilities_2024}-{equity_2024}</w:t>
              <w:br/>
              <w:t>[ar2024] PDF p. 59 / 印刷页 59; [ar2024] PDF p. 60 / 印刷页 60; [ar2024] PDF p. 61 / 印刷页 61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净利润归属勾稽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sz w:val="19"/>
              </w:rPr>
              <w:t>0.00 / matched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sz w:val="19"/>
              </w:rPr>
              <w:t>{net_income_2024}-{parent_net_income_2024}-{minority_net_income_2024}</w:t>
              <w:br/>
              <w:t>[ar2024] PDF p. 64 / 印刷页 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现金及等价物变动勾稽 含汇率影响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sz w:val="19"/>
              </w:rPr>
              <w:t>0.00 / matched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sz w:val="19"/>
              </w:rPr>
              <w:t>{cash_equivalents_2024}-{cash_equivalents_2023}-{cfo_2024}-{cfi_2024}-{cff_2024}-{fx_effect_2024}</w:t>
              <w:br/>
              <w:t>[ar2024] PDF p. 68 / 印刷页 68; [ar2024] PDF p. 67 / 印刷页 67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/>
            </w:pPr>
            <w:r>
              <w:rPr>
                <w:sz w:val="19"/>
              </w:rPr>
              <w:t>权益变动勾稽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sz w:val="19"/>
              </w:rPr>
              <w:t>0.00 / matched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sz w:val="19"/>
              </w:rPr>
              <w:t>{equity_2024}-{equity_2023}-{comprehensive_income_2024}-{owner_transactions_2024}</w:t>
              <w:br/>
              <w:t>[ar2024] PDF p. 61 / 印刷页 61; [ar2024] PDF p. 65 / 印刷页 65; [ar2024] PDF p. 70-71 / 印刷页 70-71</w:t>
            </w:r>
          </w:p>
        </w:tc>
      </w:tr>
    </w:tbl>
    <w:p/>
    <w:p>
      <w:pPr>
        <w:pStyle w:val="Heading1"/>
      </w:pPr>
      <w:r>
        <w:t>待核问题</w:t>
      </w:r>
    </w:p>
    <w:p>
      <w:pPr>
        <w:keepNext/>
      </w:pPr>
      <w:r>
        <w:t>剔除财务公司存贷款及同业业务现金流后，酒业自身现金转化的可比变化是多少？本次未构造未披露的剔除后CFO。</w:t>
      </w:r>
    </w:p>
    <w:p>
      <w:pPr>
        <w:keepLines/>
      </w:pPr>
      <w:r>
        <w:rPr>
          <w:color w:val="58655F"/>
          <w:sz w:val="18"/>
        </w:rPr>
        <w:t>[business] PDF p. 7-9 / 印刷页 7-9; [related] PDF p. 131-132 / 印刷页 131-132; [cashnote] PDF p. 116-117 / 印刷页 116-117</w:t>
      </w:r>
    </w:p>
    <w:p>
      <w:pPr>
        <w:keepNext/>
      </w:pPr>
      <w:r>
        <w:t>直销与批发渠道增速差异及合同负债下降，在后续季度是否持续？需要新增披露，不能由单一年报定论。</w:t>
      </w:r>
    </w:p>
    <w:p>
      <w:pPr>
        <w:keepLines/>
      </w:pPr>
      <w:r>
        <w:rPr>
          <w:color w:val="58655F"/>
          <w:sz w:val="18"/>
        </w:rPr>
        <w:t>[business] PDF p. 7-9 / 印刷页 7-9; [ar2024] PDF p. 63 / 印刷页 63; [balance] PDF p. 58-61 / 印刷页 58-61</w:t>
      </w:r>
    </w:p>
    <w:p>
      <w:pPr>
        <w:keepNext/>
      </w:pPr>
      <w:r>
        <w:t>两只产业基金剩余认缴及后续回购、分红安排将如何影响可用资金？需结合后续公告逐项跟踪。</w:t>
      </w:r>
    </w:p>
    <w:p>
      <w:pPr>
        <w:keepLines/>
      </w:pPr>
      <w:r>
        <w:rPr>
          <w:color w:val="58655F"/>
          <w:sz w:val="18"/>
        </w:rPr>
        <w:t>[commitments] PDF p. 135-136 / 印刷页 135-136</w:t>
      </w:r>
    </w:p>
    <w:p>
      <w:pPr>
        <w:pStyle w:val="Heading1"/>
      </w:pPr>
      <w:r>
        <w:t>阅读覆盖及局限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224"/>
        <w:gridCol w:w="5976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1224"/>
          </w:tcPr>
          <w:p>
            <w:r>
              <w:rPr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5976"/>
          </w:tcPr>
          <w:p>
            <w:r>
              <w:rPr>
                <w:b/>
                <w:color w:val="000000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合并资产负债表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[ar2024] PDF p. 58-61 / 印刷页58-61</w:t>
              <w:br/>
              <w:t>核验单位、两期列及所录入项目，查看59-61页图像。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合并利润表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[ar2024] PDF p. 63-65 / 印刷页63-65</w:t>
              <w:br/>
              <w:t>区分营业收入/营业总收入与合并净利润/归母净利润，查看63-64页图像。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合并现金流量表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[ar2024] PDF p. 66-68 / 印刷页66-68</w:t>
              <w:br/>
              <w:t>核验两期现金流与FX；67-68页图像核对。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合并权益变动表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partial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[equitynote] PDF p. 70-72 / 印刷页70-72</w:t>
              <w:br/>
              <w:t>核验2024年分配及权益桥，读取2023年期初政策变更；未录入2023年完整所有者交易。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审计报告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[audit] PDF p. 55-58 / 印刷页55-58</w:t>
              <w:br/>
              <w:t>读取意见、关键审计事项、其他信息与责任段。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管理层讨论与分析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partial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[business] PDF p. 7-9、17-21 / 印刷页7-9、17-21</w:t>
              <w:br/>
              <w:t>仅阅读业务、变动说明、渠道、投资及未来目标，未把全部MD&amp;A标已读。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会计政策与编制基础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partial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[policy] PDF p. 74-75、85 / 印刷页74-75、85</w:t>
              <w:br/>
              <w:t>确认准则、期间、合并原则、重要性及政策变更，未逐项复核全部政策。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现金与受限资金附注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[cashnote] PDF p. 86、116-117 / 印刷页86、116-117</w:t>
              <w:br/>
              <w:t>核对现金构成、受限资金和利润现金调节；117页图像核对。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关联方附注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partial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[related] PDF p. 125-126、131-132、135 / 印刷页125-126、131-132、135</w:t>
              <w:br/>
              <w:t>重点阅读关联金融业务；未逐项核对全部关联采购销售及往来。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治理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partial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[governance] PDF p. 31-32 / 印刷页31-32</w:t>
              <w:br/>
              <w:t>只阅读董事履职与审计委员会，未验证治理实际效果。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承诺及期后事项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reviewed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>[commitments] PDF p. 135-136 / 印刷页135-136</w:t>
              <w:br/>
              <w:t>读取未履行基金出资、拟分红及披露的回购安排，不代表后来执行情况。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9"/>
              </w:rPr>
              <w:t>2025年及后续披露</w:t>
            </w:r>
          </w:p>
        </w:tc>
        <w:tc>
          <w:tcPr>
            <w:tcW w:type="dxa" w:w="1224"/>
          </w:tcPr>
          <w:p>
            <w:pPr>
              <w:spacing w:after="60"/>
            </w:pPr>
            <w:r>
              <w:rPr>
                <w:sz w:val="19"/>
              </w:rPr>
              <w:t>unavailable</w:t>
            </w:r>
          </w:p>
        </w:tc>
        <w:tc>
          <w:tcPr>
            <w:tcW w:type="dxa" w:w="5976"/>
          </w:tcPr>
          <w:p>
            <w:pPr>
              <w:spacing w:after="60"/>
            </w:pPr>
            <w:r>
              <w:rPr>
                <w:sz w:val="19"/>
              </w:rPr>
              <w:t xml:space="preserve">[ar2024] </w:t>
              <w:br/>
              <w:t>本次示例未纳入后续年度或季度资料。</w:t>
            </w:r>
          </w:p>
        </w:tc>
      </w:tr>
    </w:tbl>
    <w:p/>
    <w:p>
      <w:r>
        <w:t>仅对底稿coverage注明的报表和指定章节核验，未声称通读全部143页；未取得审计工作底稿、经营合同或独立函证。</w:t>
      </w:r>
    </w:p>
    <w:p>
      <w:r>
        <w:t>样例固定于2024年年报及其中比较信息，不是截至2026年10月2日的最新投资分析；未核验2025年目标完成情况和后来公告。</w:t>
      </w:r>
    </w:p>
    <w:p>
      <w:r>
        <w:t>主体主营非金融业务但合并财务公司，通用利润率、CFO/利润、流动比率及营运资金指标存在混合业务口径限制，不用于跨行业机械排序。</w:t>
      </w:r>
    </w:p>
    <w:p>
      <w:r>
        <w:t>本例ROE使用期初期末平均归母权益的分析口径时，不等于年报披露的加权平均净资产收益率36.02%。</w:t>
      </w:r>
    </w:p>
    <w:p>
      <w:r>
        <w:t>2023年所有者交易净额未录入，未用期末权益倒算；缺少2022年完整资产、存货、应收账款等期初数的指标应显示不可得。</w:t>
      </w:r>
    </w:p>
    <w:p>
      <w:r>
        <w:t>资本支出采用披露的固定资产、无形资产和其他长期资产购建现金支出，不区分维持性及扩张性支出；未包括产业基金投资。</w:t>
      </w:r>
    </w:p>
    <w:p>
      <w:r>
        <w:t>金额先换算为同一币种基本单位；不自动换汇。指标为分析定义，非会计准则结论。平均余额使用期初期末均值。</w:t>
      </w:r>
    </w:p>
    <w:p>
      <w:pPr>
        <w:pStyle w:val="Heading1"/>
      </w:pPr>
      <w:r>
        <w:t>来源索引</w:t>
      </w:r>
    </w:p>
    <w:p>
      <w:pPr>
        <w:keepLines/>
      </w:pPr>
      <w:r>
        <w:rPr>
          <w:sz w:val="18"/>
        </w:rPr>
        <w:t>[ar2024] 贵州茅台2024年年度报告 | 2025-04-03</w:t>
        <w:br/>
        <w:br/>
        <w:t>https://static.cninfo.com.cn/finalpage/2025-04-03/1222993920.PDF</w:t>
      </w:r>
    </w:p>
    <w:p>
      <w:pPr>
        <w:keepLines/>
      </w:pPr>
      <w:r>
        <w:rPr>
          <w:sz w:val="18"/>
        </w:rPr>
        <w:t>[business] 贵州茅台2024年年度报告：业务与经营变动 | 2025-04-03</w:t>
        <w:br/>
        <w:t>PDF p. 7-9 / 印刷页 7-9，管理层讨论与分析</w:t>
        <w:br/>
        <w:t>同来源 [ar2024]</w:t>
      </w:r>
    </w:p>
    <w:p>
      <w:pPr>
        <w:keepLines/>
      </w:pPr>
      <w:r>
        <w:rPr>
          <w:sz w:val="18"/>
        </w:rPr>
        <w:t>[outlook] 贵州茅台2024年年度报告：管理层未来发展与目标 | 2025-04-03</w:t>
        <w:br/>
        <w:t>PDF p. 20-21 / 印刷页 20-21</w:t>
        <w:br/>
        <w:t>同来源 [ar2024]</w:t>
      </w:r>
    </w:p>
    <w:p>
      <w:pPr>
        <w:keepLines/>
      </w:pPr>
      <w:r>
        <w:rPr>
          <w:sz w:val="18"/>
        </w:rPr>
        <w:t>[audit] 贵州茅台2024年年度报告：审计报告 | 2025-04-03</w:t>
        <w:br/>
        <w:t>PDF p. 55-58 / 印刷页 55-58，天健审〔2025〕8-171号，2025-04-01</w:t>
        <w:br/>
        <w:t>同来源 [ar2024]</w:t>
      </w:r>
    </w:p>
    <w:p>
      <w:pPr>
        <w:keepLines/>
      </w:pPr>
      <w:r>
        <w:rPr>
          <w:sz w:val="18"/>
        </w:rPr>
        <w:t>[governance] 贵州茅台2024年年度报告：审计委员会与董事履职 | 2025-04-03</w:t>
        <w:br/>
        <w:t>PDF p. 31-32 / 印刷页 31-32</w:t>
        <w:br/>
        <w:t>同来源 [ar2024]</w:t>
      </w:r>
    </w:p>
    <w:p>
      <w:pPr>
        <w:keepLines/>
      </w:pPr>
      <w:r>
        <w:rPr>
          <w:sz w:val="18"/>
        </w:rPr>
        <w:t>[policy] 贵州茅台2024年年度报告：编制基础与会计政策变更 | 2025-04-03</w:t>
        <w:br/>
        <w:t>PDF p. 74-75、85 / 印刷页 74-75、85</w:t>
        <w:br/>
        <w:t>同来源 [ar2024]</w:t>
      </w:r>
    </w:p>
    <w:p>
      <w:pPr>
        <w:keepLines/>
      </w:pPr>
      <w:r>
        <w:rPr>
          <w:sz w:val="18"/>
        </w:rPr>
        <w:t>[nonrecurring] 贵州茅台2024年年度报告：主要指标及非经常性损益 | 2025-04-03</w:t>
        <w:br/>
        <w:t>PDF p. 5-7 / 印刷页 5-7</w:t>
        <w:br/>
        <w:t>同来源 [ar2024]</w:t>
      </w:r>
    </w:p>
    <w:p>
      <w:pPr>
        <w:keepLines/>
      </w:pPr>
      <w:r>
        <w:rPr>
          <w:sz w:val="18"/>
        </w:rPr>
        <w:t>[cashnote] 贵州茅台2024年年度报告：现金流量补充资料与现金构成 | 2025-04-03</w:t>
        <w:br/>
        <w:t>PDF p. 116-117 / 印刷页 116-117，附注七57</w:t>
        <w:br/>
        <w:t>同来源 [ar2024]</w:t>
      </w:r>
    </w:p>
    <w:p>
      <w:pPr>
        <w:keepLines/>
      </w:pPr>
      <w:r>
        <w:rPr>
          <w:sz w:val="18"/>
        </w:rPr>
        <w:t>[restricted] 贵州茅台2024年年度报告：货币资金与拆出资金附注 | 2025-04-03</w:t>
        <w:br/>
        <w:t>PDF p. 86 / 印刷页 86，附注七1-2</w:t>
        <w:br/>
        <w:t>同来源 [ar2024]</w:t>
      </w:r>
    </w:p>
    <w:p>
      <w:pPr>
        <w:keepLines/>
      </w:pPr>
      <w:r>
        <w:rPr>
          <w:sz w:val="18"/>
        </w:rPr>
        <w:t>[related] 贵州茅台2024年年度报告：财务公司关联金融业务 | 2025-04-03</w:t>
        <w:br/>
        <w:t>PDF p. 131-132 / 印刷页 131-132，附注十四4(8)</w:t>
        <w:br/>
        <w:t>同来源 [ar2024]</w:t>
      </w:r>
    </w:p>
    <w:p>
      <w:pPr>
        <w:keepLines/>
      </w:pPr>
      <w:r>
        <w:rPr>
          <w:sz w:val="18"/>
        </w:rPr>
        <w:t>[commitments] 贵州茅台2024年年度报告：资本承诺与期后事项 | 2025-04-03</w:t>
        <w:br/>
        <w:t>PDF p. 135-136 / 印刷页 135-136，附注十五至十七</w:t>
        <w:br/>
        <w:t>同来源 [ar2024]</w:t>
      </w:r>
    </w:p>
    <w:p>
      <w:pPr>
        <w:keepLines/>
      </w:pPr>
      <w:r>
        <w:rPr>
          <w:sz w:val="18"/>
        </w:rPr>
        <w:t>[equitynote] 贵州茅台2024年年度报告：合并所有者权益变动表 | 2025-04-03</w:t>
        <w:br/>
        <w:t>PDF p. 70-72 / 印刷页 70-72</w:t>
        <w:br/>
        <w:t>同来源 [ar2024]</w:t>
      </w:r>
    </w:p>
    <w:p>
      <w:pPr>
        <w:keepLines/>
      </w:pPr>
      <w:r>
        <w:rPr>
          <w:sz w:val="18"/>
        </w:rPr>
        <w:t>[balance] 贵州茅台2024年年度报告：合并资产负债表 | 2025-04-03</w:t>
        <w:br/>
        <w:t>PDF p. 58-61 / 印刷页 58-61；合同负债见第60页</w:t>
        <w:br/>
        <w:t>同来源 [ar2024]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贵州茅台酒股份有限公司 年报分析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