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宁德时代2025年经营现金与信用分析</w:t>
      </w:r>
    </w:p>
    <w:p>
      <w:r>
        <w:t>2025-01-01 — 2025-12-31　资料截止 2026-03-10　底稿 catl-2025-example-v1</w:t>
      </w:r>
    </w:p>
    <w:p>
      <w:r>
        <w:t>解释业务增长如何转为现金，识别资本扩张、供应商融资与资产估计需要进一步核查的事项，供研究员复核。</w:t>
      </w:r>
    </w:p>
    <w:p>
      <w:r>
        <w:t>方法与适用范围：年报四表及附注复算；分析者明确口径的供应商融资敏感性</w:t>
      </w:r>
    </w:p>
    <w:p>
      <w:pPr>
        <w:pStyle w:val="Heading1"/>
      </w:pPr>
      <w:r>
        <w:t>核心判断</w:t>
      </w:r>
    </w:p>
    <w:p>
      <w:r>
        <w:t>[conditional] 收入增长17.04%，动力系统增长25.08%，储能增长8.99%，材料回收同比-23.83%。 [F_GROWTH; E_BIZ, revenue_growth, volume_growth]</w:t>
      </w:r>
    </w:p>
    <w:p>
      <w:r>
        <w:t>[conditional] CFO为1,332.20 亿元人民币，与总净利润之比173.49%；营运资本三项合计贡献332.16 亿元人民币。 [F_CASH; E_BRIDGE, cfo_bridge, working_capital_effect, fcf_simple]</w:t>
      </w:r>
    </w:p>
    <w:p>
      <w:r>
        <w:t>[conditional] 跨页融资安排合计372.23 亿元人民币，较期初变动-71.40 亿元人民币；供应商已收款307.28 亿元人民币是其中一部分。 [F_SUPPLY; E_SUPPLY, supply_components, supply_change]</w:t>
      </w:r>
    </w:p>
    <w:p>
      <w:r>
        <w:t>范围：consolidated。会计基础：CAS。</w:t>
      </w:r>
    </w:p>
    <w:p>
      <w:r>
        <w:t>本例为选定公开资料的专业研究示范，不是整本年报全部披露的完整审计。</w:t>
      </w:r>
    </w:p>
    <w:p>
      <w:r>
        <w:t>未取得银行/授信合同、按法人可调度现金、逐月预算、保修明细及资产组原始预测，不出具正式信用等级或审计鉴证。</w:t>
      </w:r>
    </w:p>
    <w:p>
      <w:r>
        <w:t>事实以2026年3月10日已公开的2025年报为界；假设与实际披露分列。</w:t>
      </w:r>
    </w:p>
    <w:p>
      <w:pPr>
        <w:pStyle w:val="Heading1"/>
      </w:pPr>
      <w:r>
        <w:t>业务增长与量价结构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营业收入 [revenue]</w:t>
            </w:r>
          </w:p>
        </w:tc>
        <w:tc>
          <w:tcPr>
            <w:tcW w:type="dxa" w:w="4386"/>
          </w:tcPr>
          <w:p>
            <w:r>
              <w:t>2025-12-31</w:t>
              <w:br/>
              <w:t>4,237.02 亿元人民币</w:t>
            </w:r>
          </w:p>
        </w:tc>
        <w:tc>
          <w:tcPr>
            <w:tcW w:type="dxa" w:w="1949"/>
          </w:tcPr>
          <w:p>
            <w:r>
              <w:t>E_PL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收入同比 [revenue_growth]</w:t>
            </w:r>
          </w:p>
        </w:tc>
        <w:tc>
          <w:tcPr>
            <w:tcW w:type="dxa" w:w="4386"/>
          </w:tcPr>
          <w:p>
            <w:r>
              <w:t>2025-12-31</w:t>
              <w:br/>
              <w:t>17.04%</w:t>
            </w:r>
          </w:p>
        </w:tc>
        <w:tc>
          <w:tcPr>
            <w:tcW w:type="dxa" w:w="1949"/>
          </w:tcPr>
          <w:p>
            <w:r>
              <w:t>E_PL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动力系统收入同比 [power_sales_growth]</w:t>
            </w:r>
          </w:p>
        </w:tc>
        <w:tc>
          <w:tcPr>
            <w:tcW w:type="dxa" w:w="4386"/>
          </w:tcPr>
          <w:p>
            <w:r>
              <w:t>2025-12-31</w:t>
              <w:br/>
              <w:t>25.08%</w:t>
            </w:r>
          </w:p>
        </w:tc>
        <w:tc>
          <w:tcPr>
            <w:tcW w:type="dxa" w:w="1949"/>
          </w:tcPr>
          <w:p>
            <w:r>
              <w:t>E_BIZ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销售量同比 [volume_growth]</w:t>
            </w:r>
          </w:p>
        </w:tc>
        <w:tc>
          <w:tcPr>
            <w:tcW w:type="dxa" w:w="4386"/>
          </w:tcPr>
          <w:p>
            <w:r>
              <w:t>2025-12-31</w:t>
              <w:br/>
              <w:t>39.16%</w:t>
            </w:r>
          </w:p>
        </w:tc>
        <w:tc>
          <w:tcPr>
            <w:tcW w:type="dxa" w:w="1949"/>
          </w:tcPr>
          <w:p>
            <w:r>
              <w:t>E_BIZ</w:t>
            </w:r>
          </w:p>
        </w:tc>
      </w:tr>
    </w:tbl>
    <w:p/>
    <w:p>
      <w:pPr>
        <w:pStyle w:val="Heading2"/>
      </w:pPr>
      <w:r>
        <w:t>增长集中于动力电池且需要解释量价结构 [F_GROWTH; conditional]</w:t>
      </w:r>
    </w:p>
    <w:p>
      <w:r>
        <w:t>收入增长17.04%，动力系统增长25.08%，储能增长8.99%，材料回收同比-23.83%。</w:t>
      </w:r>
    </w:p>
    <w:p>
      <w:r>
        <w:t>销量增长高于合并收入，但收入含非电池业务，销量单位与产品结构也不同，不能将两者之比直接称为电池降价。产能扩张与存货增加要求核对投产及订单兑现。</w:t>
      </w:r>
    </w:p>
    <w:p>
      <w:r>
        <w:t>证据：E_BIZ, revenue_growth, volume_growth</w:t>
      </w:r>
    </w:p>
    <w:p>
      <w:r>
        <w:t>反证：尚无足以排除其他解释的额外证据</w:t>
      </w:r>
    </w:p>
    <w:p>
      <w:r>
        <w:t>其他解释：产品结构和地区组合变化可能影响收入增速。；并表变化也可能影响同比；未取得同范围量价明细。</w:t>
      </w:r>
    </w:p>
    <w:p>
      <w:r>
        <w:t>判断改变条件：取得同产品同范围的数量、单价、并购及汇率桥后，重新判断有机增长与单位经济性。</w:t>
      </w:r>
    </w:p>
    <w:p>
      <w:pPr>
        <w:pStyle w:val="Heading1"/>
      </w:pPr>
      <w:r>
        <w:t>利润与经营现金质量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经营活动现金净额 [cfo]</w:t>
            </w:r>
          </w:p>
        </w:tc>
        <w:tc>
          <w:tcPr>
            <w:tcW w:type="dxa" w:w="4386"/>
          </w:tcPr>
          <w:p>
            <w:r>
              <w:t>2025-12-31</w:t>
              <w:br/>
              <w:t>1,332.20 亿元人民币</w:t>
            </w:r>
          </w:p>
        </w:tc>
        <w:tc>
          <w:tcPr>
            <w:tcW w:type="dxa" w:w="1949"/>
          </w:tcPr>
          <w:p>
            <w:r>
              <w:t>E_CF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CFO与合并净利润之比 [cfo_profit]</w:t>
            </w:r>
          </w:p>
        </w:tc>
        <w:tc>
          <w:tcPr>
            <w:tcW w:type="dxa" w:w="4386"/>
          </w:tcPr>
          <w:p>
            <w:r>
              <w:t>2025-12-31</w:t>
              <w:br/>
              <w:t>173.49%</w:t>
            </w:r>
          </w:p>
        </w:tc>
        <w:tc>
          <w:tcPr>
            <w:tcW w:type="dxa" w:w="1949"/>
          </w:tcPr>
          <w:p>
            <w:r>
              <w:t>E_BRIDGE, E_CF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经营营运资本现金净贡献 [working_capital_effect]</w:t>
            </w:r>
          </w:p>
        </w:tc>
        <w:tc>
          <w:tcPr>
            <w:tcW w:type="dxa" w:w="4386"/>
          </w:tcPr>
          <w:p>
            <w:r>
              <w:t>2025-12-31</w:t>
              <w:br/>
              <w:t>332.16 亿元人民币</w:t>
            </w:r>
          </w:p>
        </w:tc>
        <w:tc>
          <w:tcPr>
            <w:tcW w:type="dxa" w:w="1949"/>
          </w:tcPr>
          <w:p>
            <w:r>
              <w:t>E_BRIDGE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CFO减购建长期资产现金 [fcf_simple]</w:t>
            </w:r>
          </w:p>
        </w:tc>
        <w:tc>
          <w:tcPr>
            <w:tcW w:type="dxa" w:w="4386"/>
          </w:tcPr>
          <w:p>
            <w:r>
              <w:t>2025-12-31</w:t>
              <w:br/>
              <w:t>908.75 亿元人民币</w:t>
            </w:r>
          </w:p>
        </w:tc>
        <w:tc>
          <w:tcPr>
            <w:tcW w:type="dxa" w:w="1949"/>
          </w:tcPr>
          <w:p>
            <w:r>
              <w:t>E_CF</w:t>
            </w:r>
          </w:p>
        </w:tc>
      </w:tr>
    </w:tbl>
    <w:p/>
    <w:p>
      <w:pPr>
        <w:pStyle w:val="Heading2"/>
      </w:pPr>
      <w:r>
        <w:t>现金表现强但依赖经营负债提供资金 [F_CASH; conditional]</w:t>
      </w:r>
    </w:p>
    <w:p>
      <w:r>
        <w:t>CFO为1,332.20 亿元人民币，与总净利润之比173.49%；营运资本三项合计贡献332.16 亿元人民币。</w:t>
      </w:r>
    </w:p>
    <w:p>
      <w:r>
        <w:t>存货和经营应收占用被经营应付增加超过，需区分业务规模、客户预收、付款期和融资安排。CFO减现金资本支出为908.75 亿元人民币，尚不是自由可分配资金。</w:t>
      </w:r>
    </w:p>
    <w:p>
      <w:r>
        <w:t>证据：E_BRIDGE, cfo_bridge, working_capital_effect, fcf_simple</w:t>
      </w:r>
    </w:p>
    <w:p>
      <w:r>
        <w:t>反证：E_SUPPLY</w:t>
      </w:r>
    </w:p>
    <w:p>
      <w:r>
        <w:t>其他解释：采购规模和合同负债变化可能使经营应付增加，并不必然是延迟付款。；期末余额差额受合并、非现金和重分类影响，不能替代现金流附注项目。</w:t>
      </w:r>
    </w:p>
    <w:p>
      <w:r>
        <w:t>判断改变条件：逐月回款付款、客户预收和供应商账期桥显示资金贡献不可持续时，下调可持续现金假设。</w:t>
      </w:r>
    </w:p>
    <w:p>
      <w:pPr>
        <w:pStyle w:val="Heading1"/>
      </w:pPr>
      <w:r>
        <w:t>供应商融资与债务口径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供应商融资安排合计 [supply]</w:t>
            </w:r>
          </w:p>
        </w:tc>
        <w:tc>
          <w:tcPr>
            <w:tcW w:type="dxa" w:w="4386"/>
          </w:tcPr>
          <w:p>
            <w:r>
              <w:t>2025-12-31</w:t>
              <w:br/>
              <w:t>372.23 亿元人民币</w:t>
            </w:r>
          </w:p>
        </w:tc>
        <w:tc>
          <w:tcPr>
            <w:tcW w:type="dxa" w:w="1949"/>
          </w:tcPr>
          <w:p>
            <w:r>
              <w:t>E_SUPPLY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供应商融资余额变化 [supply_change]</w:t>
            </w:r>
          </w:p>
        </w:tc>
        <w:tc>
          <w:tcPr>
            <w:tcW w:type="dxa" w:w="4386"/>
          </w:tcPr>
          <w:p>
            <w:r>
              <w:t>2025-12-31</w:t>
              <w:br/>
              <w:t>-71.40 亿元人民币</w:t>
            </w:r>
          </w:p>
        </w:tc>
        <w:tc>
          <w:tcPr>
            <w:tcW w:type="dxa" w:w="1949"/>
          </w:tcPr>
          <w:p>
            <w:r>
              <w:t>E_SUPPLY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筹资负债表借款债券及租赁合计 [debt]</w:t>
            </w:r>
          </w:p>
        </w:tc>
        <w:tc>
          <w:tcPr>
            <w:tcW w:type="dxa" w:w="4386"/>
          </w:tcPr>
          <w:p>
            <w:r>
              <w:t>2025-12-31</w:t>
              <w:br/>
              <w:t>1,196.01 亿元人民币</w:t>
            </w:r>
          </w:p>
        </w:tc>
        <w:tc>
          <w:tcPr>
            <w:tcW w:type="dxa" w:w="1949"/>
          </w:tcPr>
          <w:p>
            <w:r>
              <w:t>E_DEBT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含供应商融资的债务敏感性口径 [debt_supply_sensitivity]</w:t>
            </w:r>
          </w:p>
        </w:tc>
        <w:tc>
          <w:tcPr>
            <w:tcW w:type="dxa" w:w="4386"/>
          </w:tcPr>
          <w:p>
            <w:r>
              <w:t>2025-12-31</w:t>
              <w:br/>
              <w:t>1,568.24 亿元人民币</w:t>
            </w:r>
          </w:p>
        </w:tc>
        <w:tc>
          <w:tcPr>
            <w:tcW w:type="dxa" w:w="1949"/>
          </w:tcPr>
          <w:p>
            <w:r>
              <w:t>E_DEBT, E_SUPPLY</w:t>
            </w:r>
          </w:p>
        </w:tc>
      </w:tr>
    </w:tbl>
    <w:p/>
    <w:p>
      <w:pPr>
        <w:pStyle w:val="Heading2"/>
      </w:pPr>
      <w:r>
        <w:t>供应商融资总额下降仍有撤回与集中风险 [F_SUPPLY; conditional]</w:t>
      </w:r>
    </w:p>
    <w:p>
      <w:r>
        <w:t>跨页融资安排合计372.23 亿元人民币，较期初变动-71.40 亿元人民币；供应商已收款307.28 亿元人民币是其中一部分。</w:t>
      </w:r>
    </w:p>
    <w:p>
      <w:r>
        <w:t>余额是存量，不能凭其下降判断新增融资或CFO同比贡献。需按两期新增、现金结算、非现金变动及现金流分类建立桥接。全额计债仅作敏感性分析：1,568.24 亿元人民币。</w:t>
      </w:r>
    </w:p>
    <w:p>
      <w:r>
        <w:t>证据：E_SUPPLY, supply_components, supply_change</w:t>
      </w:r>
    </w:p>
    <w:p>
      <w:r>
        <w:t>反证：E_BRIDGE</w:t>
      </w:r>
    </w:p>
    <w:p>
      <w:r>
        <w:t>其他解释：余额下降仍可能同时伴随普通贸易应付款上升。；供应商融资可替换其他资金，风险还取决于期限、集中度和终止条款。</w:t>
      </w:r>
    </w:p>
    <w:p>
      <w:r>
        <w:t>判断改变条件：核实合同分类、融资机构、到期梯度及撤回条款，重算现金缺口和债务口径；不能把存量总额直接当本期CFO调整额。</w:t>
      </w:r>
    </w:p>
    <w:p>
      <w:pPr>
        <w:pStyle w:val="Heading1"/>
      </w:pPr>
      <w:r>
        <w:t>资金可用性与流动性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货币资金 [book_cash]</w:t>
            </w:r>
          </w:p>
        </w:tc>
        <w:tc>
          <w:tcPr>
            <w:tcW w:type="dxa" w:w="4386"/>
          </w:tcPr>
          <w:p>
            <w:r>
              <w:t>2025-12-31</w:t>
              <w:br/>
              <w:t>3,335.13 亿元人民币</w:t>
            </w:r>
          </w:p>
        </w:tc>
        <w:tc>
          <w:tcPr>
            <w:tcW w:type="dxa" w:w="1949"/>
          </w:tcPr>
          <w:p>
            <w:r>
              <w:t>E_BS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现金及现金等价物 [cash]</w:t>
            </w:r>
          </w:p>
        </w:tc>
        <w:tc>
          <w:tcPr>
            <w:tcW w:type="dxa" w:w="4386"/>
          </w:tcPr>
          <w:p>
            <w:r>
              <w:t>2025-12-31</w:t>
              <w:br/>
              <w:t>2,999.30 亿元人民币</w:t>
            </w:r>
          </w:p>
        </w:tc>
        <w:tc>
          <w:tcPr>
            <w:tcW w:type="dxa" w:w="1949"/>
          </w:tcPr>
          <w:p>
            <w:r>
              <w:t>E_CASH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排除于现金等价物的货币资金 [cash_excluded]</w:t>
            </w:r>
          </w:p>
        </w:tc>
        <w:tc>
          <w:tcPr>
            <w:tcW w:type="dxa" w:w="4386"/>
          </w:tcPr>
          <w:p>
            <w:r>
              <w:t>2025-12-31</w:t>
              <w:br/>
              <w:t>335.83 亿元人民币</w:t>
            </w:r>
          </w:p>
        </w:tc>
        <w:tc>
          <w:tcPr>
            <w:tcW w:type="dxa" w:w="1949"/>
          </w:tcPr>
          <w:p>
            <w:r>
              <w:t>E_CASH</w:t>
            </w:r>
          </w:p>
        </w:tc>
      </w:tr>
    </w:tbl>
    <w:p/>
    <w:p>
      <w:pPr>
        <w:pStyle w:val="Heading2"/>
      </w:pPr>
      <w:r>
        <w:t>账面资金不能直接当法人偿债现金 [F_LIQUIDITY; conditional]</w:t>
      </w:r>
    </w:p>
    <w:p>
      <w:r>
        <w:t>货币资金3,335.13 亿元人民币中，现金及现金等价物2,999.30 亿元人民币，排除项目335.83 亿元人民币；现金桥保留千元级舍入差。</w:t>
      </w:r>
    </w:p>
    <w:p>
      <w:r>
        <w:t>排除项目包含受限保证金、质押定存和不可随时支取定存及利息，各类限制不同。集团现金尚需法人、币种、地区、季节性及经营最低现金判断，不能直接抵销全部集团债务。</w:t>
      </w:r>
    </w:p>
    <w:p>
      <w:r>
        <w:t>证据：E_CASH, E_CF, cash_composition, debt</w:t>
      </w:r>
    </w:p>
    <w:p>
      <w:r>
        <w:t>反证：尚无足以排除其他解释的额外证据</w:t>
      </w:r>
    </w:p>
    <w:p>
      <w:r>
        <w:t>其他解释：部分定存到期后可用，但时间须匹配债务到期。；境外现金可能受转移或税费限制；年报汇总不足以确认可调度数。</w:t>
      </w:r>
    </w:p>
    <w:p>
      <w:r>
        <w:t>判断改变条件：按法人取得账户限制、债务期限和承诺授信条件，才能完成分期流动性覆盖。</w:t>
      </w:r>
    </w:p>
    <w:p>
      <w:pPr>
        <w:pStyle w:val="Heading1"/>
      </w:pPr>
      <w:r>
        <w:t>资产估计与售后义务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被测试相关资产减值前账面额 [ppe_test_carrying]</w:t>
            </w:r>
          </w:p>
        </w:tc>
        <w:tc>
          <w:tcPr>
            <w:tcW w:type="dxa" w:w="4386"/>
          </w:tcPr>
          <w:p>
            <w:r>
              <w:t>2025-12-31</w:t>
              <w:br/>
              <w:t>28.66 亿元人民币</w:t>
            </w:r>
          </w:p>
        </w:tc>
        <w:tc>
          <w:tcPr>
            <w:tcW w:type="dxa" w:w="1949"/>
          </w:tcPr>
          <w:p>
            <w:r>
              <w:t>E_PPE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该组可收回金额 [ppe_recoverable]</w:t>
            </w:r>
          </w:p>
        </w:tc>
        <w:tc>
          <w:tcPr>
            <w:tcW w:type="dxa" w:w="4386"/>
          </w:tcPr>
          <w:p>
            <w:r>
              <w:t>2025-12-31</w:t>
              <w:br/>
              <w:t>2.06 亿元人民币</w:t>
            </w:r>
          </w:p>
        </w:tc>
        <w:tc>
          <w:tcPr>
            <w:tcW w:type="dxa" w:w="1949"/>
          </w:tcPr>
          <w:p>
            <w:r>
              <w:t>E_PPE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固定资产本期计提减值 [ppe_impairment]</w:t>
            </w:r>
          </w:p>
        </w:tc>
        <w:tc>
          <w:tcPr>
            <w:tcW w:type="dxa" w:w="4386"/>
          </w:tcPr>
          <w:p>
            <w:r>
              <w:t>2025-12-31</w:t>
              <w:br/>
              <w:t>26.60 亿元人民币</w:t>
            </w:r>
          </w:p>
        </w:tc>
        <w:tc>
          <w:tcPr>
            <w:tcW w:type="dxa" w:w="1949"/>
          </w:tcPr>
          <w:p>
            <w:r>
              <w:t>E_PPE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售后综合服务预计负债 [warranty]</w:t>
            </w:r>
          </w:p>
        </w:tc>
        <w:tc>
          <w:tcPr>
            <w:tcW w:type="dxa" w:w="4386"/>
          </w:tcPr>
          <w:p>
            <w:r>
              <w:t>2025-12-31</w:t>
              <w:br/>
              <w:t>512.33 亿元人民币</w:t>
            </w:r>
          </w:p>
        </w:tc>
        <w:tc>
          <w:tcPr>
            <w:tcW w:type="dxa" w:w="1949"/>
          </w:tcPr>
          <w:p>
            <w:r>
              <w:t>E_WARRANTY</w:t>
            </w:r>
          </w:p>
        </w:tc>
      </w:tr>
    </w:tbl>
    <w:p/>
    <w:p>
      <w:pPr>
        <w:pStyle w:val="Heading2"/>
      </w:pPr>
      <w:r>
        <w:t>扩张中的减值与售后成本需要单独验证 [F_ESTIMATES; conditional]</w:t>
      </w:r>
    </w:p>
    <w:p>
      <w:r>
        <w:t>被测试固定资产组减值前账面28.66 亿元人民币、可收回额2.06 亿元人民币；售后预计负债512.33 亿元人民币。</w:t>
      </w:r>
    </w:p>
    <w:p>
      <w:r>
        <w:t>总体产能利用率不能推翻个别旧产线减值。转固606.16 亿元人民币与当期购建现金423.45 亿元人民币反映不同边界。售后预计负债依赖质保内销量、维修率与单位成本，余额增加不能替代费用与实际使用桥。</w:t>
      </w:r>
    </w:p>
    <w:p>
      <w:r>
        <w:t>证据：E_PPE, E_WARRANTY, E_POLICY, ppe_imp_recalc</w:t>
      </w:r>
    </w:p>
    <w:p>
      <w:r>
        <w:t>反证：E_BIZ</w:t>
      </w:r>
    </w:p>
    <w:p>
      <w:r>
        <w:t>其他解释：技术迭代或客户迁移可使局部产线减值，即使集团需求增长。；准备余额增加可能来自销量、维修率、成本或实际支出节奏，公开表无法分清。</w:t>
      </w:r>
    </w:p>
    <w:p>
      <w:r>
        <w:t>判断改变条件：取得资产组预算/折现参数与历史兑现，及售后准备新增、使用、冲回和批次维修数据后，形成可收回额和准备敏感性。</w:t>
      </w:r>
    </w:p>
    <w:p>
      <w:pPr>
        <w:pStyle w:val="Heading1"/>
      </w:pPr>
      <w:r>
        <w:t>权益变动与股东回报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11"/>
        <w:gridCol w:w="4386"/>
        <w:gridCol w:w="1949"/>
      </w:tblGrid>
      <w:tr>
        <w:trPr>
          <w:tblHeader/>
          <w:cantSplit/>
        </w:trPr>
        <w:tc>
          <w:tcPr>
            <w:tcW w:type="dxa" w:w="3411"/>
            <w:shd w:fill="E6EEF0"/>
          </w:tcPr>
          <w:p>
            <w:pPr>
              <w:keepNext/>
            </w:pPr>
            <w:r>
              <w:t>项目及记录</w:t>
            </w:r>
          </w:p>
        </w:tc>
        <w:tc>
          <w:tcPr>
            <w:tcW w:type="dxa" w:w="4386"/>
            <w:shd w:fill="E6EEF0"/>
          </w:tcPr>
          <w:p>
            <w:pPr>
              <w:keepNext/>
            </w:pPr>
            <w:r>
              <w:t>期间及数值</w:t>
            </w:r>
          </w:p>
        </w:tc>
        <w:tc>
          <w:tcPr>
            <w:tcW w:type="dxa" w:w="1949"/>
            <w:shd w:fill="E6EEF0"/>
          </w:tcPr>
          <w:p>
            <w:pPr>
              <w:keepNext/>
            </w:pPr>
            <w:r>
              <w:t>证据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归母净利润 [ni_parent]</w:t>
            </w:r>
          </w:p>
        </w:tc>
        <w:tc>
          <w:tcPr>
            <w:tcW w:type="dxa" w:w="4386"/>
          </w:tcPr>
          <w:p>
            <w:r>
              <w:t>2025-12-31</w:t>
              <w:br/>
              <w:t>722.01 亿元人民币</w:t>
            </w:r>
          </w:p>
        </w:tc>
        <w:tc>
          <w:tcPr>
            <w:tcW w:type="dxa" w:w="1949"/>
          </w:tcPr>
          <w:p>
            <w:r>
              <w:t>E_PL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母公司净利润 [ni_company]</w:t>
            </w:r>
          </w:p>
        </w:tc>
        <w:tc>
          <w:tcPr>
            <w:tcW w:type="dxa" w:w="4386"/>
          </w:tcPr>
          <w:p>
            <w:r>
              <w:t>2025-12-31</w:t>
              <w:br/>
              <w:t>704.14 亿元人民币</w:t>
            </w:r>
          </w:p>
        </w:tc>
        <w:tc>
          <w:tcPr>
            <w:tcW w:type="dxa" w:w="1949"/>
          </w:tcPr>
          <w:p>
            <w:r>
              <w:t>E_PL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期初期末平均归母权益 [average_parent_equity]</w:t>
            </w:r>
          </w:p>
        </w:tc>
        <w:tc>
          <w:tcPr>
            <w:tcW w:type="dxa" w:w="4386"/>
          </w:tcPr>
          <w:p>
            <w:r>
              <w:t>2025-12-31</w:t>
              <w:br/>
              <w:t>2,920.19 亿元人民币</w:t>
            </w:r>
          </w:p>
        </w:tc>
        <w:tc>
          <w:tcPr>
            <w:tcW w:type="dxa" w:w="1949"/>
          </w:tcPr>
          <w:p>
            <w:r>
              <w:t>E_BS</w:t>
            </w:r>
          </w:p>
        </w:tc>
      </w:tr>
      <w:tr>
        <w:trPr>
          <w:cantSplit/>
        </w:trPr>
        <w:tc>
          <w:tcPr>
            <w:tcW w:type="dxa" w:w="3411"/>
          </w:tcPr>
          <w:p>
            <w:r>
              <w:t>简单平均权益ROE [roe_simple]</w:t>
            </w:r>
          </w:p>
        </w:tc>
        <w:tc>
          <w:tcPr>
            <w:tcW w:type="dxa" w:w="4386"/>
          </w:tcPr>
          <w:p>
            <w:r>
              <w:t>2025-12-31</w:t>
              <w:br/>
              <w:t>24.72%</w:t>
            </w:r>
          </w:p>
        </w:tc>
        <w:tc>
          <w:tcPr>
            <w:tcW w:type="dxa" w:w="1949"/>
          </w:tcPr>
          <w:p>
            <w:r>
              <w:t>E_BS, E_PL</w:t>
            </w:r>
          </w:p>
        </w:tc>
      </w:tr>
    </w:tbl>
    <w:p/>
    <w:p>
      <w:pPr>
        <w:pStyle w:val="Heading2"/>
      </w:pPr>
      <w:r>
        <w:t>权益增长同时包含利润与资本交易 [F_EQUITY; conditional]</w:t>
      </w:r>
    </w:p>
    <w:p>
      <w:r>
        <w:t>归母净利润722.01 亿元人民币与母公司净利润704.14 亿元人民币分开；简单平均权益ROE为24.72%。</w:t>
      </w:r>
    </w:p>
    <w:p>
      <w:r>
        <w:t>集团权益增长由综合收益、股东投入与分配共同形成；集团盈利不能直接代表母公司可分红现金。简单平均ROE不是公司披露的加权ROE，香港发行新股也影响分母与资金。</w:t>
      </w:r>
    </w:p>
    <w:p>
      <w:r>
        <w:t>证据：E_EQ, E_PL, equity_rollforward, roe_simple</w:t>
      </w:r>
    </w:p>
    <w:p>
      <w:r>
        <w:t>反证：尚无足以排除其他解释的额外证据</w:t>
      </w:r>
    </w:p>
    <w:p>
      <w:r>
        <w:t>其他解释：资本交易和其他综合收益会改变权益而不增加经营利润。；母公司投资收益和子公司分红存在时间及可分配限制。</w:t>
      </w:r>
    </w:p>
    <w:p>
      <w:r>
        <w:t>判断改变条件：分红能力判断需要母公司可分配利润、法定限制和实际资金，而非只看集团ROE。</w:t>
      </w:r>
    </w:p>
    <w:p>
      <w:pPr>
        <w:pStyle w:val="Heading1"/>
      </w:pPr>
      <w:r>
        <w:t>审计事项与未完成程序</w:t>
      </w:r>
    </w:p>
    <w:p>
      <w:pPr>
        <w:pStyle w:val="Heading2"/>
      </w:pPr>
      <w:r>
        <w:t>审计重点是追加程序的起点 [F_AUDIT; supported]</w:t>
      </w:r>
    </w:p>
    <w:p>
      <w:r>
        <w:t>原报告为无保留意见，固定资产减值和收入确认为关键审计事项；本次只执行披露取证与复算。</w:t>
      </w:r>
    </w:p>
    <w:p>
      <w:r>
        <w:t>关键审计事项说明原审计中的重要关注，不等于确认错报。本次需将收入截止、可变对价及资产组估计落实到合同与数据，不能复制原审计师程序为已完成。</w:t>
      </w:r>
    </w:p>
    <w:p>
      <w:r>
        <w:t>证据：E_AUDIT, E_POLICY, E_PPE</w:t>
      </w:r>
    </w:p>
    <w:p>
      <w:r>
        <w:t>反证：尚无足以排除其他解释的额外证据</w:t>
      </w:r>
    </w:p>
    <w:p>
      <w:r>
        <w:t>其他解释：存在重要估计不等于估计错误。；无保留意见也不意味着每项经营假设均经独立证实。</w:t>
      </w:r>
    </w:p>
    <w:p>
      <w:r>
        <w:t>判断改变条件：实际合同、验收、返利及资产组证据支持或反驳原判断后更新风险状态。</w:t>
      </w:r>
    </w:p>
    <w:p>
      <w:pPr>
        <w:pStyle w:val="Heading1"/>
      </w:pPr>
      <w:r>
        <w:t>勾稽结果</w:t>
      </w:r>
    </w:p>
    <w:p>
      <w:r>
        <w:t>资产负债关系 [R_BS]：within_input_tolerance；基础单位残差 0。 基础单位人民币；原表以千元披露。按参加计算项目的独立舍入上界保留残差，不将容差内残差强制归零。</w:t>
      </w:r>
    </w:p>
    <w:p>
      <w:r>
        <w:t>利润归属 [R_NI]：within_input_tolerance；基础单位残差 0。 基础单位人民币；原表以千元披露。按参加计算项目的独立舍入上界保留残差，不将容差内残差强制归零。</w:t>
      </w:r>
    </w:p>
    <w:p>
      <w:r>
        <w:t>净利润至CFO [R_CFO]：within_input_tolerance；基础单位残差 -2000。 基础单位人民币；原表以千元披露。按参加计算项目的独立舍入上界保留残差，不将容差内残差强制归零。</w:t>
      </w:r>
    </w:p>
    <w:p>
      <w:r>
        <w:t>现金变动含汇率 [R_FX]：within_input_tolerance；基础单位残差 1000。 基础单位人民币；原表以千元披露。按参加计算项目的独立舍入上界保留残差，不将容差内残差强制归零。</w:t>
      </w:r>
    </w:p>
    <w:p>
      <w:r>
        <w:t>现金滚动 [R_CASH]：within_input_tolerance；基础单位残差 2000。 基础单位人民币；原表以千元披露。按参加计算项目的独立舍入上界保留残差，不将容差内残差强制归零。</w:t>
      </w:r>
    </w:p>
    <w:p>
      <w:r>
        <w:t>权益滚动 [R_EQ]：within_input_tolerance；基础单位残差 -1000。 基础单位人民币；原表以千元披露。按参加计算项目的独立舍入上界保留残差，不将容差内残差强制归零。</w:t>
      </w:r>
    </w:p>
    <w:p>
      <w:r>
        <w:t>融资负债滚动 [R_DEBT]：within_input_tolerance；基础单位残差 0。 基础单位人民币；原表以千元披露。按参加计算项目的独立舍入上界保留残差，不将容差内残差强制归零。</w:t>
      </w:r>
    </w:p>
    <w:p>
      <w:r>
        <w:t>跨页供应商融资 [R_SUPPLY]：within_input_tolerance；基础单位残差 0。 基础单位人民币；原表以千元披露。按参加计算项目的独立舍入上界保留残差，不将容差内残差强制归零。</w:t>
      </w:r>
    </w:p>
    <w:p>
      <w:r>
        <w:t>货币资金桥 [R_COMPOSITION]：within_input_tolerance；基础单位残差 -1000。 基础单位人民币；原表以千元披露。按参加计算项目的独立舍入上界保留残差，不将容差内残差强制归零。</w:t>
      </w:r>
    </w:p>
    <w:p>
      <w:r>
        <w:t>排除项目合计 [R_EXCLUDED]：within_input_tolerance；基础单位残差 1000。 基础单位人民币；原表以千元披露。按参加计算项目的独立舍入上界保留残差，不将容差内残差强制归零。</w:t>
      </w:r>
    </w:p>
    <w:p>
      <w:pPr>
        <w:pStyle w:val="Heading1"/>
      </w:pPr>
      <w:r>
        <w:t>已执行程序与待核工作</w:t>
      </w:r>
    </w:p>
    <w:p>
      <w:pPr>
        <w:pStyle w:val="Heading2"/>
      </w:pPr>
      <w:r>
        <w:t>P_RECALC 复算所选报表与附注关系</w:t>
      </w:r>
    </w:p>
    <w:p>
      <w:r>
        <w:t>状态 performed；认定 准确性、列报；总体 本例已列事实所对应的报表及附注；选取 按现金、债务、利润归属、权益及供应商融资重要问题选取；非审计抽样。</w:t>
      </w:r>
    </w:p>
    <w:p>
      <w:r>
        <w:t>按PDF页码读取原始科目及千元单位。</w:t>
      </w:r>
    </w:p>
    <w:p>
      <w:r>
        <w:t>使用同一底稿重新加总桥及残差。</w:t>
      </w:r>
    </w:p>
    <w:p>
      <w:r>
        <w:t>对供应商融资跨页和现金等价物附注回看原页。</w:t>
      </w:r>
    </w:p>
    <w:p>
      <w:r>
        <w:t>实际结果：本次已完成取证和计算输入准备；确定性运行的每项实际残差列于Reconciliations，不能仅据复算证明交易真实性。；证据 E_CF, E_BRIDGE, E_DEBT, E_EQ, E_SUPPLY。</w:t>
      </w:r>
    </w:p>
    <w:p>
      <w:pPr>
        <w:pStyle w:val="Heading2"/>
      </w:pPr>
      <w:r>
        <w:t>P_CONTRACT 验证收入截止及返利估计</w:t>
      </w:r>
    </w:p>
    <w:p>
      <w:r>
        <w:t>状态 awaiting_data；认定 发生、截止、准确性；总体 年末前后主要客户交付、验收及返利合同与收入明细；选取 待取得总体与重要性后确定；不能以年报披露金额代替总体。</w:t>
      </w:r>
    </w:p>
    <w:p>
      <w:r>
        <w:t>将合同、验收、发票及期后回款按交易匹配。</w:t>
      </w:r>
    </w:p>
    <w:p>
      <w:r>
        <w:t>检查年末前后交付截止及期后退货折让。</w:t>
      </w:r>
    </w:p>
    <w:p>
      <w:r>
        <w:t>重算返利条款和可变对价限制。</w:t>
      </w:r>
    </w:p>
    <w:p>
      <w:r>
        <w:t>实际结果：未取得底层合同与明细，未执行细节检查；暂无确认错报金额。；证据 。</w:t>
      </w:r>
    </w:p>
    <w:p>
      <w:pPr>
        <w:pStyle w:val="Heading2"/>
      </w:pPr>
      <w:r>
        <w:t>REQ_CASH 待补资料</w:t>
      </w:r>
    </w:p>
    <w:p>
      <w:r>
        <w:t>取得逐法人、币种、月份的债务本金利息、受限现金、承诺额度到期与提款条件，以及未来经营/投资/分红预算。</w:t>
      </w:r>
    </w:p>
    <w:p>
      <w:r>
        <w:t>影响：集团现金汇总不能证明每个到期点的可用资金。。责任角色：资金负责人及信用分析师。关闭条件：来源用途与期初现金逐月闭合，融资条件有证据，压力下最小现金和契约时点可重算。</w:t>
      </w:r>
    </w:p>
    <w:p>
      <w:pPr>
        <w:pStyle w:val="Heading2"/>
      </w:pPr>
      <w:r>
        <w:t>REQ_ESTIMATE 待补资料</w:t>
      </w:r>
    </w:p>
    <w:p>
      <w:r>
        <w:t>取得资产组范围与完整减值预测、折现率依据、历史预算兑现，以及售后准备新增/使用/冲回和质保批次数据。</w:t>
      </w:r>
    </w:p>
    <w:p>
      <w:r>
        <w:t>影响：仅年报余额不能验证全部减值及保修估计。。责任角色：资产/售后财务负责人及审计估计负责人。关闭条件：账面范围与模型一致，关键参数有证据，独立敏感性可复算，重大差异处理完成。</w:t>
      </w:r>
    </w:p>
    <w:p>
      <w:pPr>
        <w:pStyle w:val="Heading1"/>
      </w:pPr>
      <w:r>
        <w:t>来源与定位</w:t>
      </w:r>
    </w:p>
    <w:p>
      <w:r>
        <w:t>[AR] 宁德时代新能源科技股份有限公司2025年年度报告；公布 2026-03-10</w:t>
        <w:br/>
        <w:t>https://static.cninfo.com.cn/finalpage/2026-03-10/1225002214.PDF</w:t>
        <w:br/>
      </w:r>
    </w:p>
    <w:p>
      <w:r>
        <w:t>[E_BIZ] AR PDF及印刷页24—27 收入成本与产销表。主营电池收入与销量不同范围；产品、地区与合并范围变动分别披露。 发行人正式年报；本次读取定位并复算，未独立确认底层交易真实性。</w:t>
      </w:r>
    </w:p>
    <w:p>
      <w:r>
        <w:t>[E_BS] AR PDF及印刷页111—113 合并资产负债表。人民币千元；合并资产负债和所有者权益，区别母公司表。 发行人正式年报；本次读取定位并复算，未独立确认底层交易真实性。</w:t>
      </w:r>
    </w:p>
    <w:p>
      <w:r>
        <w:t>[E_PL] AR PDF及印刷页116—119 利润表。合并总净利润、归母净利润、少数损益与母公司净利润分列。 发行人正式年报；本次读取定位并复算，未独立确认底层交易真实性。</w:t>
      </w:r>
    </w:p>
    <w:p>
      <w:r>
        <w:t>[E_CF] AR PDF及印刷页120—121 合并现金流量表。经营、投资、筹资和汇率影响分别披露。 发行人正式年报；本次读取定位并复算，未独立确认底层交易真实性。</w:t>
      </w:r>
    </w:p>
    <w:p>
      <w:r>
        <w:t>[E_EQ] AR PDF及印刷页123—125 合并权益变动表。权益包括综合收益、资本交易、利润分配及专项储备变动。 发行人正式年报；本次读取定位并复算，未独立确认底层交易真实性。</w:t>
      </w:r>
    </w:p>
    <w:p>
      <w:r>
        <w:t>[E_POLICY] AR PDF及印刷页134、153 会计基础及收入政策。采用CAS与公历年、人民币列报；质量保证不构成单独履约义务，返利为可变对价。 发行人正式年报；本次读取定位并复算，未独立确认底层交易真实性。</w:t>
      </w:r>
    </w:p>
    <w:p>
      <w:r>
        <w:t>[E_BRIDGE] AR PDF及印刷页200—201 附注67 现金流补充资料。净利润至CFO的非现金调整与经营性存货、应收、应付分别列示。 发行人正式年报；本次读取定位并复算，未独立确认底层交易真实性。</w:t>
      </w:r>
    </w:p>
    <w:p>
      <w:r>
        <w:t>[E_DEBT] AR PDF及印刷页200 筹资负债变动表。借款、应付债券和租赁的期初、现金及非现金变动与期末。 发行人正式年报；本次读取定位并复算，未独立确认底层交易真实性。</w:t>
      </w:r>
    </w:p>
    <w:p>
      <w:r>
        <w:t>[E_SUPPLY] AR PDF及印刷页202—203 附注67 供应商融资。跨页包含融单与反向保理；供应商已收款是合计的子集，不能再加一次。 发行人正式年报；本次读取定位并复算，未独立确认底层交易真实性。</w:t>
      </w:r>
    </w:p>
    <w:p>
      <w:r>
        <w:t>[E_CASH] AR PDF及印刷页202—203 现金构成与排除项目。保证金、质押存款和不可随时支取定期存款排除在现金等价物外。 发行人正式年报；本次读取定位并复算，未独立确认底层交易真实性。</w:t>
      </w:r>
    </w:p>
    <w:p>
      <w:r>
        <w:t>[E_PPE] AR PDF及印刷页177—180 固定资产与减值。固定资产转固不等于当年现金支出；被测试资产组的账面值、可收回额和减值单列。 发行人正式年报；本次读取定位并复算，未独立确认底层交易真实性。</w:t>
      </w:r>
    </w:p>
    <w:p>
      <w:r>
        <w:t>[E_WARRANTY] AR PDF及印刷页192 预计负债。售后综合服务费用估计依赖质保内累计销量、维修成本和维修率；未披露完整准备滚动。 发行人正式年报；本次读取定位并复算，未独立确认底层交易真实性。</w:t>
      </w:r>
    </w:p>
    <w:p>
      <w:r>
        <w:t>[E_AUDIT] AR PDF及印刷页107—110 审计报告。无保留意见；固定资产减值和收入确认为关键审计事项，原审计程序非本次执行。 发行人正式年报；本次读取定位并复算，未独立确认底层交易真实性。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宁德时代集团  |  catl-2025-example-v1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