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企业年报财务舞弊排查指南</w:t>
      </w:r>
    </w:p>
    <w:p>
      <w:pPr>
        <w:spacing w:after="180"/>
      </w:pPr>
      <w:r>
        <w:t xml:space="preserve">舞弊手法 → 年报异常信号 → 披露位置 → 核查方法</w:t>
      </w:r>
    </w:p>
    <w:p>
      <w:r>
        <w:t xml:space="preserve">围绕企业年报中的确认、计量、分类与披露，提供14个专题、101项排查条目和14项指标口径。保留适用条件及正常商业解释。</w:t>
      </w:r>
    </w:p>
    <w:p>
      <w:r>
        <w:t xml:space="preserve">使用方法：连续多期比较同口径年报，先看审计意见和三张报表，再沿异常信号核对附注、业务实质与现金流。披露不足的事项标为待核查；异常或会计政策变化本身不能直接证明舞弊。</w:t>
      </w:r>
    </w:p>
    <w:p>
      <w:r>
        <w:t xml:space="preserve">披露位置指年报栏目或附注；经营指标和合同条款仅在实际披露时核查。费用确认及现金流分类须结合企业适用的会计准则判断，不将历史案例的处理条件直接推广。</w:t>
      </w:r>
    </w:p>
    <w:p>
      <w:pPr>
        <w:spacing w:after="80"/>
      </w:pPr>
      <w:r>
        <w:t xml:space="preserve">内容许可：CC BY-SA 4.0 · qingkongwanli0l</w:t>
      </w:r>
    </w:p>
    <w:p>
      <w:pPr>
        <w:pStyle w:val="Heading1"/>
      </w:pPr>
      <w:r>
        <w:t xml:space="preserve">专题索引</w:t>
      </w:r>
    </w:p>
    <w:p>
      <w:pPr>
        <w:spacing w:after="65" w:line="265"/>
      </w:pPr>
      <w:r>
        <w:t xml:space="preserve">01  收入确认时点与回款条件  12项　　｜　　02  交易实质与收入计量  5项</w:t>
      </w:r>
    </w:p>
    <w:p>
      <w:pPr>
        <w:spacing w:after="65" w:line="265"/>
      </w:pPr>
      <w:r>
        <w:t xml:space="preserve">03  一次性收益与费用归属  7项　　｜　　04  合并口径与监督边界  6项</w:t>
      </w:r>
    </w:p>
    <w:p>
      <w:pPr>
        <w:spacing w:after="65" w:line="265"/>
      </w:pPr>
      <w:r>
        <w:t xml:space="preserve">05  费用资本化与减值  12项　　｜　　06  费用估计与准备金跨期调节  9项</w:t>
      </w:r>
    </w:p>
    <w:p>
      <w:pPr>
        <w:spacing w:after="65" w:line="265"/>
      </w:pPr>
      <w:r>
        <w:t xml:space="preserve">07  融资性流入与应收款变现  4项　　｜　　08  经营性流出的分类与非现金替代  6项</w:t>
      </w:r>
    </w:p>
    <w:p>
      <w:pPr>
        <w:spacing w:after="65" w:line="265"/>
      </w:pPr>
      <w:r>
        <w:t xml:space="preserve">09  营运资本时点与偶发现金流  5项　　｜　　10  关键指标与非公认会计准则指标  9项</w:t>
      </w:r>
    </w:p>
    <w:p>
      <w:pPr>
        <w:spacing w:after="65" w:line="265"/>
      </w:pPr>
      <w:r>
        <w:t xml:space="preserve">11  资产负债质量与流动性  5项　　｜　　12  并购利润及购买日安排  8项</w:t>
      </w:r>
    </w:p>
    <w:p>
      <w:pPr>
        <w:spacing w:after="65" w:line="265"/>
      </w:pPr>
      <w:r>
        <w:t xml:space="preserve">13  并购现金流与增长口径  8项　　｜　　14  差错重述与治理复核  5项</w:t>
      </w:r>
    </w:p>
    <w:p>
      <w:pPr>
        <w:pStyle w:val="Heading1"/>
        <w:pageBreakBefore/>
      </w:pPr>
      <w:r>
        <w:t xml:space="preserve">01 收入确认时点与回款条件</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001  履约未完成或跨期提前确认收入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仅凭签约或发货确认收入，重要履约、交付或验收未完成；重述显示下期收入提前入账，伴随应收异常或相关内控缺陷。</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收入政策、重大合同与履约条件、应收账款附注；会计差错更正与重述、内部控制评价及审计披露。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核对交付验收等条件与确认期间，勾稽收入增长、应收及经营收款；将重述的跨期金额与控制缺陷联查，采用更正后数据评价业绩。</w:t>
            </w:r>
          </w:p>
          <w:p>
            <w:pPr>
              <w:spacing w:after="0" w:before="70" w:line="250"/>
            </w:pPr>
            <w:r>
              <w:rPr>
                <w:b/>
                <w:bCs/>
                <w:sz w:val="19"/>
                <w:szCs w:val="19"/>
              </w:rPr>
              <w:t xml:space="preserve">边界 </w:t>
            </w:r>
            <w:r>
              <w:rPr>
                <w:color w:val="4D5660"/>
                <w:sz w:val="19"/>
                <w:szCs w:val="19"/>
              </w:rPr>
              <w:t xml:space="preserve">未披露的交付事实不能仅凭年报查明。</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002  交货确认口径变更使收入前移</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收入政策由交货改为发货，或由终端销售改为经销商交货；同期收入改善而已披露的渠道存货增加、终端需求未同步。</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收入政策、会计政策变更及企业合并附注；分销业务和管理层讨论中的渠道存货、终端销售与并购影响说明。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逐年比较履约、验收与确认措辞，核查为何在并购完成等时点改变；剔除披露的政策影响，比较同口径收入、终端需求和渠道存货。</w:t>
            </w:r>
          </w:p>
          <w:p>
            <w:pPr>
              <w:spacing w:after="0" w:before="70" w:line="250"/>
            </w:pPr>
            <w:r>
              <w:rPr>
                <w:b/>
                <w:bCs/>
                <w:sz w:val="19"/>
                <w:szCs w:val="19"/>
              </w:rPr>
              <w:t xml:space="preserve">边界 </w:t>
            </w:r>
            <w:r>
              <w:rPr>
                <w:color w:val="4D5660"/>
                <w:sz w:val="19"/>
                <w:szCs w:val="19"/>
              </w:rPr>
              <w:t xml:space="preserve">发货或经销商交货确认本身不必然违规。</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003  改变完工进度口径或估计前移收入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改用完工百分比法，或下调预计总成本，使当期收入、毛利和营业利润增加；剔除变更后，业务增长明显弱于报告结果。</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收入确认政策、长期项目说明、重大会计估计及变更附注；管理层讨论与分析中对收入与利润变动原因的解释。</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核查方法适用条件及总成本修订理由；对照已发生成本与预计总成本，利用披露金额还原不变更口径的收入和利润。</w:t>
            </w:r>
          </w:p>
          <w:p>
            <w:pPr>
              <w:spacing w:after="0" w:before="70" w:line="250"/>
            </w:pPr>
            <w:r>
              <w:rPr>
                <w:b/>
                <w:bCs/>
                <w:sz w:val="19"/>
                <w:szCs w:val="19"/>
              </w:rPr>
              <w:t xml:space="preserve">边界 </w:t>
            </w:r>
            <w:r>
              <w:rPr>
                <w:color w:val="4D5660"/>
                <w:sz w:val="19"/>
                <w:szCs w:val="19"/>
              </w:rPr>
              <w:t xml:space="preserve">适用的方法及有事实依据的估计修订可以合理。</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004  未履约即一次确认多年许可费</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多年许可或服务费在合同初期集中确认，现金却分多年收取；长期应收款快速积累，包含长期部分的周转天数明显延长。</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软件或品牌许可等收入确认政策、重大合同期限及履约说明；资产负债表和应收账款、长期应收款附注。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对照一次确认金额与尚待履行的服务或其他条件；将长期应收纳入回款分析，重算同口径周转天数并检查账龄。</w:t>
            </w:r>
          </w:p>
          <w:p>
            <w:pPr>
              <w:spacing w:after="0" w:before="70" w:line="250"/>
            </w:pPr>
            <w:r>
              <w:rPr>
                <w:b/>
                <w:bCs/>
                <w:sz w:val="19"/>
                <w:szCs w:val="19"/>
              </w:rPr>
              <w:t xml:space="preserve">边界 </w:t>
            </w:r>
            <w:r>
              <w:rPr>
                <w:color w:val="4D5660"/>
                <w:sz w:val="19"/>
                <w:szCs w:val="19"/>
              </w:rPr>
              <w:t xml:space="preserve">履约已完成且条件满足的许可收入不在此列。</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005  借开票持有或中介仓储提前确认</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收入已确认但货物仍由卖方、附属方或第三方仓库存放；买方是否提出保管要求、能否取得产品及接受货物并不清楚。</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收入确认政策中的开票持有、第三方仓储或中介交货说明；重大销售合同、关联交易及产品交付条件披露。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核对安排发起方、买方接受条件及风险承担，区分实际交付与仅移出自有仓库；检查收入确认是否先于必要条件满足。</w:t>
            </w:r>
          </w:p>
          <w:p>
            <w:pPr>
              <w:spacing w:after="0" w:before="70" w:line="250"/>
            </w:pPr>
            <w:r>
              <w:rPr>
                <w:b/>
                <w:bCs/>
                <w:sz w:val="19"/>
                <w:szCs w:val="19"/>
              </w:rPr>
              <w:t xml:space="preserve">边界 </w:t>
            </w:r>
            <w:r>
              <w:rPr>
                <w:color w:val="4D5660"/>
                <w:sz w:val="19"/>
                <w:szCs w:val="19"/>
              </w:rPr>
              <w:t xml:space="preserve">正常代管或中介交易并不等于虚假销售。</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006  寄售未完成终端销售即确认收入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货物交给代销人时便确认收入，但代销人仍在寻找最终买方；交易实质与将渠道方视为客户的收入确认口径不一致。</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收入确认政策、寄售或代销业务模式说明、重大销售合同条件；管理层讨论与分析中已披露的渠道销售情况。</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先区分寄售与实际经销交易，再核对代销人向终端销售是否为确认条件；将尚未满足条件的寄售收入单独列出核查。</w:t>
            </w:r>
          </w:p>
          <w:p>
            <w:pPr>
              <w:spacing w:after="0" w:before="70" w:line="250"/>
            </w:pPr>
            <w:r>
              <w:rPr>
                <w:b/>
                <w:bCs/>
                <w:sz w:val="19"/>
                <w:szCs w:val="19"/>
              </w:rPr>
              <w:t xml:space="preserve">边界 </w:t>
            </w:r>
            <w:r>
              <w:rPr>
                <w:color w:val="4D5660"/>
                <w:sz w:val="19"/>
                <w:szCs w:val="19"/>
              </w:rPr>
              <w:t xml:space="preserve">只能根据已披露条款判断，不能假定渠道销售均为寄售。</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007  渠道压货及宽松账期透支未来需求</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新设提早购买计划、延长付款期限或提前向渠道发货，同时应收款与周转天数上升；渠道库存增加而后续需求转弱。</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管理层讨论与分析的销售政策和渠道存货说明；应收账款账龄、信用期限附注及重大销售合同的付款、退货条款。</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对照信用政策变动、应收周转和渠道销售趋势；检查买方接受与付款条件，区分真实需求增长和提前消耗未来采购。</w:t>
            </w:r>
          </w:p>
          <w:p>
            <w:pPr>
              <w:spacing w:after="0" w:before="70" w:line="250"/>
            </w:pPr>
            <w:r>
              <w:rPr>
                <w:b/>
                <w:bCs/>
                <w:sz w:val="19"/>
                <w:szCs w:val="19"/>
              </w:rPr>
              <w:t xml:space="preserve">边界 </w:t>
            </w:r>
            <w:r>
              <w:rPr>
                <w:color w:val="4D5660"/>
                <w:sz w:val="19"/>
                <w:szCs w:val="19"/>
              </w:rPr>
              <w:t xml:space="preserve">信用优惠和提前采购可以是正常商业安排。</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008  忽略取消权或低估预计退货</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买方仍有退货或取消权，收入却未相应递延或抵减；实际退货高于原估计，或交付产品尚未达到客户可接受状态。</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收入确认及销售退回会计政策、退货估计说明、重大合同的验收和取消条款；相关收入和应收款附注。并核对销售退回准备、差错重述及相关内控披露。</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核对退货权及验收条件，比较预计与实际退货、应计与实计准备；结合重述检查收入抵减或递延是否一致，并量化少提准备对利润的影响。</w:t>
            </w:r>
          </w:p>
          <w:p>
            <w:pPr>
              <w:spacing w:after="0" w:before="70" w:line="250"/>
            </w:pPr>
            <w:r>
              <w:rPr>
                <w:b/>
                <w:bCs/>
                <w:sz w:val="19"/>
                <w:szCs w:val="19"/>
              </w:rPr>
              <w:t xml:space="preserve">边界 </w:t>
            </w:r>
            <w:r>
              <w:rPr>
                <w:color w:val="4D5660"/>
                <w:sz w:val="19"/>
                <w:szCs w:val="19"/>
              </w:rPr>
              <w:t xml:space="preserve">保留退货权本身不是虚假销售的证据。</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009  放宽付款条件判断以提前确认收入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交易能否继续依赖尚未落实的外部资金，或从收现确认改为重新认定可收回即确认；收入改善但回款仍缺乏支持。</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重大销售合同及补充条款的资金、取消条件；收入确认政策和会计变更附注，应收账款账龄及可收回性说明。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核对外部资金是否为付款前提，比较新旧可收回性判断依据；结合账龄与回款分析，并剔除已披露的判断变更影响。</w:t>
            </w:r>
          </w:p>
          <w:p>
            <w:pPr>
              <w:spacing w:after="0" w:before="70" w:line="250"/>
            </w:pPr>
            <w:r>
              <w:rPr>
                <w:b/>
                <w:bCs/>
                <w:sz w:val="19"/>
                <w:szCs w:val="19"/>
              </w:rPr>
              <w:t xml:space="preserve">边界 </w:t>
            </w:r>
            <w:r>
              <w:rPr>
                <w:color w:val="4D5660"/>
                <w:sz w:val="19"/>
                <w:szCs w:val="19"/>
              </w:rPr>
              <w:t xml:space="preserve">有依据的判断更新可以合理；仍须满足其他确认条件。</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010  以卖方或股东融资支撑客户购买</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客户采购或回款依赖卖方贷款、股东或产业基金支持，销售快速增长却伴随较多应收款、融资余额和关联往来。</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关联方及关联交易、借款与客户融资安排、应收账款附注；管理层讨论与分析中的业务模式和回款情况说明。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把客户销售、贷款、股东支持和往来余额放在一起核对；检查回款来源及融资可持续性，辨别正常融资与循环回款。</w:t>
            </w:r>
          </w:p>
          <w:p>
            <w:pPr>
              <w:spacing w:after="0" w:before="70" w:line="250"/>
            </w:pPr>
            <w:r>
              <w:rPr>
                <w:b/>
                <w:bCs/>
                <w:sz w:val="19"/>
                <w:szCs w:val="19"/>
              </w:rPr>
              <w:t xml:space="preserve">边界 </w:t>
            </w:r>
            <w:r>
              <w:rPr>
                <w:color w:val="4D5660"/>
                <w:sz w:val="19"/>
                <w:szCs w:val="19"/>
              </w:rPr>
              <w:t xml:space="preserve">客户融资可以正常；未披露资金链不能由年报推断。</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011  延长报告期间掩盖增长放缓</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报告期截止日或期间长度改变，增加的销售天数贡献当期收入；名义增长率改善但与上年比较的期间并不一致。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财务报表编制基础和报告期间说明；主要财务数据、收入附注及管理层讨论与分析对同比变动原因的解释。</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核对本期和比较期实际起止日期，区分新增天数及并购贡献；利用披露金额按一致期间比较，不能直接沿用名义增幅。</w:t>
            </w:r>
          </w:p>
          <w:p>
            <w:pPr>
              <w:spacing w:after="0" w:before="70" w:line="250"/>
            </w:pPr>
            <w:r>
              <w:rPr>
                <w:b/>
                <w:bCs/>
                <w:sz w:val="19"/>
                <w:szCs w:val="19"/>
              </w:rPr>
              <w:t xml:space="preserve">边界 </w:t>
            </w:r>
            <w:r>
              <w:rPr>
                <w:color w:val="4D5660"/>
                <w:sz w:val="19"/>
                <w:szCs w:val="19"/>
              </w:rPr>
              <w:t xml:space="preserve">公开正常调整期间不等于秘密延长关账或舞弊。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012  把应抵收入的客户付款改列费用</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原作销售收入抵减的客户奖励、折扣改列营业费用，报告收入随之增加；增长表现与毛利、费用及利润贡献不相称。</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收入确认与客户奖励会计政策、政策变更附注；利润表中的收入和销售费用，以及管理层讨论与分析的变化说明。并核对客户付款、差错重述及相关内控说明。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核对奖励、折扣及其他客户付款的经济实质，结合差错更正逐年比较列报；统一收入与费用率口径，区分对毛收入和对净利润的不同影响。</w:t>
            </w:r>
          </w:p>
          <w:p>
            <w:pPr>
              <w:spacing w:after="0" w:before="70" w:line="250"/>
            </w:pPr>
            <w:r>
              <w:rPr>
                <w:b/>
                <w:bCs/>
                <w:sz w:val="19"/>
                <w:szCs w:val="19"/>
              </w:rPr>
              <w:t xml:space="preserve">边界 </w:t>
            </w:r>
            <w:r>
              <w:rPr>
                <w:color w:val="4D5660"/>
                <w:sz w:val="19"/>
                <w:szCs w:val="19"/>
              </w:rPr>
              <w:t xml:space="preserve">分类应以奖励性质和适用政策为依据，变更不自动违规。</w:t>
            </w:r>
          </w:p>
        </w:tc>
      </w:tr>
    </w:tbl>
    <w:p>
      <w:pPr>
        <w:spacing w:after="70"/>
      </w:pPr>
      <w:r>
        <w:t xml:space="preserve"/>
      </w:r>
    </w:p>
    <w:p>
      <w:pPr>
        <w:pStyle w:val="Heading1"/>
      </w:pPr>
      <w:r>
        <w:t xml:space="preserve">02 交易实质与收入计量</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013  把无风险转移的保险融资记作收入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损失已经发生才安排追溯保障，收到赔付款后仍须持续支付相应款项；名为保险的安排缺少真实风险转移。</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重大保险或追溯安排的业务说明、借款及融资安排附注；利润表相关收入、现金流量表及管理层讨论与分析。</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把所谓保费、赔付款、损失发生时间和偿付安排合看；核查有无风险转移，判断现金是否实为融资或本金返还。</w:t>
            </w:r>
          </w:p>
          <w:p>
            <w:pPr>
              <w:spacing w:after="0" w:before="70" w:line="250"/>
            </w:pPr>
            <w:r>
              <w:rPr>
                <w:b/>
                <w:bCs/>
                <w:sz w:val="19"/>
                <w:szCs w:val="19"/>
              </w:rPr>
              <w:t xml:space="preserve">边界 </w:t>
            </w:r>
            <w:r>
              <w:rPr>
                <w:color w:val="4D5660"/>
                <w:sz w:val="19"/>
                <w:szCs w:val="19"/>
              </w:rPr>
              <w:t xml:space="preserve">须有合同实质披露，不能仅凭保险产品名称认定。</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014  利用非货币交换高估收入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易货或数据资产交换没有现金对价，却显著贡献收入增长；收入金额依赖自行估值，关联交易占比同时较高。</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非货币性交易、非货币资产交换及收入确认附注；关联方及关联交易附注和管理层讨论与分析的收入增长说明。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计算非现金交换收入对总收入及增长的贡献，核对估值依据和对手关系；分开分析现金销售与交换所得收入的质量。</w:t>
            </w:r>
          </w:p>
          <w:p>
            <w:pPr>
              <w:spacing w:after="0" w:before="70" w:line="250"/>
            </w:pPr>
            <w:r>
              <w:rPr>
                <w:b/>
                <w:bCs/>
                <w:sz w:val="19"/>
                <w:szCs w:val="19"/>
              </w:rPr>
              <w:t xml:space="preserve">边界 </w:t>
            </w:r>
            <w:r>
              <w:rPr>
                <w:color w:val="4D5660"/>
                <w:sz w:val="19"/>
                <w:szCs w:val="19"/>
              </w:rPr>
              <w:t xml:space="preserve">易货及关联关系本身不证明收入虚假。</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015  借往返购销或投资补偿制造收入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同一对手同时是客户、供应商或被投资方；销售伴随回购、采购、服务购买或补偿，资金可能往返而无相应独立需求。</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关联交易、重大购销与投资合同、企业合并或资产收购附注；应收应付款项和现金流量表中的相关往来披露。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汇总对同一对手的销售、采购、投资和补偿条款，检查是否互为条件；核对双向金额及余额，判断销售的经济实质。</w:t>
            </w:r>
          </w:p>
          <w:p>
            <w:pPr>
              <w:spacing w:after="0" w:before="70" w:line="250"/>
            </w:pPr>
            <w:r>
              <w:rPr>
                <w:b/>
                <w:bCs/>
                <w:sz w:val="19"/>
                <w:szCs w:val="19"/>
              </w:rPr>
              <w:t xml:space="preserve">边界 </w:t>
            </w:r>
            <w:r>
              <w:rPr>
                <w:color w:val="4D5660"/>
                <w:sz w:val="19"/>
                <w:szCs w:val="19"/>
              </w:rPr>
              <w:t xml:space="preserve">双向交易可以正常；不把未披露串谋当作事实。</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016  不公允关联销售堆高收入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收入集中于母公司、股东或合资伙伴，增长迅速却回款薄弱；信用期限长、账龄或逾期增加，交易伴随回购补偿安排。</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关联方及关联交易附注中的交易额、定价和余额；主要客户、应收账款账龄、信用条件及重大合同披露。</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核对关联客户销售占比与未收款占比，追踪往来和回款；比较已披露的定价、退货、回购和补偿条件是否一致。</w:t>
            </w:r>
          </w:p>
          <w:p>
            <w:pPr>
              <w:spacing w:after="0" w:before="70" w:line="250"/>
            </w:pPr>
            <w:r>
              <w:rPr>
                <w:b/>
                <w:bCs/>
                <w:sz w:val="19"/>
                <w:szCs w:val="19"/>
              </w:rPr>
              <w:t xml:space="preserve">边界 </w:t>
            </w:r>
            <w:r>
              <w:rPr>
                <w:color w:val="4D5660"/>
                <w:sz w:val="19"/>
                <w:szCs w:val="19"/>
              </w:rPr>
              <w:t xml:space="preserve">正常关联交易不等于舞弊，公允性须有披露支持。</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017  以毛额代替净额夸大代理收入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收入和成本同步大增但毛利贡献有限；代收后需付给商家的金额全部计入收入，或不同业务混用毛额、净额口径。</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收入确认政策中的代理业务及总额净额说明；分部收入与毛利披露、利润表和管理层讨论与分析的业务构成。</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区分自身佣金与代收代付款，逐业务核对口径；将仅属代理部分按可披露的净额重算，比较收入增幅与毛利贡献。</w:t>
            </w:r>
          </w:p>
          <w:p>
            <w:pPr>
              <w:spacing w:after="0" w:before="70" w:line="250"/>
            </w:pPr>
            <w:r>
              <w:rPr>
                <w:b/>
                <w:bCs/>
                <w:sz w:val="19"/>
                <w:szCs w:val="19"/>
              </w:rPr>
              <w:t xml:space="preserve">边界 </w:t>
            </w:r>
            <w:r>
              <w:rPr>
                <w:color w:val="4D5660"/>
                <w:sz w:val="19"/>
                <w:szCs w:val="19"/>
              </w:rPr>
              <w:t xml:space="preserve">先核查业务角色及政策依据，不能把所有总额列报视为错误。</w:t>
            </w:r>
          </w:p>
        </w:tc>
      </w:tr>
    </w:tbl>
    <w:p>
      <w:pPr>
        <w:spacing w:after="70"/>
      </w:pPr>
      <w:r>
        <w:t xml:space="preserve"/>
      </w:r>
    </w:p>
    <w:p>
      <w:pPr>
        <w:pStyle w:val="Heading1"/>
      </w:pPr>
      <w:r>
        <w:t xml:space="preserve">03 一次性收益与费用归属</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018  把非日常资产卖断包装成经常收入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商标、事业部或其他资产一次卖断的收益被混入常规收入，显著支撑增长；收入来源与原有持续授权或经营模式不同。</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重大资产处置、无形资产或相关资产变动附注；收入构成、非经常性损益明细及管理层讨论与分析。</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核对出售的是资产所有权还是持续提供产品服务；单列非日常处置贡献，剔除后重算收入增长和可持续营业利润。</w:t>
            </w:r>
          </w:p>
          <w:p>
            <w:pPr>
              <w:spacing w:after="0" w:before="70" w:line="250"/>
            </w:pPr>
            <w:r>
              <w:rPr>
                <w:b/>
                <w:bCs/>
                <w:sz w:val="19"/>
                <w:szCs w:val="19"/>
              </w:rPr>
              <w:t xml:space="preserve">边界 </w:t>
            </w:r>
            <w:r>
              <w:rPr>
                <w:color w:val="4D5660"/>
                <w:sz w:val="19"/>
                <w:szCs w:val="19"/>
              </w:rPr>
              <w:t xml:space="preserve">正常处置及恰当列报并不属于舞弊。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019  用处置利得冲抵营业或专项费用</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营业成本上升而费用率异常下降，营业利润增幅明显高于收入；附注显示资产处置利得冲减费用，或利得与专项费用净额列示。</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利润表及销售、管理等费用附注；重大资产处置、专项费用和非经常性损益明细中的金额及列报说明。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恢复费用原额并将处置利得单列，再比较同口径费用率与可持续营业利润；对同一处置利得只调整一次，避免恢复费用后再次扣除。</w:t>
            </w:r>
          </w:p>
          <w:p>
            <w:pPr>
              <w:spacing w:after="0" w:before="70" w:line="250"/>
            </w:pPr>
            <w:r>
              <w:rPr>
                <w:b/>
                <w:bCs/>
                <w:sz w:val="19"/>
                <w:szCs w:val="19"/>
              </w:rPr>
              <w:t xml:space="preserve">边界 </w:t>
            </w:r>
            <w:r>
              <w:rPr>
                <w:color w:val="4D5660"/>
                <w:sz w:val="19"/>
                <w:szCs w:val="19"/>
              </w:rPr>
              <w:t xml:space="preserve">关注列报是否遮蔽经营趋势，不把真实处置收益视为虚构。</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020  提前估计未兑付礼品卡收益</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未使用礼品卡由长期不活跃后确认收益，改为较早按预计不兑付比例确认；政策调整当期利润改善而主营趋势偏弱。</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礼品卡或预收款相关收入政策、未兑付余额估计和会计变更附注；管理层讨论与分析的利润变动说明。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对照新旧不兑付判断时点和估计依据，核对变更量化影响；剔除提前确认部分后，再比较主营业务的利润表现。</w:t>
            </w:r>
          </w:p>
          <w:p>
            <w:pPr>
              <w:spacing w:after="0" w:before="70" w:line="250"/>
            </w:pPr>
            <w:r>
              <w:rPr>
                <w:b/>
                <w:bCs/>
                <w:sz w:val="19"/>
                <w:szCs w:val="19"/>
              </w:rPr>
              <w:t xml:space="preserve">边界 </w:t>
            </w:r>
            <w:r>
              <w:rPr>
                <w:color w:val="4D5660"/>
                <w:sz w:val="19"/>
                <w:szCs w:val="19"/>
              </w:rPr>
              <w:t xml:space="preserve">合理更新估计可以成立，关键是依据及影响是否清楚。</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021  将经常费用塞进一次性重组项目</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重组、专项注销几乎逐年出现，持续经营利润却排除这些成本；存货或设备注销可能替代后续销售成本、折旧费用。</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重组费用、资产注销和非经常性损益明细；存货、固定资产及费用附注，管理层讨论与分析的调整利润说明。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逐年列示重组费用及其性质，识别反复发生的正常成本；将应计入经常经营的部分加回，再评价持续盈利及后续费用变化。</w:t>
            </w:r>
          </w:p>
          <w:p>
            <w:pPr>
              <w:spacing w:after="0" w:before="70" w:line="250"/>
            </w:pPr>
            <w:r>
              <w:rPr>
                <w:b/>
                <w:bCs/>
                <w:sz w:val="19"/>
                <w:szCs w:val="19"/>
              </w:rPr>
              <w:t xml:space="preserve">边界 </w:t>
            </w:r>
            <w:r>
              <w:rPr>
                <w:color w:val="4D5660"/>
                <w:sz w:val="19"/>
                <w:szCs w:val="19"/>
              </w:rPr>
              <w:t xml:space="preserve">真实重组且恰当披露可以合理单列。</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022  向终止经营过度分摊正常成本</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拟出售亏损部门被移出持续经营后，持续利润明显改善；同一历史期间该部门被分配的费用上升，剩余业务费用下降。</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终止经营及待售业务附注、分部成本披露；利润表比较数据和管理层讨论与分析对业务出售状态的说明。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比较重分类前后同一期间的费用归属，核查分摊依据及处置是否完成；合看持续与终止经营结果，识别成本转移影响。</w:t>
            </w:r>
          </w:p>
          <w:p>
            <w:pPr>
              <w:spacing w:after="0" w:before="70" w:line="250"/>
            </w:pPr>
            <w:r>
              <w:rPr>
                <w:b/>
                <w:bCs/>
                <w:sz w:val="19"/>
                <w:szCs w:val="19"/>
              </w:rPr>
              <w:t xml:space="preserve">边界 </w:t>
            </w:r>
            <w:r>
              <w:rPr>
                <w:color w:val="4D5660"/>
                <w:sz w:val="19"/>
                <w:szCs w:val="19"/>
              </w:rPr>
              <w:t xml:space="preserve">符合条件的终止经营列报本身不是舞弊。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023  以非核心利息投资收益掩盖主业</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非金融企业利润主要来自贷款利息、投资或对经营伙伴收费，主营分部仍亏损；非核心收益与经营收入混合列示。</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利润表、收入和投资收益附注、分部经营披露；关联融资或长期股权投资附注及管理层讨论与分析。</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按收入来源拆分主营、利息和投资收益，重算主业毛利及费用；核对收益是否依赖向经营伙伴提供资金并评估持续性。</w:t>
            </w:r>
          </w:p>
          <w:p>
            <w:pPr>
              <w:spacing w:after="0" w:before="70" w:line="250"/>
            </w:pPr>
            <w:r>
              <w:rPr>
                <w:b/>
                <w:bCs/>
                <w:sz w:val="19"/>
                <w:szCs w:val="19"/>
              </w:rPr>
              <w:t xml:space="preserve">边界 </w:t>
            </w:r>
            <w:r>
              <w:rPr>
                <w:color w:val="4D5660"/>
                <w:sz w:val="19"/>
                <w:szCs w:val="19"/>
              </w:rPr>
              <w:t xml:space="preserve">金融机构正常利息收入不适用此项。</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024  临时压缩广告薪酬美化利润趋势</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广告、工资等投入下降，费用率和当期利润改善，但收入或核心业务仍疲弱；披露显示削减或推迟投入具有临时性。</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利润表及销售、管理等费用明细，职工薪酬相关附注；管理层讨论与分析对成本节约和经营投入的解释。</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拆分毛利和费用对利润增长的贡献，核对削减项目及期限；区分可持续效率改善与一次性的投入推迟或压缩。</w:t>
            </w:r>
          </w:p>
          <w:p>
            <w:pPr>
              <w:spacing w:after="0" w:before="70" w:line="250"/>
            </w:pPr>
            <w:r>
              <w:rPr>
                <w:b/>
                <w:bCs/>
                <w:sz w:val="19"/>
                <w:szCs w:val="19"/>
              </w:rPr>
              <w:t xml:space="preserve">边界 </w:t>
            </w:r>
            <w:r>
              <w:rPr>
                <w:color w:val="4D5660"/>
                <w:sz w:val="19"/>
                <w:szCs w:val="19"/>
              </w:rPr>
              <w:t xml:space="preserve">合规经营决策不是舞弊，此项用于判断利润可持续性。</w:t>
            </w:r>
          </w:p>
        </w:tc>
      </w:tr>
    </w:tbl>
    <w:p>
      <w:pPr>
        <w:spacing w:after="70"/>
      </w:pPr>
      <w:r>
        <w:t xml:space="preserve"/>
      </w:r>
    </w:p>
    <w:p>
      <w:pPr>
        <w:pStyle w:val="Heading1"/>
      </w:pPr>
      <w:r>
        <w:t xml:space="preserve">04 合并口径与监督边界</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025  掩饰控制关系规避合并抵销</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表面持股较低却承担回购、融资或其他关键义务；客户、基金或合资方与股东关系复杂，收入与债务的合并口径不清。</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合并范围和长期股权投资附注、关联交易及结构化安排说明；借款、回购义务和其他融资协议的年报披露。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核对实际权利、资金来源和回购义务，判断控制依据是否完整；在相应集团合并层面检查应纳入主体及内部交易抵销。</w:t>
            </w:r>
          </w:p>
          <w:p>
            <w:pPr>
              <w:spacing w:after="0" w:before="70" w:line="250"/>
            </w:pPr>
            <w:r>
              <w:rPr>
                <w:b/>
                <w:bCs/>
                <w:sz w:val="19"/>
                <w:szCs w:val="19"/>
              </w:rPr>
              <w:t xml:space="preserve">边界 </w:t>
            </w:r>
            <w:r>
              <w:rPr>
                <w:color w:val="4D5660"/>
                <w:sz w:val="19"/>
                <w:szCs w:val="19"/>
              </w:rPr>
              <w:t xml:space="preserve">不能只凭持股比例、名称或集团关联关系判定控制。</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026  随盈亏操纵重大影响与合并判断</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同一投资盈利时纳入收益、亏损时被排除或改变核算，重大影响或控制判断随业绩变动，但实际关系变化不清楚。</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合并范围变动、长期股权投资和重大会计判断附注；投资收益及管理层讨论与分析对核算方法变化的说明。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跨期比较持股、治理权利、实际关系和核算依据，检查盈亏处理是否一致；把变更前后应享有的损益及债务影响合看。</w:t>
            </w:r>
          </w:p>
          <w:p>
            <w:pPr>
              <w:spacing w:after="0" w:before="70" w:line="250"/>
            </w:pPr>
            <w:r>
              <w:rPr>
                <w:b/>
                <w:bCs/>
                <w:sz w:val="19"/>
                <w:szCs w:val="19"/>
              </w:rPr>
              <w:t xml:space="preserve">边界 </w:t>
            </w:r>
            <w:r>
              <w:rPr>
                <w:color w:val="4D5660"/>
                <w:sz w:val="19"/>
                <w:szCs w:val="19"/>
              </w:rPr>
              <w:t xml:space="preserve">真实控制或重大影响变化可以支持会计处理变更。</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027  以合并业绩掩盖母公司经济份额</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非全资子公司贡献较多收入和营业利润，宣传的合并增长明显高于母公司实际享有份额；少数股东应享收益被忽略。</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合并利润表的归属划分、少数股东权益及重要子公司附注；合并范围、持股比例和分部业绩披露。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将全部合并利润与归属母公司、少数股东的份额分开，核对持股及相关权益；评估股东所得时避免把全额业绩当成自身份额。</w:t>
            </w:r>
          </w:p>
          <w:p>
            <w:pPr>
              <w:spacing w:after="0" w:before="70" w:line="250"/>
            </w:pPr>
            <w:r>
              <w:rPr>
                <w:b/>
                <w:bCs/>
                <w:sz w:val="19"/>
                <w:szCs w:val="19"/>
              </w:rPr>
              <w:t xml:space="preserve">边界 </w:t>
            </w:r>
            <w:r>
              <w:rPr>
                <w:color w:val="4D5660"/>
                <w:sz w:val="19"/>
                <w:szCs w:val="19"/>
              </w:rPr>
              <w:t xml:space="preserve">依法全额合并并非舞弊，此项纠正对指标的误读。</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028  回购融资销售列报压低期末负债</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附有回购的融资按资产出售列报，报告日前相关交易或负债余额明显变化；期末杠杆较好而期间融资需求仍较高。</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回购交易、抵押和借款融资安排附注；资产负债表、现金流量表及年报已披露的期间与期末余额比较。</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核对偿还义务、风险转移及期末交易性质；将期间与期末余额对照，结合资产质量和期限结构判断杠杆是否被暂时美化。</w:t>
            </w:r>
          </w:p>
          <w:p>
            <w:pPr>
              <w:spacing w:after="0" w:before="70" w:line="250"/>
            </w:pPr>
            <w:r>
              <w:rPr>
                <w:b/>
                <w:bCs/>
                <w:sz w:val="19"/>
                <w:szCs w:val="19"/>
              </w:rPr>
              <w:t xml:space="preserve">边界 </w:t>
            </w:r>
            <w:r>
              <w:rPr>
                <w:color w:val="4D5660"/>
                <w:sz w:val="19"/>
                <w:szCs w:val="19"/>
              </w:rPr>
              <w:t xml:space="preserve">只有期末单点数据时，不能确认窗口修饰。</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029  用现金和账面杠杆掩盖资产质量风险</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经营及筹资现金流持续为正、投资持续流出，自由现金流却偏弱；资产周转低且往来挂账大，短期融资支撑长期投入。</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三张财务报表及预付款、其他应收款、投资和减值附注；借款期限与有息债务说明，管理层讨论与分析的扩张计划。</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交叉核对利润、资产和现金流，检查资金去向及资产回收质量；结合发展阶段计算自由现金流，并按业务特点分析杠杆和期限。</w:t>
            </w:r>
          </w:p>
          <w:p>
            <w:pPr>
              <w:spacing w:after="0" w:before="70" w:line="250"/>
            </w:pPr>
            <w:r>
              <w:rPr>
                <w:b/>
                <w:bCs/>
                <w:sz w:val="19"/>
                <w:szCs w:val="19"/>
              </w:rPr>
              <w:t xml:space="preserve">边界 </w:t>
            </w:r>
            <w:r>
              <w:rPr>
                <w:color w:val="4D5660"/>
                <w:sz w:val="19"/>
                <w:szCs w:val="19"/>
              </w:rPr>
              <w:t xml:space="preserve">这是风险组合；成长投入、低周转或高负债均不能单独定性。</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030  治理审计制衡薄弱放大错报风险</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关键高管集中于已披露亲属，审计委员会专业性或独立性不足；审计任期、收费安排值得关注，或应收回收性获保留意见。</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公司治理、董事履历及关联关系披露，审计机构聘任与收费说明；审计报告和对应的应收账款或关联交易附注。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核对任职关系、委员会能力及公开审计安排，对照审计保留事项追踪报表问题；无保留意见也不能替代对异常交易的分析。</w:t>
            </w:r>
          </w:p>
          <w:p>
            <w:pPr>
              <w:spacing w:after="0" w:before="70" w:line="250"/>
            </w:pPr>
            <w:r>
              <w:rPr>
                <w:b/>
                <w:bCs/>
                <w:sz w:val="19"/>
                <w:szCs w:val="19"/>
              </w:rPr>
              <w:t xml:space="preserve">边界 </w:t>
            </w:r>
            <w:r>
              <w:rPr>
                <w:color w:val="4D5660"/>
                <w:sz w:val="19"/>
                <w:szCs w:val="19"/>
              </w:rPr>
              <w:t xml:space="preserve">仅作监督风险线索，不推测朋友关系、收费依赖或已发生舞弊。</w:t>
            </w:r>
          </w:p>
        </w:tc>
      </w:tr>
    </w:tbl>
    <w:p>
      <w:pPr>
        <w:spacing w:after="70"/>
      </w:pPr>
      <w:r>
        <w:t xml:space="preserve"/>
      </w:r>
    </w:p>
    <w:p>
      <w:pPr>
        <w:pStyle w:val="Heading1"/>
      </w:pPr>
      <w:r>
        <w:t xml:space="preserve">05 费用资本化与减值</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031  经营费用不当资本化并错分现金流</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利润上升伴随预付或其他资产、资本开支激增；经营现金流落后于利润，或看似强劲而自由现金流恶化。</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利润表、资产负债表及现金流量表三部分；资本化政策、现金流补充资料与管理层资本开支说明。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核对维修、线路等支出的受益期间与资本化依据，还原费用化后的利润；勾稽资产增加、现金支付及分类，用经营现金流减资本开支检验自由现金流。</w:t>
            </w:r>
          </w:p>
          <w:p>
            <w:pPr>
              <w:spacing w:after="0" w:before="70" w:line="250"/>
            </w:pPr>
            <w:r>
              <w:rPr>
                <w:b/>
                <w:bCs/>
                <w:sz w:val="19"/>
                <w:szCs w:val="19"/>
              </w:rPr>
              <w:t xml:space="preserve">边界 </w:t>
            </w:r>
            <w:r>
              <w:rPr>
                <w:color w:val="4D5660"/>
                <w:sz w:val="19"/>
                <w:szCs w:val="19"/>
              </w:rPr>
              <w:t xml:space="preserve">资本开支增加或利润现金流背离本身不证明舞弊。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032  将营销获客费用过度递延</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获客支出从费用化改为资本化，递延成本快速累积，占总资产或当期利润比例显著，表面盈利但仍持续耗现。</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营销获客成本、递延费用或相关资产附注；重要会计政策及变更说明、利润表与现金流量表。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核查未来收益依据、资本化余额及当期摊销，测算费用化后的利润，并检查积存成本对以后期间利润的负担。</w:t>
            </w:r>
          </w:p>
          <w:p>
            <w:pPr>
              <w:spacing w:after="0" w:before="70" w:line="250"/>
            </w:pPr>
            <w:r>
              <w:rPr>
                <w:b/>
                <w:bCs/>
                <w:sz w:val="19"/>
                <w:szCs w:val="19"/>
              </w:rPr>
              <w:t xml:space="preserve">边界 </w:t>
            </w:r>
            <w:r>
              <w:rPr>
                <w:color w:val="4D5660"/>
                <w:sz w:val="19"/>
                <w:szCs w:val="19"/>
              </w:rPr>
              <w:t xml:space="preserve">只有充分的未来收益依据才能支持相应资本化。</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033  放宽软件研发支出的资本化条件</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软件开发资本化金额或占研发支出比例突然上升，利润增长主要来自研发费用下降，而非业务收益改善。</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开发支出和无形资产附注；研发费用明细、资本化条件及会计政策变更说明、利润表。</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比较资本化比例和政策变化，核查技术可行性与未来收益依据，量化新增资本化对当期利润的贡献。</w:t>
            </w:r>
          </w:p>
          <w:p>
            <w:pPr>
              <w:spacing w:after="0" w:before="70" w:line="250"/>
            </w:pPr>
            <w:r>
              <w:rPr>
                <w:b/>
                <w:bCs/>
                <w:sz w:val="19"/>
                <w:szCs w:val="19"/>
              </w:rPr>
              <w:t xml:space="preserve">边界 </w:t>
            </w:r>
            <w:r>
              <w:rPr>
                <w:color w:val="4D5660"/>
                <w:sz w:val="19"/>
                <w:szCs w:val="19"/>
              </w:rPr>
              <w:t xml:space="preserve">符合条件的研发资本化本身正常，比例上升仅是核查信号。</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034  用保证金或预付款掩盖当期成本</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工具或存货保证金、其他资产突增，尤其涉及关联供应商；预付款用途可能对应已交货商品的补价。</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预付款项和其他资产明细、关联方及关联交易附注；年报披露的采购用途、交货及付款期间说明。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追踪新增资产用途与关联关系，对照已披露交货和受益期间，检查是否应转入存货成本或当期费用。</w:t>
            </w:r>
          </w:p>
          <w:p>
            <w:pPr>
              <w:spacing w:after="0" w:before="70" w:line="250"/>
            </w:pPr>
            <w:r>
              <w:rPr>
                <w:b/>
                <w:bCs/>
                <w:sz w:val="19"/>
                <w:szCs w:val="19"/>
              </w:rPr>
              <w:t xml:space="preserve">边界 </w:t>
            </w:r>
            <w:r>
              <w:rPr>
                <w:color w:val="4D5660"/>
                <w:sz w:val="19"/>
                <w:szCs w:val="19"/>
              </w:rPr>
              <w:t xml:space="preserve">未披露的补价安排或串谋，不能仅凭年报查明。</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035  延长折旧摊销期或抬高残值</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使用年限异常漫长或持续延长，出租设备残值占原值比例不断提高，折旧摊销下降显著增厚利润。</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固定资产、无形资产及租赁设备附注；使用寿命和残值政策、会计估计变更及利润影响说明。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对照变更前后年限与残值，量化少记费用；核查产品寿命延长、设备再利用等解释是否支持新的估计。</w:t>
            </w:r>
          </w:p>
          <w:p>
            <w:pPr>
              <w:spacing w:after="0" w:before="70" w:line="250"/>
            </w:pPr>
            <w:r>
              <w:rPr>
                <w:b/>
                <w:bCs/>
                <w:sz w:val="19"/>
                <w:szCs w:val="19"/>
              </w:rPr>
              <w:t xml:space="preserve">边界 </w:t>
            </w:r>
            <w:r>
              <w:rPr>
                <w:color w:val="4D5660"/>
                <w:sz w:val="19"/>
                <w:szCs w:val="19"/>
              </w:rPr>
              <w:t xml:space="preserve">合理的寿命或残值重估不等于舞弊。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036  在亏损项目中继续递延生产成本</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项目持续亏损、实际成本未按预期下降，递延生产成本仍长期积累；难以收回的成本仅缓慢分期核销。</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存货中的递延生产成本、项目会计政策和重大会计估计附注；项目交付进展及减值披露。</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比较实际成本、预计平均成本及交付进展，检查未来盈利能否收回递延成本，核查分期核销的依据。</w:t>
            </w:r>
          </w:p>
          <w:p>
            <w:pPr>
              <w:spacing w:after="0" w:before="70" w:line="250"/>
            </w:pPr>
            <w:r>
              <w:rPr>
                <w:b/>
                <w:bCs/>
                <w:sz w:val="19"/>
                <w:szCs w:val="19"/>
              </w:rPr>
              <w:t xml:space="preserve">边界 </w:t>
            </w:r>
            <w:r>
              <w:rPr>
                <w:color w:val="4D5660"/>
                <w:sz w:val="19"/>
                <w:szCs w:val="19"/>
              </w:rPr>
              <w:t xml:space="preserve">须有项目成本与进展披露，不能仅凭存货总额判断。</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037  设备失去收益后仍不及时减值</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年报披露设备报废、停用或未来收益下降，却仍沿用原折旧计划，资产余额未见相应减记。</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固定资产及折旧附注、资产减值附注；经营情况中设备停用、报废或业务调整的说明。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对照资产状态和剩余账面价值，检查原折旧计划是否仍适用，以及已失去未来利益部分是否及时确认损失。</w:t>
            </w:r>
          </w:p>
          <w:p>
            <w:pPr>
              <w:spacing w:after="0" w:before="70" w:line="250"/>
            </w:pPr>
            <w:r>
              <w:rPr>
                <w:b/>
                <w:bCs/>
                <w:sz w:val="19"/>
                <w:szCs w:val="19"/>
              </w:rPr>
              <w:t xml:space="preserve">边界 </w:t>
            </w:r>
            <w:r>
              <w:rPr>
                <w:color w:val="4D5660"/>
                <w:sz w:val="19"/>
                <w:szCs w:val="19"/>
              </w:rPr>
              <w:t xml:space="preserve">资产状态信息不足时只能保留待核查疑点。</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038  少提陈旧或积压存货跌价准备</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存货增幅超过预期销售增长，周转天数上升；跌价费用骤降甚至归零，收入变化不大而毛利显著增加。</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存货及跌价准备、资产减值附注；利润表营业成本，管理层讨论中的需求预测和备货计划。</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比较存货与营业成本关系、跌价计提趋势及预期销售，核查战略备货是否事先提出，并评估降价或报废压力。</w:t>
            </w:r>
          </w:p>
          <w:p>
            <w:pPr>
              <w:spacing w:after="0" w:before="70" w:line="250"/>
            </w:pPr>
            <w:r>
              <w:rPr>
                <w:b/>
                <w:bCs/>
                <w:sz w:val="19"/>
                <w:szCs w:val="19"/>
              </w:rPr>
              <w:t xml:space="preserve">边界 </w:t>
            </w:r>
            <w:r>
              <w:rPr>
                <w:color w:val="4D5660"/>
                <w:sz w:val="19"/>
                <w:szCs w:val="19"/>
              </w:rPr>
              <w:t xml:space="preserve">事先安排的战略备货可以合理解释库存增加。</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039  用存货计价变更改善利润口径</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存货计价方法变化后成本或利润明显改善，经营变化却难以解释；本期利润和存货余额与以前年度的口径不一致。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存货计价和跌价准备附注、会计政策变更及其影响说明；利润表营业成本与管理层讨论与分析的业绩解释。</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逐年对照存货计价方法、变更理由及量化金额，按一致口径比较存货、成本和利润，区分经营改善与会计口径影响。</w:t>
            </w:r>
          </w:p>
          <w:p>
            <w:pPr>
              <w:spacing w:after="0" w:before="70" w:line="250"/>
            </w:pPr>
            <w:r>
              <w:rPr>
                <w:b/>
                <w:bCs/>
                <w:sz w:val="19"/>
                <w:szCs w:val="19"/>
              </w:rPr>
              <w:t xml:space="preserve">边界 </w:t>
            </w:r>
            <w:r>
              <w:rPr>
                <w:color w:val="4D5660"/>
                <w:sz w:val="19"/>
                <w:szCs w:val="19"/>
              </w:rPr>
              <w:t xml:space="preserve">合理的计价政策变更本身不属于舞弊。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040  少提或不当转回坏账准备</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应收账款增长而坏账准备金额或占比下降，坏账费用显著减少，利润增幅因此超过销售表现。</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应收账款及坏账准备附注中的账龄、计提比例和变动；信用政策、利润表坏账费用、估计变更及相关审计意见。</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把准备占比变化与账龄、逾期、信用条件和披露回款对照；按原比例测算利润敏感性，并核对审计报告对可回收性的保留事项。</w:t>
            </w:r>
          </w:p>
          <w:p>
            <w:pPr>
              <w:spacing w:after="0" w:before="70" w:line="250"/>
            </w:pPr>
            <w:r>
              <w:rPr>
                <w:b/>
                <w:bCs/>
                <w:sz w:val="19"/>
                <w:szCs w:val="19"/>
              </w:rPr>
              <w:t xml:space="preserve">边界 </w:t>
            </w:r>
            <w:r>
              <w:rPr>
                <w:color w:val="4D5660"/>
                <w:sz w:val="19"/>
                <w:szCs w:val="19"/>
              </w:rPr>
              <w:t xml:space="preserve">历史比例只用于敏感性测算，不代表应计提金额。</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041  以不足的贷款准备支撑融资销售</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逾期或不良贷款上升，损失准备及覆盖比例反而下降；靠内部客户贷款带动的销售占比持续增加。</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贷款及贷款损失准备、应收账款和客户融资附注；年报披露的信用参与销售及贷款质量说明。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比较准备金与不良贷款的增减及覆盖比例；对融资推动的销售，核查放款条件、违约和客户还款能力披露。</w:t>
            </w:r>
          </w:p>
          <w:p>
            <w:pPr>
              <w:spacing w:after="0" w:before="70" w:line="250"/>
            </w:pPr>
            <w:r>
              <w:rPr>
                <w:b/>
                <w:bCs/>
                <w:sz w:val="19"/>
                <w:szCs w:val="19"/>
              </w:rPr>
              <w:t xml:space="preserve">边界 </w:t>
            </w:r>
            <w:r>
              <w:rPr>
                <w:color w:val="4D5660"/>
                <w:sz w:val="19"/>
                <w:szCs w:val="19"/>
              </w:rPr>
              <w:t xml:space="preserve">客户融资本身正常；须结合信用质量判断计提是否充分。</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042  不确认投资减值或转移亏损投资</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投资价值已恶化却仍保留高账面值，迟迟不计提相应损失，或在出售、移转后亏损不再明显呈现。</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投资余额及价值变动、资产减值和资产处置附注；年报披露的相关交易及资产转移说明。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对照已披露价值下降与减值确认，追踪处置或转移前后的损失和交易实质，检查是否只是把亏损移出报表。</w:t>
            </w:r>
          </w:p>
          <w:p>
            <w:pPr>
              <w:spacing w:after="0" w:before="70" w:line="250"/>
            </w:pPr>
            <w:r>
              <w:rPr>
                <w:b/>
                <w:bCs/>
                <w:sz w:val="19"/>
                <w:szCs w:val="19"/>
              </w:rPr>
              <w:t xml:space="preserve">边界 </w:t>
            </w:r>
            <w:r>
              <w:rPr>
                <w:color w:val="4D5660"/>
                <w:sz w:val="19"/>
                <w:szCs w:val="19"/>
              </w:rPr>
              <w:t xml:space="preserve">只能核查已披露的交易链，不能据此揭露隐秘安排。</w:t>
            </w:r>
          </w:p>
        </w:tc>
      </w:tr>
    </w:tbl>
    <w:p>
      <w:pPr>
        <w:spacing w:after="70"/>
      </w:pPr>
      <w:r>
        <w:t xml:space="preserve"/>
      </w:r>
    </w:p>
    <w:p>
      <w:pPr>
        <w:pStyle w:val="Heading1"/>
      </w:pPr>
      <w:r>
        <w:t xml:space="preserve">06 费用估计与准备金跨期调节</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043  误记或过量确认供应商退款返利</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退款、返利或卖方信用显著支撑收入和利润，甚至超过利润；预付款后退款、未来采购承诺或关联供应商参与，利润缺少现金支持。</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退款返利政策、采购成本及存货、预付款和关联交易附注；采购承诺、利润表、现金流量表及补充资料。</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追踪原采购或预付款、对应期间及返利条件；区分成本调整与本金退回，核查现金支持及未来采购义务，量化误记收入或冲减费用的影响。</w:t>
            </w:r>
          </w:p>
          <w:p>
            <w:pPr>
              <w:spacing w:after="0" w:before="70" w:line="250"/>
            </w:pPr>
            <w:r>
              <w:rPr>
                <w:b/>
                <w:bCs/>
                <w:sz w:val="19"/>
                <w:szCs w:val="19"/>
              </w:rPr>
              <w:t xml:space="preserve">边界 </w:t>
            </w:r>
            <w:r>
              <w:rPr>
                <w:color w:val="4D5660"/>
                <w:sz w:val="19"/>
                <w:szCs w:val="19"/>
              </w:rPr>
              <w:t xml:space="preserve">未披露的承诺函无法仅凭年报验证。</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044  漏计应确认的或有损失</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重大赔付或税务争议风险突出，却没有相应费用及预计负债；另有大额不可撤销采购承诺未列入负债。</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承诺和或有事项、预计负债附注；管理层讨论中的诉讼、税务争议、长期租约及采购义务。</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检查损失是否很可能发生且金额可合理估计，对照已计费用；另汇总重大表外承诺，辨别未来现金压力。</w:t>
            </w:r>
          </w:p>
          <w:p>
            <w:pPr>
              <w:spacing w:after="0" w:before="70" w:line="250"/>
            </w:pPr>
            <w:r>
              <w:rPr>
                <w:b/>
                <w:bCs/>
                <w:sz w:val="19"/>
                <w:szCs w:val="19"/>
              </w:rPr>
              <w:t xml:space="preserve">边界 </w:t>
            </w:r>
            <w:r>
              <w:rPr>
                <w:color w:val="4D5660"/>
                <w:sz w:val="19"/>
                <w:szCs w:val="19"/>
              </w:rPr>
              <w:t xml:space="preserve">采购承诺未入负债不自动等于漏记费用。</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045  用自办保险假设调低费用</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自办保险由行业损失率改用自有经验等测算基础，保险费用下降，利润增长主要来自估计调整。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自办保险及职工福利附注；损失概率、精算假设、会计估计变更和当期费用影响说明。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逐期比较损失率及测算依据，量化变更减少的费用，剔除估计调整贡献后再判断经营业绩是否改善。</w:t>
            </w:r>
          </w:p>
          <w:p>
            <w:pPr>
              <w:spacing w:after="0" w:before="70" w:line="250"/>
            </w:pPr>
            <w:r>
              <w:rPr>
                <w:b/>
                <w:bCs/>
                <w:sz w:val="19"/>
                <w:szCs w:val="19"/>
              </w:rPr>
              <w:t xml:space="preserve">边界 </w:t>
            </w:r>
            <w:r>
              <w:rPr>
                <w:color w:val="4D5660"/>
                <w:sz w:val="19"/>
                <w:szCs w:val="19"/>
              </w:rPr>
              <w:t xml:space="preserve">估计更新可能合理，应区分变更收益与业务改善。</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046  用养老金假设或收益包装经营利润</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养老金寿命、贴现率、资产收益率或计量日变更使费用下降；养老金净收益占营业利润比例异常高。</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养老金及职工福利附注中的精算假设、计量日、资产收益与费用明细；会计估计变更说明和利润表。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量化假设和计量日变动影响，计算养老金收益占营业利润比例，从主业利润中分离该贡献并比较跨期趋势。</w:t>
            </w:r>
          </w:p>
          <w:p>
            <w:pPr>
              <w:spacing w:after="0" w:before="70" w:line="250"/>
            </w:pPr>
            <w:r>
              <w:rPr>
                <w:b/>
                <w:bCs/>
                <w:sz w:val="19"/>
                <w:szCs w:val="19"/>
              </w:rPr>
              <w:t xml:space="preserve">边界 </w:t>
            </w:r>
            <w:r>
              <w:rPr>
                <w:color w:val="4D5660"/>
                <w:sz w:val="19"/>
                <w:szCs w:val="19"/>
              </w:rPr>
              <w:t xml:space="preserve">成熟计划可能自然产生净收益，不能因此认定舞弊。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047  转回或挪用准备金削减当期费用</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其他流动负债、质保及重组准备异常减少；业绩未达标后奖金大额转回，说明有时置于季节性等不显眼栏目，费用下降显著增利。</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预计负债、其他流动负债、预提费用及职工薪酬附注；质保、奖金和重组准备金的增减明细。同时检索管理层讨论和季节性说明。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完整阅读相关附注和管理层讨论，勾稽期初、计提、支付、转回与期末；核查义务是否真实减少、是否跨账户冲抵，并单列转回利润贡献。</w:t>
            </w:r>
          </w:p>
          <w:p>
            <w:pPr>
              <w:spacing w:after="0" w:before="70" w:line="250"/>
            </w:pPr>
            <w:r>
              <w:rPr>
                <w:b/>
                <w:bCs/>
                <w:sz w:val="19"/>
                <w:szCs w:val="19"/>
              </w:rPr>
              <w:t xml:space="preserve">边界 </w:t>
            </w:r>
            <w:r>
              <w:rPr>
                <w:color w:val="4D5660"/>
                <w:sz w:val="19"/>
                <w:szCs w:val="19"/>
              </w:rPr>
              <w:t xml:space="preserve">奖金等义务真实减少时，转回可以合理。</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048  借并购准备金调节后续采购成本</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低价购买业务同时承担高价采购义务，采购溢价先列并购负债，再用于抵减后续销售成本。</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企业合并、购买价分配和预计负债附注；年报披露的配套采购协议、溢价义务及准备金使用明细。</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将业务购买与配套采购合并理解，追踪溢价负债的确认和使用，检查其是否被用来任意调整后续毛利。</w:t>
            </w:r>
          </w:p>
          <w:p>
            <w:pPr>
              <w:spacing w:after="0" w:before="70" w:line="250"/>
            </w:pPr>
            <w:r>
              <w:rPr>
                <w:b/>
                <w:bCs/>
                <w:sz w:val="19"/>
                <w:szCs w:val="19"/>
              </w:rPr>
              <w:t xml:space="preserve">边界 </w:t>
            </w:r>
            <w:r>
              <w:rPr>
                <w:color w:val="4D5660"/>
                <w:sz w:val="19"/>
                <w:szCs w:val="19"/>
              </w:rPr>
              <w:t xml:space="preserve">只有配套交易及准备金披露充分时才可核查。</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049  递延已赚取收入并择机释放</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未确认收入先快速积累后大量释放，或降低未交付部分分摊比例，当期收入增长主要来自政策改变。</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收入确认会计政策及其变更说明；递延收入或合同负债附注中的期初、新增、释放和期末金额。</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核对已赚取收入与未履约部分，比较递延收入滚动变化，量化价格分摊和确认政策调整对当期收入的贡献。</w:t>
            </w:r>
          </w:p>
          <w:p>
            <w:pPr>
              <w:spacing w:after="0" w:before="70" w:line="250"/>
            </w:pPr>
            <w:r>
              <w:rPr>
                <w:b/>
                <w:bCs/>
                <w:sz w:val="19"/>
                <w:szCs w:val="19"/>
              </w:rPr>
              <w:t xml:space="preserve">边界 </w:t>
            </w:r>
            <w:r>
              <w:rPr>
                <w:color w:val="4D5660"/>
                <w:sz w:val="19"/>
                <w:szCs w:val="19"/>
              </w:rPr>
              <w:t xml:space="preserve">真实未履约收入应当递延，余额变化也可能来自正常业务。</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050  不当运用衍生品会计平滑利润</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无效套期产生巨额收益或损失未充分体现；互换规模超过被套期风险，工具收益与基础风险同向。</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衍生金融工具及套期会计附注；被套期资产负债、有效性、相关损益和会计政策变动说明。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配对比较工具与基础风险、交易规模和损益，检查无效或过度套期部分是否恰当确认，识别投机替代对冲。</w:t>
            </w:r>
          </w:p>
          <w:p>
            <w:pPr>
              <w:spacing w:after="0" w:before="70" w:line="250"/>
            </w:pPr>
            <w:r>
              <w:rPr>
                <w:b/>
                <w:bCs/>
                <w:sz w:val="19"/>
                <w:szCs w:val="19"/>
              </w:rPr>
              <w:t xml:space="preserve">边界 </w:t>
            </w:r>
            <w:r>
              <w:rPr>
                <w:color w:val="4D5660"/>
                <w:sz w:val="19"/>
                <w:szCs w:val="19"/>
              </w:rPr>
              <w:t xml:space="preserve">套期收益较大只是信号，须结合基础风险与有效性。</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051  过早核销资产以降低未来费用</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递延成本或仍有用设备突然核销，无形资产寿命过短；已大幅减记的存货随后出售并使毛利提高。</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存货、固定资产、无形资产和减值附注；核销理由、摊销政策、后续出售及非经常性项目明细。</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追踪核销资产的后续使用或出售，测算未来折旧、摊销和销售成本减少，检查是否把正常成本转成一次性费用。</w:t>
            </w:r>
          </w:p>
          <w:p>
            <w:pPr>
              <w:spacing w:after="0" w:before="70" w:line="250"/>
            </w:pPr>
            <w:r>
              <w:rPr>
                <w:b/>
                <w:bCs/>
                <w:sz w:val="19"/>
                <w:szCs w:val="19"/>
              </w:rPr>
              <w:t xml:space="preserve">边界 </w:t>
            </w:r>
            <w:r>
              <w:rPr>
                <w:color w:val="4D5660"/>
                <w:sz w:val="19"/>
                <w:szCs w:val="19"/>
              </w:rPr>
              <w:t xml:space="preserve">实际价值下降需要减记，关键在估计依据与后续事实。</w:t>
            </w:r>
          </w:p>
        </w:tc>
      </w:tr>
    </w:tbl>
    <w:p>
      <w:pPr>
        <w:spacing w:after="70"/>
      </w:pPr>
      <w:r>
        <w:t xml:space="preserve"/>
      </w:r>
    </w:p>
    <w:p>
      <w:pPr>
        <w:pStyle w:val="Heading1"/>
      </w:pPr>
      <w:r>
        <w:t xml:space="preserve">07 融资性流入与应收款变现</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052  把借款或附回购融资包装成销售</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收款同时承担偿还、抵押或回购义务，却确认销售或经营流入；例如向银行出售存货并承诺短期溢价买回，相关负债未相应体现。</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借款和融资安排、存货交易、收入政策及承诺附注；年报披露的回购条款与现金流分类。</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合看收款、出售、抵押及偿还义务，核查是否具备真实销售实质；交叉核对收入、负债及现金分类，测算按筹资口径还原后的经营现金流。</w:t>
            </w:r>
          </w:p>
          <w:p>
            <w:pPr>
              <w:spacing w:after="0" w:before="70" w:line="250"/>
            </w:pPr>
            <w:r>
              <w:rPr>
                <w:b/>
                <w:bCs/>
                <w:sz w:val="19"/>
                <w:szCs w:val="19"/>
              </w:rPr>
              <w:t xml:space="preserve">边界 </w:t>
            </w:r>
            <w:r>
              <w:rPr>
                <w:color w:val="4D5660"/>
                <w:sz w:val="19"/>
                <w:szCs w:val="19"/>
              </w:rPr>
              <w:t xml:space="preserve">合同条款未披露时，不能仅凭现金流证明虚假销售。</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053  借关联实体融资制造经营收款</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公司担保或控制的表外实体借款后采购本公司商品，销售收款显著增加，但资金来源实为融资。</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关联方及关联交易、担保和借款附注；合并范围及特殊目的实体披露、现金流量表三类明细。</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把融资、担保和关联采购串联，检查是否只列有利的销售流入而忽略对应流出，并按整体实质评估现金流。</w:t>
            </w:r>
          </w:p>
          <w:p>
            <w:pPr>
              <w:spacing w:after="0" w:before="70" w:line="250"/>
            </w:pPr>
            <w:r>
              <w:rPr>
                <w:b/>
                <w:bCs/>
                <w:sz w:val="19"/>
                <w:szCs w:val="19"/>
              </w:rPr>
              <w:t xml:space="preserve">边界 </w:t>
            </w:r>
            <w:r>
              <w:rPr>
                <w:color w:val="4D5660"/>
                <w:sz w:val="19"/>
                <w:szCs w:val="19"/>
              </w:rPr>
              <w:t xml:space="preserve">仅核查年报已披露的实体关系和交易安排。</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054  把应收转让收款包装成持续经营改善</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应收明显下降、经营现金流跃升，保理或证券化规模扩大；风险措辞新增客户融资损失、转让安排却少有细节。</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应收转让、保理及证券化附注；风险因素与管理层流动性说明，尤其已转让但未回款的余额。</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区分客户回款和转让款，以已转让未回款余额的期间增量调整经营现金流；逐期比较风险措辞，评估可持续性。</w:t>
            </w:r>
          </w:p>
          <w:p>
            <w:pPr>
              <w:spacing w:after="0" w:before="70" w:line="250"/>
            </w:pPr>
            <w:r>
              <w:rPr>
                <w:b/>
                <w:bCs/>
                <w:sz w:val="19"/>
                <w:szCs w:val="19"/>
              </w:rPr>
              <w:t xml:space="preserve">边界 </w:t>
            </w:r>
            <w:r>
              <w:rPr>
                <w:color w:val="4D5660"/>
                <w:sz w:val="19"/>
                <w:szCs w:val="19"/>
              </w:rPr>
              <w:t xml:space="preserve">合法保理是现金管理手段，本身不等于舞弊。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055  把保留信用风险的应收融资列为经营流入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声称无追索权转让并终止确认应收，但客户违约后仍须承担损失或回购设备，经营现金流包含该融资款。</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应收账款转让及保理附注；信用风险保留、追索和设备回购承诺条款，以及现金流分类说明。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穿透无追索权名称，核查违约后现金补偿或回购义务及风险承担，再判断融资实质与经营现金流列报是否一致。</w:t>
            </w:r>
          </w:p>
          <w:p>
            <w:pPr>
              <w:spacing w:after="0" w:before="70" w:line="250"/>
            </w:pPr>
            <w:r>
              <w:rPr>
                <w:b/>
                <w:bCs/>
                <w:sz w:val="19"/>
                <w:szCs w:val="19"/>
              </w:rPr>
              <w:t xml:space="preserve">边界 </w:t>
            </w:r>
            <w:r>
              <w:rPr>
                <w:color w:val="4D5660"/>
                <w:sz w:val="19"/>
                <w:szCs w:val="19"/>
              </w:rPr>
              <w:t xml:space="preserve">保理名称不能代替实质分析；须结合披露条款判断。</w:t>
            </w:r>
          </w:p>
        </w:tc>
      </w:tr>
    </w:tbl>
    <w:p>
      <w:pPr>
        <w:spacing w:after="70"/>
      </w:pPr>
      <w:r>
        <w:t xml:space="preserve"/>
      </w:r>
    </w:p>
    <w:p>
      <w:pPr>
        <w:pStyle w:val="Heading1"/>
      </w:pPr>
      <w:r>
        <w:t xml:space="preserve">08 经营性流出的分类与非现金替代</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056  用回旋镖交易抬高经营现金流</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向大客户销售时又作近额采购或资本开支承诺，收款列经营流入、付款列投资流出，净经济收益并不明显。</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重大客户购销及资本开支承诺披露；承诺附注、管理层经营说明与现金流量表经营和投资部分。</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配对同一交易对手的销售、采购和付款，核查经济用途、金额与分类，追踪后续披露并评估交易净效果。</w:t>
            </w:r>
          </w:p>
          <w:p>
            <w:pPr>
              <w:spacing w:after="0" w:before="70" w:line="250"/>
            </w:pPr>
            <w:r>
              <w:rPr>
                <w:b/>
                <w:bCs/>
                <w:sz w:val="19"/>
                <w:szCs w:val="19"/>
              </w:rPr>
              <w:t xml:space="preserve">边界 </w:t>
            </w:r>
            <w:r>
              <w:rPr>
                <w:color w:val="4D5660"/>
                <w:sz w:val="19"/>
                <w:szCs w:val="19"/>
              </w:rPr>
              <w:t xml:space="preserve">互相购销不自动构成舞弊，须核查经济实质。</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057  不当把经营许可付款改列融资租赁</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原属经营开支的软件许可改称融资租赁，大部分付款转入本金偿还；经营现金流改善却无相应业务变化。</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许可协议和租赁融资附注；会计政策变更说明，现金流量表筹资部分的租赁本金支付项目。</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比较前后合同实质与分类依据，将相关付款按一致口径纳入现金生成分析；仅看自由现金流也可能漏掉筹资付款。</w:t>
            </w:r>
          </w:p>
          <w:p>
            <w:pPr>
              <w:spacing w:after="0" w:before="70" w:line="250"/>
            </w:pPr>
            <w:r>
              <w:rPr>
                <w:b/>
                <w:bCs/>
                <w:sz w:val="19"/>
                <w:szCs w:val="19"/>
              </w:rPr>
              <w:t xml:space="preserve">边界 </w:t>
            </w:r>
            <w:r>
              <w:rPr>
                <w:color w:val="4D5660"/>
                <w:sz w:val="19"/>
                <w:szCs w:val="19"/>
              </w:rPr>
              <w:t xml:space="preserve">融资租赁本身可合规，重点是不当分类及可比性。</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058  把主营采购和外购技术投入藏在投资流出中</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主营业务必需的资料、专利或开发技术采购列投资活动，经营现金流显得强劲，而总体投入并未减少。</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现金流量表投资部分；存货、无形资产和技术或业务收购附注，采购资产用途及利润表成本明细。</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核查采购如何支持主营业务，识别外购技术替代内部研发的投入，统一经营现金流分析口径后再作同业比较。</w:t>
            </w:r>
          </w:p>
          <w:p>
            <w:pPr>
              <w:spacing w:after="0" w:before="70" w:line="250"/>
            </w:pPr>
            <w:r>
              <w:rPr>
                <w:b/>
                <w:bCs/>
                <w:sz w:val="19"/>
                <w:szCs w:val="19"/>
              </w:rPr>
              <w:t xml:space="preserve">边界 </w:t>
            </w:r>
            <w:r>
              <w:rPr>
                <w:color w:val="4D5660"/>
                <w:sz w:val="19"/>
                <w:szCs w:val="19"/>
              </w:rPr>
              <w:t xml:space="preserve">投资分类可能合规，重点是完整投入和同业可比性。</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059  借非现金采购及偿债分类隐去经营投入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以债务直接取得药权等经营资源，当期无现金付款，后续还款又列筹资流出，经营现金流未体现该投入。</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现金流量表后或附注中的非现金投资筹资补充资料；长期债务、资产取得及偿债现金流明细。</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追踪非现金取得资产对应的债务及后续偿还，把经营资源的实际投入纳入现金能力评价，核查分类前后的一致性。</w:t>
            </w:r>
          </w:p>
          <w:p>
            <w:pPr>
              <w:spacing w:after="0" w:before="70" w:line="250"/>
            </w:pPr>
            <w:r>
              <w:rPr>
                <w:b/>
                <w:bCs/>
                <w:sz w:val="19"/>
                <w:szCs w:val="19"/>
              </w:rPr>
              <w:t xml:space="preserve">边界 </w:t>
            </w:r>
            <w:r>
              <w:rPr>
                <w:color w:val="4D5660"/>
                <w:sz w:val="19"/>
                <w:szCs w:val="19"/>
              </w:rPr>
              <w:t xml:space="preserve">非现金采购和偿债可能合规，分类须结合所购资源实质判断。</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060  把非现金养老金供款误作现金能力改善</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养老金获得存货或证券出资，经营现金流未出现相应付款；现金表现改善，但公司仍交付了实际资源。</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养老金及职工福利附注中的供款来源、非现金出资说明；现金流补充资料和现金流量表。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识别非现金供款的种类与金额，区分节省当期现金和减少真实资源消耗，比较历年养老金供款方式及影响。</w:t>
            </w:r>
          </w:p>
          <w:p>
            <w:pPr>
              <w:spacing w:after="0" w:before="70" w:line="250"/>
            </w:pPr>
            <w:r>
              <w:rPr>
                <w:b/>
                <w:bCs/>
                <w:sz w:val="19"/>
                <w:szCs w:val="19"/>
              </w:rPr>
              <w:t xml:space="preserve">边界 </w:t>
            </w:r>
            <w:r>
              <w:rPr>
                <w:color w:val="4D5660"/>
                <w:sz w:val="19"/>
                <w:szCs w:val="19"/>
              </w:rPr>
              <w:t xml:space="preserve">非现金供款本身可合规，风险在于误读其财务效果。</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061  用供应商融资改善经营现金流外观</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银行先支付供应商，公司随后偿还短期借款；采购资金支出转入筹资活动，经营现金流因此更好看。</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应付账款、供应商融资和短期借款附注；筹资现金流的偿债项目，管理层流动性与资本资源说明。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串联采购、银行代付和偿还安排，辨别经营现金流遗漏的采购付款，以统一经济口径作跨期及同行比较。</w:t>
            </w:r>
          </w:p>
          <w:p>
            <w:pPr>
              <w:spacing w:after="0" w:before="70" w:line="250"/>
            </w:pPr>
            <w:r>
              <w:rPr>
                <w:b/>
                <w:bCs/>
                <w:sz w:val="19"/>
                <w:szCs w:val="19"/>
              </w:rPr>
              <w:t xml:space="preserve">边界 </w:t>
            </w:r>
            <w:r>
              <w:rPr>
                <w:color w:val="4D5660"/>
                <w:sz w:val="19"/>
                <w:szCs w:val="19"/>
              </w:rPr>
              <w:t xml:space="preserve">供应商融资可以合理，须区分分类影响与业务改善。</w:t>
            </w:r>
          </w:p>
        </w:tc>
      </w:tr>
    </w:tbl>
    <w:p>
      <w:pPr>
        <w:spacing w:after="70"/>
      </w:pPr>
      <w:r>
        <w:t xml:space="preserve"/>
      </w:r>
    </w:p>
    <w:p>
      <w:pPr>
        <w:pStyle w:val="Heading1"/>
      </w:pPr>
      <w:r>
        <w:t xml:space="preserve">09 营运资本时点与偶发现金流</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062  延迟供应商付款粉饰持续现金生成</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应付余额及周转天数明显上升，经营现金流增长主要来自延后付款；下一期继续改善需更长的付款拖延。</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资产负债表应付账款、利润表营业成本；现金流量表营运资本调整及管理层流动性与资本资源说明。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以应付账款÷销售成本×报告期天数比较付款节奏，分解延付对现金流的贡献，检查下一期是否出现反向影响。</w:t>
            </w:r>
          </w:p>
          <w:p>
            <w:pPr>
              <w:spacing w:after="0" w:before="70" w:line="250"/>
            </w:pPr>
            <w:r>
              <w:rPr>
                <w:b/>
                <w:bCs/>
                <w:sz w:val="19"/>
                <w:szCs w:val="19"/>
              </w:rPr>
              <w:t xml:space="preserve">边界 </w:t>
            </w:r>
            <w:r>
              <w:rPr>
                <w:color w:val="4D5660"/>
                <w:sz w:val="19"/>
                <w:szCs w:val="19"/>
              </w:rPr>
              <w:t xml:space="preserve">延付可能是合理现金管理，但增量不能无限重复。</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063  用税费薪酬等付款时点包装现金流</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经营现金流大幅改善主要来自税款退款或结算，以及税费、工资奖金或退休金等应付项目的变化。</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现金流量表及补充资料；应交税费、应付薪酬和其他应付明细，管理层现金流变动解释。</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将税款及其他应付变化与现金流增量对照，分离付款时间或偶发结算收益，剔除后再评价持续现金生成能力。</w:t>
            </w:r>
          </w:p>
          <w:p>
            <w:pPr>
              <w:spacing w:after="0" w:before="70" w:line="250"/>
            </w:pPr>
            <w:r>
              <w:rPr>
                <w:b/>
                <w:bCs/>
                <w:sz w:val="19"/>
                <w:szCs w:val="19"/>
              </w:rPr>
              <w:t xml:space="preserve">边界 </w:t>
            </w:r>
            <w:r>
              <w:rPr>
                <w:color w:val="4D5660"/>
                <w:sz w:val="19"/>
                <w:szCs w:val="19"/>
              </w:rPr>
              <w:t xml:space="preserve">实际结算和付款安排可正常，重点是不可持续贡献。</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064  靠预收订金或折扣催收前移回款</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可退还订金或预付款激增，或折扣催收使应收周转天数下降；期末现金显著高于期内，并伴随延后付款。</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客户订金、预收款及退款条件附注；应收账款和收入政策，管理层回款安排与现金波动说明。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分解预收、催收和延付的现金贡献，对照应收周转及期末现金波动，判断是否只是把未来回款集中到本期。</w:t>
            </w:r>
          </w:p>
          <w:p>
            <w:pPr>
              <w:spacing w:after="0" w:before="70" w:line="250"/>
            </w:pPr>
            <w:r>
              <w:rPr>
                <w:b/>
                <w:bCs/>
                <w:sz w:val="19"/>
                <w:szCs w:val="19"/>
              </w:rPr>
              <w:t xml:space="preserve">边界 </w:t>
            </w:r>
            <w:r>
              <w:rPr>
                <w:color w:val="4D5660"/>
                <w:sz w:val="19"/>
                <w:szCs w:val="19"/>
              </w:rPr>
              <w:t xml:space="preserve">提前回款可以正常；时点策略须在年报披露时核查。</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065  压低存货或推迟采购粉饰现金流</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每店库存或采购支出暂时减少，经营现金流显著增加；随后为恢复库存又加大采购，现金流改善逆转。</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存货附注及现金流量表采购、营运资本变动；管理层流动性与资本资源中的库存和补库说明。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追踪库存持有量、采购节奏及后期补库，量化减少采购带来的现金贡献，区分一次性释放和持续经营改善。</w:t>
            </w:r>
          </w:p>
          <w:p>
            <w:pPr>
              <w:spacing w:after="0" w:before="70" w:line="250"/>
            </w:pPr>
            <w:r>
              <w:rPr>
                <w:b/>
                <w:bCs/>
                <w:sz w:val="19"/>
                <w:szCs w:val="19"/>
              </w:rPr>
              <w:t xml:space="preserve">边界 </w:t>
            </w:r>
            <w:r>
              <w:rPr>
                <w:color w:val="4D5660"/>
                <w:sz w:val="19"/>
                <w:szCs w:val="19"/>
              </w:rPr>
              <w:t xml:space="preserve">库存效率改善可能合理，不能将阶段性释放永久外推。</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066  把偶发收益收款包装成持续经营现金流</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利润表单列大额一次性收益，经营现金流却未单独展示收款影响；现金流增长可能主要来自该偶发事项。</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利润表非经常性或结案收益项目、相关事项附注；现金流量表及从净利润到经营现金流的补充资料。</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从已识别的一次性收益追踪实际收款及列报位置，扣除该项现金贡献，检查剩余经营现金流是否仍有增长。</w:t>
            </w:r>
          </w:p>
          <w:p>
            <w:pPr>
              <w:spacing w:after="0" w:before="70" w:line="250"/>
            </w:pPr>
            <w:r>
              <w:rPr>
                <w:b/>
                <w:bCs/>
                <w:sz w:val="19"/>
                <w:szCs w:val="19"/>
              </w:rPr>
              <w:t xml:space="preserve">边界 </w:t>
            </w:r>
            <w:r>
              <w:rPr>
                <w:color w:val="4D5660"/>
                <w:sz w:val="19"/>
                <w:szCs w:val="19"/>
              </w:rPr>
              <w:t xml:space="preserve">一次性收款列经营活动可能合规，问题在持续性解读。</w:t>
            </w:r>
          </w:p>
        </w:tc>
      </w:tr>
    </w:tbl>
    <w:p>
      <w:pPr>
        <w:spacing w:after="70"/>
      </w:pPr>
      <w:r>
        <w:t xml:space="preserve"/>
      </w:r>
    </w:p>
    <w:p>
      <w:pPr>
        <w:pStyle w:val="Heading1"/>
      </w:pPr>
      <w:r>
        <w:t xml:space="preserve">10 关键指标与非公认会计准则指标</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067  改变指标定义或追溯缩小比较基数</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同一历史年度的持续经营收入在新年报中被下调；所谓剔除汇率后的增长还剔除了其他业务，补充指标明显好于报表。</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管理层讨论与分析的经营指标定义、非公认会计准则指标调节表、收入与分部信息，以及连续年度的比较数字。</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逐年核对业务范围、计算期间和剔除项目；统一口径后重算增长，与报表及同行比较，区分合理模拟数据与有利的基数调整。</w:t>
            </w:r>
          </w:p>
          <w:p>
            <w:pPr>
              <w:spacing w:after="0" w:before="70" w:line="250"/>
            </w:pPr>
            <w:r>
              <w:rPr>
                <w:b/>
                <w:bCs/>
                <w:sz w:val="19"/>
                <w:szCs w:val="19"/>
              </w:rPr>
              <w:t xml:space="preserve">边界 </w:t>
            </w:r>
            <w:r>
              <w:rPr>
                <w:color w:val="4D5660"/>
                <w:sz w:val="19"/>
                <w:szCs w:val="19"/>
              </w:rPr>
              <w:t xml:space="preserve">补充指标本可有用；年报未披露的基础数据不得假定存在。</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068  改变同店门店范围或纳入新并购门店</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同店销售增长与单店平均收入背离；入选年限、门店类型、扩店排除规则改变，或刚并购的门店立即进入同店基础。</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管理层讨论与分析中的门店数量、平均门店数及同店指标定义；企业合并附注中的并购门店与收入贡献。</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用总收入除以平均门店数比较单店趋势；复核开业年限、店型、扩店及并购门店，按相同基础比较同店增长。</w:t>
            </w:r>
          </w:p>
          <w:p>
            <w:pPr>
              <w:spacing w:after="0" w:before="70" w:line="250"/>
            </w:pPr>
            <w:r>
              <w:rPr>
                <w:b/>
                <w:bCs/>
                <w:sz w:val="19"/>
                <w:szCs w:val="19"/>
              </w:rPr>
              <w:t xml:space="preserve">边界 </w:t>
            </w:r>
            <w:r>
              <w:rPr>
                <w:color w:val="4D5660"/>
                <w:sz w:val="19"/>
                <w:szCs w:val="19"/>
              </w:rPr>
              <w:t xml:space="preserve">背离也可能源于新店业绩差；并购和门店扩张本身不证明舞弊。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069  扩大订阅用户数或混用单位用户收入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未激活的大宗订阅从排除改为计入用户；单位用户收入可能混入广告或激活费，用户数采用不同加权期间。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管理层讨论与分析披露的订阅用户定义、激活及取消情况、收入构成和单位用户平均收入计算说明。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检查用户是否满足披露的激活标准；将收入项目、取消订阅及日度或月度加权用户数调至同口径后再作跨年和同行比较。</w:t>
            </w:r>
          </w:p>
          <w:p>
            <w:pPr>
              <w:spacing w:after="0" w:before="70" w:line="250"/>
            </w:pPr>
            <w:r>
              <w:rPr>
                <w:b/>
                <w:bCs/>
                <w:sz w:val="19"/>
                <w:szCs w:val="19"/>
              </w:rPr>
              <w:t xml:space="preserve">边界 </w:t>
            </w:r>
            <w:r>
              <w:rPr>
                <w:color w:val="4D5660"/>
                <w:sz w:val="19"/>
                <w:szCs w:val="19"/>
              </w:rPr>
              <w:t xml:space="preserve">仅在年报披露相关定义和明细时可核查，不能推定未披露的激活数。</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070  扩大预订及积压订单范围</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订单数据覆盖超过报告期的天数，或把非持续许可假定为持续合同；可取消、无数量及附或有或延期条件的订单口径变化。</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管理层讨论与分析中的预订、积压订单、订单出货比及合同范围说明；年报披露的订单期初期末和相关收入数据。</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核对期间、取消和续约假设；同口径检查期初积压订单＋净预订－相关收入≈期末积压订单，净预订应扣除取消订单。</w:t>
            </w:r>
          </w:p>
          <w:p>
            <w:pPr>
              <w:spacing w:after="0" w:before="70" w:line="250"/>
            </w:pPr>
            <w:r>
              <w:rPr>
                <w:b/>
                <w:bCs/>
                <w:sz w:val="19"/>
                <w:szCs w:val="19"/>
              </w:rPr>
              <w:t xml:space="preserve">边界 </w:t>
            </w:r>
            <w:r>
              <w:rPr>
                <w:color w:val="4D5660"/>
                <w:sz w:val="19"/>
                <w:szCs w:val="19"/>
              </w:rPr>
              <w:t xml:space="preserve">只在年报提供这些数据时勾稽；合同类型不同不自动代表虚假订单。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071  从调整利润中剔除反复发生的成本</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报表亏损而调整利润盈利；维修、坏账、留任、营销、股权激励、重组及连续并购成本长期被列作一次性调整。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年报非公认会计准则利润及调节表、利润表费用明细、重组与并购费用附注和历年比较数字。</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逐项还原至报表利润，核对被剔除费用的性质和历年发生频率；同时剔查一次性利得是否被选择性保留，使比较基准一致。</w:t>
            </w:r>
          </w:p>
          <w:p>
            <w:pPr>
              <w:spacing w:after="0" w:before="70" w:line="250"/>
            </w:pPr>
            <w:r>
              <w:rPr>
                <w:b/>
                <w:bCs/>
                <w:sz w:val="19"/>
                <w:szCs w:val="19"/>
              </w:rPr>
              <w:t xml:space="preserve">边界 </w:t>
            </w:r>
            <w:r>
              <w:rPr>
                <w:color w:val="4D5660"/>
                <w:sz w:val="19"/>
                <w:szCs w:val="19"/>
              </w:rPr>
              <w:t xml:space="preserve">合理剔除偶发项目可提高可比性；反复费用与经营成本不能仅凭名称忽略。</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072  以息税折旧摊销前利润遮蔽核心成本</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持续支付的客户激励摊销、网络设备及软件折旧被剔除；资本密集业务净利润亏损，却始终呈现正的替代利润。</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非公认会计准则指标调节表、利润表、预付款及相关资产附注、固定资产与无形资产折旧摊销说明、现金流量表。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识别资本化资产是否属于持续经营所需，核对相关现金投入和折旧摊销；不可把净利润加非现金支出直接视为现金创造能力。</w:t>
            </w:r>
          </w:p>
          <w:p>
            <w:pPr>
              <w:spacing w:after="0" w:before="70" w:line="250"/>
            </w:pPr>
            <w:r>
              <w:rPr>
                <w:b/>
                <w:bCs/>
                <w:sz w:val="19"/>
                <w:szCs w:val="19"/>
              </w:rPr>
              <w:t xml:space="preserve">边界 </w:t>
            </w:r>
            <w:r>
              <w:rPr>
                <w:color w:val="4D5660"/>
                <w:sz w:val="19"/>
                <w:szCs w:val="19"/>
              </w:rPr>
              <w:t xml:space="preserve">资本化与使用该指标可能合规；问题在于是否掩盖真实成本或误作现金流。</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073  从现金流替代指标中排除经营支出</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自定义经营性现金流或现金利润远高于报表现金流，差异来自养老金、员工薪酬、签约奖励或大额其他调整。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年报非公认会计准则现金流指标定义和调节表；现金流量表及补充资料中的营运资本、养老金和员工付款。</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逐项还原至经营活动现金流量，并比较扣除资本性支出的自由现金流；检查正常现金支出、营运资本变动是否被遗漏。</w:t>
            </w:r>
          </w:p>
          <w:p>
            <w:pPr>
              <w:spacing w:after="0" w:before="70" w:line="250"/>
            </w:pPr>
            <w:r>
              <w:rPr>
                <w:b/>
                <w:bCs/>
                <w:sz w:val="19"/>
                <w:szCs w:val="19"/>
              </w:rPr>
              <w:t xml:space="preserve">边界 </w:t>
            </w:r>
            <w:r>
              <w:rPr>
                <w:color w:val="4D5660"/>
                <w:sz w:val="19"/>
                <w:szCs w:val="19"/>
              </w:rPr>
              <w:t xml:space="preserve">名称近似不代表口径相同；年报未提供调节明细时应保留核查缺口。</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074  自由现金流排除客户融资占款</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融资性应收款和对客户的长期借款增长，经营现金流受到拖累，但公司自定义的自由现金流未计入该项变动。</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年报自由现金流定义及调节表、融资性应收款或长期应收款附注、现金流量表及营运资本变动说明。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以经营活动现金流量减资本性支出重算，再与自定义数字逐项核对，检查被排除的客户融资占款是否被误作已经回收的现金。</w:t>
            </w:r>
          </w:p>
          <w:p>
            <w:pPr>
              <w:spacing w:after="0" w:before="70" w:line="250"/>
            </w:pPr>
            <w:r>
              <w:rPr>
                <w:b/>
                <w:bCs/>
                <w:sz w:val="19"/>
                <w:szCs w:val="19"/>
              </w:rPr>
              <w:t xml:space="preserve">边界 </w:t>
            </w:r>
            <w:r>
              <w:rPr>
                <w:color w:val="4D5660"/>
                <w:sz w:val="19"/>
                <w:szCs w:val="19"/>
              </w:rPr>
              <w:t xml:space="preserve">须核查实际定义与披露金额；客户融资安排本身不是舞弊证明。</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075  借扩产分类少扣可分配现金流支出</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可分配现金流只扣维持性资本支出，远小于全部资本开支；扩产占比高，自由现金流为负却继续高额分红。</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管理层讨论与分析、可分配现金流调节表及维持和扩产划分说明；现金流量表中的资本支出、分红和借款。</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核对总资本支出与指标扣除额的差额，审视分类依据；以全部资本开支计算自由现金流，并判断股利是否依赖新增融资。</w:t>
            </w:r>
          </w:p>
          <w:p>
            <w:pPr>
              <w:spacing w:after="0" w:before="70" w:line="250"/>
            </w:pPr>
            <w:r>
              <w:rPr>
                <w:b/>
                <w:bCs/>
                <w:sz w:val="19"/>
                <w:szCs w:val="19"/>
              </w:rPr>
              <w:t xml:space="preserve">边界 </w:t>
            </w:r>
            <w:r>
              <w:rPr>
                <w:color w:val="4D5660"/>
                <w:sz w:val="19"/>
                <w:szCs w:val="19"/>
              </w:rPr>
              <w:t xml:space="preserve">分类含管理层判断；负自由现金流与高分红提示压力，不直接证明舞弊。</w:t>
            </w:r>
          </w:p>
        </w:tc>
      </w:tr>
    </w:tbl>
    <w:p>
      <w:pPr>
        <w:spacing w:after="70"/>
      </w:pPr>
      <w:r>
        <w:t xml:space="preserve"/>
      </w:r>
    </w:p>
    <w:p>
      <w:pPr>
        <w:pStyle w:val="Heading1"/>
      </w:pPr>
      <w:r>
        <w:t xml:space="preserve">11 资产负债质量与流动性</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076  转让或重分类应收款美化回款</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应收账款及周转天数骤降，转让规模、应收票据或其他客户债权却增加；某些银行票据被列入现金或短期投资。</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应收账款及转让附注、应收票据与长期应收款明细、现金等价物及短期投资分类说明、现金流量表。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汇总全部客户债权并统一分类；披露充分时加回期末已转让应收款重算周转天数，区分客户真实回款与转让融资或重分类。</w:t>
            </w:r>
          </w:p>
          <w:p>
            <w:pPr>
              <w:spacing w:after="0" w:before="70" w:line="250"/>
            </w:pPr>
            <w:r>
              <w:rPr>
                <w:b/>
                <w:bCs/>
                <w:sz w:val="19"/>
                <w:szCs w:val="19"/>
              </w:rPr>
              <w:t xml:space="preserve">边界 </w:t>
            </w:r>
            <w:r>
              <w:rPr>
                <w:color w:val="4D5660"/>
                <w:sz w:val="19"/>
                <w:szCs w:val="19"/>
              </w:rPr>
              <w:t xml:space="preserve">转让可属正常融资，票据分类也须结合实质，指标改善不自动代表舞弊。</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077  改用平均余额平滑应收周转天数</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期末应收款快速增加，但披露的周转天数变化温和；计算方法由期末余额改成平均余额，前后年度口径不一致。</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管理层讨论与分析中的周转指标公式，资产负债表及应收款明细，利润表的同口径收入与报告期间。</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识别收入质量时按期末全部应收款÷收入×报告期天数重算并跨期比较；另行区分用平均余额评估平均回款周期的用途。</w:t>
            </w:r>
          </w:p>
          <w:p>
            <w:pPr>
              <w:spacing w:after="0" w:before="70" w:line="250"/>
            </w:pPr>
            <w:r>
              <w:rPr>
                <w:b/>
                <w:bCs/>
                <w:sz w:val="19"/>
                <w:szCs w:val="19"/>
              </w:rPr>
              <w:t xml:space="preserve">边界 </w:t>
            </w:r>
            <w:r>
              <w:rPr>
                <w:color w:val="4D5660"/>
                <w:sz w:val="19"/>
                <w:szCs w:val="19"/>
              </w:rPr>
              <w:t xml:space="preserve">平均余额本有合理用途；重点是取数改变是否掩盖期末债权风险。</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078  转移存货分类或以在店指标替代总量</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其他资产中的长期存货增加；总存货和周转天数恶化，却改报在店存货，甚至以本年在店数与上年总数比较。</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资产负债表、存货及跌价准备附注、其他资产内长期存货说明；管理层讨论与分析的单位面积和在店存货定义。</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把长期、其他资产及不在店存货合并评估；按同范围重算周转天数和单位面积存货，核对新指标有没有遗漏同样存在跌价风险的存货。</w:t>
            </w:r>
          </w:p>
          <w:p>
            <w:pPr>
              <w:spacing w:after="0" w:before="70" w:line="250"/>
            </w:pPr>
            <w:r>
              <w:rPr>
                <w:b/>
                <w:bCs/>
                <w:sz w:val="19"/>
                <w:szCs w:val="19"/>
              </w:rPr>
              <w:t xml:space="preserve">边界 </w:t>
            </w:r>
            <w:r>
              <w:rPr>
                <w:color w:val="4D5660"/>
                <w:sz w:val="19"/>
                <w:szCs w:val="19"/>
              </w:rPr>
              <w:t xml:space="preserve">长期分类可能合理；新指标与存货增长只能提示需核查的积压风险。</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079  合并准备项目掩盖贷款准备下降</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拖欠、坏账或核销增加，单项贷款损失准备下降，但与自有房产等其他准备合并披露后，总准备余额反而上升。</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贷款损失准备变动及核销附注、贷款组合与不良或拖欠数据；其他准备明细以及利润表中的相关计提费用。</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恢复各类准备的独立口径，比较贷款质量、核销、补充计提和期末准备，检查合并展示是否遮蔽计提不足及其利润影响。</w:t>
            </w:r>
          </w:p>
          <w:p>
            <w:pPr>
              <w:spacing w:after="0" w:before="70" w:line="250"/>
            </w:pPr>
            <w:r>
              <w:rPr>
                <w:b/>
                <w:bCs/>
                <w:sz w:val="19"/>
                <w:szCs w:val="19"/>
              </w:rPr>
              <w:t xml:space="preserve">边界 </w:t>
            </w:r>
            <w:r>
              <w:rPr>
                <w:color w:val="4D5660"/>
                <w:sz w:val="19"/>
                <w:szCs w:val="19"/>
              </w:rPr>
              <w:t xml:space="preserve">准备下降须结合核销和组合变化分析，不能只凭余额方向认定不足。</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080  以盈利表象掩盖债务和分配压力</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债务和股利增长而经营现金流恶化；收购标的负债骤增、权益下降，调整后业绩仍被描述为稳健。</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资产负债表及债务附注、现金流量表中的借款和股利支付、流动性讨论，以及企业合并披露的目标公司财务信息。</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联查债务、权益、经营现金流、资本开支和股利，区分经营现金支持与借债支持；不要因并购预期忽视目标公司的财务压力。</w:t>
            </w:r>
          </w:p>
          <w:p>
            <w:pPr>
              <w:spacing w:after="0" w:before="70" w:line="250"/>
            </w:pPr>
            <w:r>
              <w:rPr>
                <w:b/>
                <w:bCs/>
                <w:sz w:val="19"/>
                <w:szCs w:val="19"/>
              </w:rPr>
              <w:t xml:space="preserve">边界 </w:t>
            </w:r>
            <w:r>
              <w:rPr>
                <w:color w:val="4D5660"/>
                <w:sz w:val="19"/>
                <w:szCs w:val="19"/>
              </w:rPr>
              <w:t xml:space="preserve">这是流动性和持续性信号，不能据高负债、分红或收购单独认定舞弊。</w:t>
            </w:r>
          </w:p>
        </w:tc>
      </w:tr>
    </w:tbl>
    <w:p>
      <w:pPr>
        <w:spacing w:after="70"/>
      </w:pPr>
      <w:r>
        <w:t xml:space="preserve"/>
      </w:r>
    </w:p>
    <w:p>
      <w:pPr>
        <w:pStyle w:val="Heading1"/>
      </w:pPr>
      <w:r>
        <w:t xml:space="preserve">12 并购利润及购买日安排</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081  并购成本与研发削减美化利润观感</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依靠并购获取产品的公司研发费用很低，商誉及无形资产较大；目标公司在出售前削减研发等支出，短期利润改善。</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企业合并购买价分摊、商誉与无形资产附注、研发及相关费用披露、利润表和管理层讨论与分析中的增长战略。</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比较并购取得成果与自行研发的成本承担方式，并联查现金投入、摊销和研发支出趋势，判断利润提升是否来自经营改善。</w:t>
            </w:r>
          </w:p>
          <w:p>
            <w:pPr>
              <w:spacing w:after="0" w:before="70" w:line="250"/>
            </w:pPr>
            <w:r>
              <w:rPr>
                <w:b/>
                <w:bCs/>
                <w:sz w:val="19"/>
                <w:szCs w:val="19"/>
              </w:rPr>
              <w:t xml:space="preserve">边界 </w:t>
            </w:r>
            <w:r>
              <w:rPr>
                <w:color w:val="4D5660"/>
                <w:sz w:val="19"/>
                <w:szCs w:val="19"/>
              </w:rPr>
              <w:t xml:space="preserve">正常并购会计本会影响可比性；削减研发不必然是操纵。</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082  借并购对价与商誉掩盖资产损失</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原投资或长期挂账资产质量偏弱，却在高额并购费、关联转移和商誉增加后淡出原科目；随后出现较大商誉减值或资产注销。</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并购对价、购买价分摊及交易费用；商誉与减值、关联资产转移、投资、其他应收及预付款附注。</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串联并购前问题资产、投资损失、对价、费用和商誉的形成及后续减值，核查资产去向与价值依据，判断是否只是把旧损失转入新科目后注销。</w:t>
            </w:r>
          </w:p>
          <w:p>
            <w:pPr>
              <w:spacing w:after="0" w:before="70" w:line="250"/>
            </w:pPr>
            <w:r>
              <w:rPr>
                <w:b/>
                <w:bCs/>
                <w:sz w:val="19"/>
                <w:szCs w:val="19"/>
              </w:rPr>
              <w:t xml:space="preserve">边界 </w:t>
            </w:r>
            <w:r>
              <w:rPr>
                <w:color w:val="4D5660"/>
                <w:sz w:val="19"/>
                <w:szCs w:val="19"/>
              </w:rPr>
              <w:t xml:space="preserve">仅能核查已披露交易；不能凭年报查明隐藏离岸实体或未披露串谋。</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083  压低收购前残期利润再抬高并购后业绩</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目标公司购买日前收入骤降、资产减值或费用集中增加，购买日后收入利润迅速反弹，与此前趋势明显不符。</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企业合并附注中的购买日及目标公司前后收入利润，收入确认政策、资产减值和重组费用说明；限已披露期间数据。</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按可比期间或月均水平串联购买日前后收入费用，核查延迟履约或确认、提前计提费用或减值的解释；区分收入挪移、合理减值与真实业务萎缩。</w:t>
            </w:r>
          </w:p>
          <w:p>
            <w:pPr>
              <w:spacing w:after="0" w:before="70" w:line="250"/>
            </w:pPr>
            <w:r>
              <w:rPr>
                <w:b/>
                <w:bCs/>
                <w:sz w:val="19"/>
                <w:szCs w:val="19"/>
              </w:rPr>
              <w:t xml:space="preserve">边界 </w:t>
            </w:r>
            <w:r>
              <w:rPr>
                <w:color w:val="4D5660"/>
                <w:sz w:val="19"/>
                <w:szCs w:val="19"/>
              </w:rPr>
              <w:t xml:space="preserve">业务衰退或合理减值也会形成反弹，不能仅凭走势认定操纵。</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084  增加收购对价换取设备销售收入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收购前向目标方销售设备，同时收购价增加相同或相关金额；新增收入缺乏独立于收购安排的经济变化。</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企业合并交易对价与设备资产分摊、并购前关联销售或设备销售说明、收入确认政策及相关利润表项目。</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将设备销售和买回设备的对价作为整体核查，判断所谓销售收入是否只是收购价的往返调整，而应与并购对价共同分析。</w:t>
            </w:r>
          </w:p>
          <w:p>
            <w:pPr>
              <w:spacing w:after="0" w:before="70" w:line="250"/>
            </w:pPr>
            <w:r>
              <w:rPr>
                <w:b/>
                <w:bCs/>
                <w:sz w:val="19"/>
                <w:szCs w:val="19"/>
              </w:rPr>
              <w:t xml:space="preserve">边界 </w:t>
            </w:r>
            <w:r>
              <w:rPr>
                <w:color w:val="4D5660"/>
                <w:sz w:val="19"/>
                <w:szCs w:val="19"/>
              </w:rPr>
              <w:t xml:space="preserve">只有年报披露两项交易及金额关系时可核查，不能假设隐秘安排存在。</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085  提高并购付款换回许可费或服务收入</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收购支付增加，卖方随后返付许可费或服务费；长期服务承诺对应短期集中收款，收入与收购对价存在联动。</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企业合并附注的付款与补充协议、许可或服务收入政策、业务处置及持续服务协议说明和相关现金流披露。</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合并审视双方付款及服务义务，核对收回款项是否实为并购成本返还；不要把貌似独立的经常收入与收购对价割裂分析。</w:t>
            </w:r>
          </w:p>
          <w:p>
            <w:pPr>
              <w:spacing w:after="0" w:before="70" w:line="250"/>
            </w:pPr>
            <w:r>
              <w:rPr>
                <w:b/>
                <w:bCs/>
                <w:sz w:val="19"/>
                <w:szCs w:val="19"/>
              </w:rPr>
              <w:t xml:space="preserve">边界 </w:t>
            </w:r>
            <w:r>
              <w:rPr>
                <w:color w:val="4D5660"/>
                <w:sz w:val="19"/>
                <w:szCs w:val="19"/>
              </w:rPr>
              <w:t xml:space="preserve">条款不足时只能标记疑点，不能断言许可或服务没有真实履约价值。</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086  以一揽子定价搬移资产处置收益</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资产或业务处置价偏低，却同时获得后续高价供货、服务收入或采购优惠；一次性利得减少，经常收入或后续利润反而提高。</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资产处置及企业合并附注、附带购销服务协议和采购承诺、处置损益及后续经营收入；必要时对照已披露的交易对方年报。</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整体核查处置对价与后续购销服务，比较已披露的定价和金额分配，检查是否将一次性利得转入经常经营；没有可比依据不得自行认定不公允。</w:t>
            </w:r>
          </w:p>
          <w:p>
            <w:pPr>
              <w:spacing w:after="0" w:before="70" w:line="250"/>
            </w:pPr>
            <w:r>
              <w:rPr>
                <w:b/>
                <w:bCs/>
                <w:sz w:val="19"/>
                <w:szCs w:val="19"/>
              </w:rPr>
              <w:t xml:space="preserve">边界 </w:t>
            </w:r>
            <w:r>
              <w:rPr>
                <w:color w:val="4D5660"/>
                <w:sz w:val="19"/>
                <w:szCs w:val="19"/>
              </w:rPr>
              <w:t xml:space="preserve">必须有年报披露的相关条款及定价依据，持续供货本身可以合理。</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087  超提重组并购准备后分期转回增利</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困难期、换任或并购前巨额计提，重组反复发生；随后转回显著增利，利润反弹却伴随应收增长或经营现金流恶化。</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重组计划、企业合并、诉讼等预计负债及变动表；实际付款、非经常性损益与跨期三张财务报表。</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勾稽期初、新增、实际履行、转回及期末余额，核对初始估计与真实义务；分离前期承担未来费用和储备释放的影响，把反复重组纳入经常性分析。</w:t>
            </w:r>
          </w:p>
          <w:p>
            <w:pPr>
              <w:spacing w:after="0" w:before="70" w:line="250"/>
            </w:pPr>
            <w:r>
              <w:rPr>
                <w:b/>
                <w:bCs/>
                <w:sz w:val="19"/>
                <w:szCs w:val="19"/>
              </w:rPr>
              <w:t xml:space="preserve">边界 </w:t>
            </w:r>
            <w:r>
              <w:rPr>
                <w:color w:val="4D5660"/>
                <w:sz w:val="19"/>
                <w:szCs w:val="19"/>
              </w:rPr>
              <w:t xml:space="preserve">合理估计修正也会转回准备，不能只凭转回认定原计提故意失实。</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088  高估或有对价再减记负债增利</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被收购业务未达目标，应付或有对价下降，却为收购方带来重大利润；表面利润改善与标的经营恶化并存。</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企业合并对赌及或有对价条款、预计负债与估值变动附注、目标公司业绩披露和利润表中的重估利得。</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对照初始估值、业绩条件、后续支付及损益确认，区分合理重新估计与过高初始估计；不要将负债减少误读为主营改善。</w:t>
            </w:r>
          </w:p>
          <w:p>
            <w:pPr>
              <w:spacing w:after="0" w:before="70" w:line="250"/>
            </w:pPr>
            <w:r>
              <w:rPr>
                <w:b/>
                <w:bCs/>
                <w:sz w:val="19"/>
                <w:szCs w:val="19"/>
              </w:rPr>
              <w:t xml:space="preserve">边界 </w:t>
            </w:r>
            <w:r>
              <w:rPr>
                <w:color w:val="4D5660"/>
                <w:sz w:val="19"/>
                <w:szCs w:val="19"/>
              </w:rPr>
              <w:t xml:space="preserve">正常或有对价重估也会产生利得，必须结合估计依据判断。</w:t>
            </w:r>
          </w:p>
        </w:tc>
      </w:tr>
    </w:tbl>
    <w:p>
      <w:pPr>
        <w:spacing w:after="70"/>
      </w:pPr>
      <w:r>
        <w:t xml:space="preserve"/>
      </w:r>
    </w:p>
    <w:p>
      <w:pPr>
        <w:pStyle w:val="Heading1"/>
      </w:pPr>
      <w:r>
        <w:t xml:space="preserve">13 并购现金流与增长口径</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089  继承营运资本使经营现金流阶段性提高</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收购付款列投资活动，随后继承的应收款回收、存货出售推高经营现金流；这些资产的前期经营投入不在合并后现金流中。</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现金流量表的并购付款和资本开支、企业合并购买日资产负债明细，及年报披露的被购公司应收款、存货和应付款。</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估计继承资产变现并计入继承应付款的偿付；重算并购后自由现金流＝经营现金流净额－资本开支－并购付款，判断可持续性。</w:t>
            </w:r>
          </w:p>
          <w:p>
            <w:pPr>
              <w:spacing w:after="0" w:before="70" w:line="250"/>
            </w:pPr>
            <w:r>
              <w:rPr>
                <w:b/>
                <w:bCs/>
                <w:sz w:val="19"/>
                <w:szCs w:val="19"/>
              </w:rPr>
              <w:t xml:space="preserve">边界 </w:t>
            </w:r>
            <w:r>
              <w:rPr>
                <w:color w:val="4D5660"/>
                <w:sz w:val="19"/>
                <w:szCs w:val="19"/>
              </w:rPr>
              <w:t xml:space="preserve">这是正常并购会计也有的效果；资料不足时只能估算，不能直接定性舞弊。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090  购买日前推迟收款并提前付款</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目标公司购买日前经营现金流低迷，应收款偏高、待付账单偏少；并购后回款集中且短期付款少，现金流突然强劲。</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企业合并附注和已披露的购买日前后财务数据、目标公司应收应付及营运资本明细、现金流量及收付款说明。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串联购买日前后收付款和营运资本变化，检查延迟收款、提前付账是否把现金流推到并购后；同时剔分正常继承营运资本效果。</w:t>
            </w:r>
          </w:p>
          <w:p>
            <w:pPr>
              <w:spacing w:after="0" w:before="70" w:line="250"/>
            </w:pPr>
            <w:r>
              <w:rPr>
                <w:b/>
                <w:bCs/>
                <w:sz w:val="19"/>
                <w:szCs w:val="19"/>
              </w:rPr>
              <w:t xml:space="preserve">边界 </w:t>
            </w:r>
            <w:r>
              <w:rPr>
                <w:color w:val="4D5660"/>
                <w:sz w:val="19"/>
                <w:szCs w:val="19"/>
              </w:rPr>
              <w:t xml:space="preserve">仅在年报披露足够数据时可核查，异常余额不能证实内部授意。</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091  获客付款冒充并购并增收相抵合作费</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日常经销商获客付款被列投资活动；合同买价上调，同时收取相同增额的合作费，净付款不变却增加经营现金流入。</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年报获客合同及相关会计政策、企业合并或合同取得付款披露、经销商合作费说明和经营及投资现金流项目。</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比较外包获客与内部销售成本的实质；将合同买价和合作费合并看净额，核查是否利用双向分类制造经营现金流改善。</w:t>
            </w:r>
          </w:p>
          <w:p>
            <w:pPr>
              <w:spacing w:after="0" w:before="70" w:line="250"/>
            </w:pPr>
            <w:r>
              <w:rPr>
                <w:b/>
                <w:bCs/>
                <w:sz w:val="19"/>
                <w:szCs w:val="19"/>
              </w:rPr>
              <w:t xml:space="preserve">边界 </w:t>
            </w:r>
            <w:r>
              <w:rPr>
                <w:color w:val="4D5660"/>
                <w:sz w:val="19"/>
                <w:szCs w:val="19"/>
              </w:rPr>
              <w:t xml:space="preserve">只有年报披露双方款项和条款时才能识别相抵结构，不得推定未披露返款。</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092  把处置业务价款拆成预收服务收入</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业务出售同期新增大额递延收入，现金流表出现新项目；部分处置所得被称作未来使用费，对经营现金流贡献很大。</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业务处置价款与服务协议附注、递延收入或预收款明细、收入确认政策及现金流量表新增项目说明。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把处置和未来服务安排一并核查，追踪收款拆分依据，评估原应归投资活动的处置现金是否以预收收入进入经营活动。</w:t>
            </w:r>
          </w:p>
          <w:p>
            <w:pPr>
              <w:spacing w:after="0" w:before="70" w:line="250"/>
            </w:pPr>
            <w:r>
              <w:rPr>
                <w:b/>
                <w:bCs/>
                <w:sz w:val="19"/>
                <w:szCs w:val="19"/>
              </w:rPr>
              <w:t xml:space="preserve">边界 </w:t>
            </w:r>
            <w:r>
              <w:rPr>
                <w:color w:val="4D5660"/>
                <w:sz w:val="19"/>
                <w:szCs w:val="19"/>
              </w:rPr>
              <w:t xml:space="preserve">预收服务款可能有真实义务，须核对已披露安排，不能仅凭新增项目定性。</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093  保留应收款或排除应付款改善现金流观感</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出售业务后仍持有其应收款；收购时继承营运资产却排除部分供应商债务，使后续经营流入大而对应流出较少。</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业务处置附注的保留应收款、企业合并协议与购买价分摊中的排除负债、应收款明细及现金流量表。</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核对保留或排除项目如何改变交易价，分离处置后回款与持续业务现金；分析被购资产变现时是否缺少相应应付款偿付。</w:t>
            </w:r>
          </w:p>
          <w:p>
            <w:pPr>
              <w:spacing w:after="0" w:before="70" w:line="250"/>
            </w:pPr>
            <w:r>
              <w:rPr>
                <w:b/>
                <w:bCs/>
                <w:sz w:val="19"/>
                <w:szCs w:val="19"/>
              </w:rPr>
              <w:t xml:space="preserve">边界 </w:t>
            </w:r>
            <w:r>
              <w:rPr>
                <w:color w:val="4D5660"/>
                <w:sz w:val="19"/>
                <w:szCs w:val="19"/>
              </w:rPr>
              <w:t xml:space="preserve">两种结构均可合规；应评估现金流可比性和持续性，而非仅凭结构判舞弊。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094  受限账户支出形成现金流范围差异</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受限账户用于被购公司的营运资本和持续研发，但常用经营现金流或自由现金流没有体现这些支出的减少作用。</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年报受限资金用途与变动、企业合并资金安排、现金流量表及补充资料中的现金范围和相关支出说明。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确认报表是否只解释非受限现金变动，再联查受限账户经营支出，避免把报表现金范围造成的差异当作现金创造能力改善。</w:t>
            </w:r>
          </w:p>
          <w:p>
            <w:pPr>
              <w:spacing w:after="0" w:before="70" w:line="250"/>
            </w:pPr>
            <w:r>
              <w:rPr>
                <w:b/>
                <w:bCs/>
                <w:sz w:val="19"/>
                <w:szCs w:val="19"/>
              </w:rPr>
              <w:t xml:space="preserve">边界 </w:t>
            </w:r>
            <w:r>
              <w:rPr>
                <w:color w:val="4D5660"/>
                <w:sz w:val="19"/>
                <w:szCs w:val="19"/>
              </w:rPr>
              <w:t xml:space="preserve">仅在报表现金范围排除相关受限资金时适用；须按报告期准则判断。</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095  把在职原股东报酬全部列为并购付款</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向并购后仍留任的原股东或合伙人支付大额或有对价，占其收入重要部分，却全部列筹资等非经营现金流。</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企业合并及或有对价附注、有关留任人员的薪酬披露、付款条件与实际支付说明，以及现金流量分类。</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对照付款对象、持续任职和约定金额，审视其购买对价与劳动报酬的实质；核查不进经营活动是否与披露的经济性质一致。</w:t>
            </w:r>
          </w:p>
          <w:p>
            <w:pPr>
              <w:spacing w:after="0" w:before="70" w:line="250"/>
            </w:pPr>
            <w:r>
              <w:rPr>
                <w:b/>
                <w:bCs/>
                <w:sz w:val="19"/>
                <w:szCs w:val="19"/>
              </w:rPr>
              <w:t xml:space="preserve">边界 </w:t>
            </w:r>
            <w:r>
              <w:rPr>
                <w:color w:val="4D5660"/>
                <w:sz w:val="19"/>
                <w:szCs w:val="19"/>
              </w:rPr>
              <w:t xml:space="preserve">对价与薪酬界限可能需主观判断，不能把全部在职原股东付款都视为薪酬。</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096  将并购收入或导流收入算作自然增长</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自然增长只扣目标公司历史固定收入，留下其新增订单收入；被购竞争产品停产、客户导向原平台后，又被算作内部增长。</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企业合并附注中的收入贡献和原有业务比较数据、管理层讨论与分析的自然增长定义、产品整合及客户迁移说明。</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分开原有业务、被购业务和集团增长，按披露数据扣除并购贡献，检查新增订单、客户迁移和门店合并是否改变所谓自然增长。</w:t>
            </w:r>
          </w:p>
          <w:p>
            <w:pPr>
              <w:spacing w:after="0" w:before="70" w:line="250"/>
            </w:pPr>
            <w:r>
              <w:rPr>
                <w:b/>
                <w:bCs/>
                <w:sz w:val="19"/>
                <w:szCs w:val="19"/>
              </w:rPr>
              <w:t xml:space="preserve">边界 </w:t>
            </w:r>
            <w:r>
              <w:rPr>
                <w:color w:val="4D5660"/>
                <w:sz w:val="19"/>
                <w:szCs w:val="19"/>
              </w:rPr>
              <w:t xml:space="preserve">并购整合或停产策略本身可以合理；数据不充分时不能自行补造增长拆分。</w:t>
            </w:r>
          </w:p>
        </w:tc>
      </w:tr>
    </w:tbl>
    <w:p>
      <w:pPr>
        <w:spacing w:after="70"/>
      </w:pPr>
      <w:r>
        <w:t xml:space="preserve"/>
      </w:r>
    </w:p>
    <w:p>
      <w:pPr>
        <w:pStyle w:val="Heading1"/>
      </w:pPr>
      <w:r>
        <w:t xml:space="preserve">14 差错重述与治理复核</w:t>
      </w:r>
    </w:p>
    <w:tbl>
      <w:tblPr>
        <w:tblW w:type="dxa" w:w="151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300"/>
        <w:gridCol w:w="4858"/>
      </w:tblGrid>
      <w:tr>
        <w:trPr>
          <w:cantSplit/>
          <w:tblHeader/>
        </w:trPr>
        <w:tc>
          <w:tcPr>
            <w:tcW w:type="dxa" w:w="26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舞弊手法</w:t>
            </w:r>
          </w:p>
        </w:tc>
        <w:tc>
          <w:tcPr>
            <w:tcW w:type="dxa" w:w="44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年报异常信号</w:t>
            </w:r>
          </w:p>
        </w:tc>
        <w:tc>
          <w:tcPr>
            <w:tcW w:type="dxa" w:w="3300"/>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披露位置</w:t>
            </w:r>
          </w:p>
        </w:tc>
        <w:tc>
          <w:tcPr>
            <w:tcW w:type="dxa" w:w="4858"/>
            <w:tcBorders>
              <w:top w:val="single" w:color="D9D9D9" w:sz="4"/>
              <w:left w:val="single" w:color="D9D9D9" w:sz="4"/>
              <w:bottom w:val="single" w:color="D9D9D9" w:sz="4"/>
              <w:right w:val="single" w:color="D9D9D9" w:sz="4"/>
            </w:tcBorders>
            <w:shd w:fill="102D42" w:val="clear"/>
            <w:tcMar>
              <w:top w:type="dxa" w:w="80"/>
              <w:left w:type="dxa" w:w="120"/>
              <w:bottom w:type="dxa" w:w="80"/>
              <w:right w:type="dxa" w:w="120"/>
            </w:tcMar>
            <w:vAlign w:val="center"/>
          </w:tcPr>
          <w:p>
            <w:pPr>
              <w:spacing w:after="0" w:line="270"/>
              <w:jc w:val="center"/>
            </w:pPr>
            <w:r>
              <w:rPr>
                <w:b/>
                <w:bCs/>
                <w:color w:val="FFFFFF"/>
                <w:sz w:val="21"/>
                <w:szCs w:val="21"/>
              </w:rPr>
              <w:t xml:space="preserve">核查方法</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097  以初步小额调整弱化既有会计问题</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年报更正从少量项目扩展到多期收入、资本化、坏账或折旧；收入、退回、客户审批和分类列报存在重大控制缺陷。</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会计差错更正及重述附注、最终比较财务报表、内部控制评价与审计披露，以及年报中的整改说明。</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将初步解释与最终重述逐项对照，检查更正范围、金额及整改；进一步判断原会计问题掩盖了怎样的业务恶化，不只看技术性修正。</w:t>
            </w:r>
          </w:p>
          <w:p>
            <w:pPr>
              <w:spacing w:after="0" w:before="70" w:line="250"/>
            </w:pPr>
            <w:r>
              <w:rPr>
                <w:b/>
                <w:bCs/>
                <w:sz w:val="19"/>
                <w:szCs w:val="19"/>
              </w:rPr>
              <w:t xml:space="preserve">边界 </w:t>
            </w:r>
            <w:r>
              <w:rPr>
                <w:color w:val="4D5660"/>
                <w:sz w:val="19"/>
                <w:szCs w:val="19"/>
              </w:rPr>
              <w:t xml:space="preserve">初步小额不代表最终影响小；内控缺陷或重述并不自动等于主观舞弊。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098  重大交易无法核实却支撑利润表象</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审计报告提示无法确认某些重大交易，而相关所得对税前利润贡献很大，财务报告中的交易说明不足以解释其实质。</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审计报告中无法验证交易或其他异常意见的段落、对应重大交易附注，以及利润表和非经常性收益明细。</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逐项回查审计疑虑对应的交易、金额和利润贡献，审视解释是否一致；将无法核实的事项保留为结论限制，不据宣传消除疑虑。</w:t>
            </w:r>
          </w:p>
          <w:p>
            <w:pPr>
              <w:spacing w:after="0" w:before="70" w:line="250"/>
            </w:pPr>
            <w:r>
              <w:rPr>
                <w:b/>
                <w:bCs/>
                <w:sz w:val="19"/>
                <w:szCs w:val="19"/>
              </w:rPr>
              <w:t xml:space="preserve">边界 </w:t>
            </w:r>
            <w:r>
              <w:rPr>
                <w:color w:val="4D5660"/>
                <w:sz w:val="19"/>
                <w:szCs w:val="19"/>
              </w:rPr>
              <w:t xml:space="preserve">审计疑虑是核查起点，不能直接证明交易虚构或存在隐藏离岸实体。</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099  以失衡激励和薄弱监督放大粉饰风险</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高管考核以排除重组、整合、减值和摊销的现金利润为核心，同时监督制衡薄弱，可能推动不计成本的连续并购。奖励亦可能过度依赖股价或可自行调整的非GAAP指标。</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董事会治理、审计监督与内部控制披露，高管薪酬和业绩目标说明，以及相应非公认会计准则指标定义。</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对照奖金目标与被排除成本，分析目标如何影响战略选择；结合披露的监督安排，评估管理层对业绩指标的影响空间。</w:t>
            </w:r>
          </w:p>
          <w:p>
            <w:pPr>
              <w:spacing w:after="0" w:before="70" w:line="250"/>
            </w:pPr>
            <w:r>
              <w:rPr>
                <w:b/>
                <w:bCs/>
                <w:sz w:val="19"/>
                <w:szCs w:val="19"/>
              </w:rPr>
              <w:t xml:space="preserve">边界 </w:t>
            </w:r>
            <w:r>
              <w:rPr>
                <w:color w:val="4D5660"/>
                <w:sz w:val="19"/>
                <w:szCs w:val="19"/>
              </w:rPr>
              <w:t xml:space="preserve">激励与治理只提供风险背景；不得从薪酬设计直接推出已经发生舞弊。</w:t>
            </w:r>
          </w:p>
        </w:tc>
      </w:tr>
      <w:tr>
        <w:trPr>
          <w:cantSplit/>
        </w:trPr>
        <w:tc>
          <w:tcPr>
            <w:tcW w:type="dxa" w:w="26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bCs/>
                <w:color w:val="000000"/>
                <w:sz w:val="21"/>
                <w:szCs w:val="21"/>
              </w:rPr>
              <w:t xml:space="preserve">100  借政策口径或人员变更掩盖恶化</w:t>
            </w:r>
          </w:p>
        </w:tc>
        <w:tc>
          <w:tcPr>
            <w:tcW w:type="dxa" w:w="44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会计政策、指标、分类、客户付款条件突然改变，或财务高管和审计师发生变化，时点与业绩压力相近且解释含糊。</w:t>
            </w:r>
          </w:p>
        </w:tc>
        <w:tc>
          <w:tcPr>
            <w:tcW w:type="dxa" w:w="3300"/>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会计政策及估计变更附注、指标定义和客户信用说明、董事及高管变更、审计机构信息与管理层讨论。</w:t>
            </w:r>
          </w:p>
        </w:tc>
        <w:tc>
          <w:tcPr>
            <w:tcW w:type="dxa" w:w="4858"/>
            <w:tcBorders>
              <w:top w:val="single" w:color="D9D9D9" w:sz="4"/>
              <w:left w:val="single" w:color="D9D9D9" w:sz="4"/>
              <w:bottom w:val="single" w:color="D9D9D9" w:sz="4"/>
              <w:right w:val="single" w:color="D9D9D9" w:sz="4"/>
            </w:tcBorders>
            <w:shd w:fill="F7F8FA"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跨年比较变化的内容、原因和财务影响，追问为什么是此时；披露充分时评估维持旧口径的结果，而非仅接受模板式解释。</w:t>
            </w:r>
          </w:p>
          <w:p>
            <w:pPr>
              <w:spacing w:after="0" w:before="70" w:line="250"/>
            </w:pPr>
            <w:r>
              <w:rPr>
                <w:b/>
                <w:bCs/>
                <w:sz w:val="19"/>
                <w:szCs w:val="19"/>
              </w:rPr>
              <w:t xml:space="preserve">边界 </w:t>
            </w:r>
            <w:r>
              <w:rPr>
                <w:color w:val="4D5660"/>
                <w:sz w:val="19"/>
                <w:szCs w:val="19"/>
              </w:rPr>
              <w:t xml:space="preserve">变更和离职可能有正常原因，必须结合实际披露及影响核查。</w:t>
            </w:r>
          </w:p>
        </w:tc>
      </w:tr>
      <w:tr>
        <w:trPr>
          <w:cantSplit/>
        </w:trP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bCs/>
                <w:color w:val="000000"/>
                <w:sz w:val="21"/>
                <w:szCs w:val="21"/>
              </w:rPr>
              <w:t xml:space="preserve">101  以增长叙事掩盖利润现金不匹配</w:t>
            </w:r>
          </w:p>
        </w:tc>
        <w:tc>
          <w:tcPr>
            <w:tcW w:type="dxa" w:w="4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成熟业务收入异常高速增长却缺少利润及现金支持；历史上类似应收或存货异常之后，曾出现收入骤降。</w:t>
            </w:r>
          </w:p>
        </w:tc>
        <w:tc>
          <w:tcPr>
            <w:tcW w:type="dxa" w:w="3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连续年度利润表、资产负债表、现金流量表，相关应收存货附注，以及管理层讨论中的增长来源和历史比较。</w:t>
            </w:r>
          </w:p>
        </w:tc>
        <w:tc>
          <w:tcPr>
            <w:tcW w:type="dxa" w:w="4858"/>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line="270"/>
              <w:jc w:val="left"/>
            </w:pPr>
            <w:r>
              <w:rPr>
                <w:b w:val="false"/>
                <w:bCs w:val="false"/>
                <w:color w:val="000000"/>
                <w:sz w:val="21"/>
                <w:szCs w:val="21"/>
              </w:rPr>
              <w:t xml:space="preserve">同时审视收入、利润和现金，把本期疑似渠道压货等信号与过去同类变动及后续收入走势对照，检验管理层解释的一贯性。</w:t>
            </w:r>
          </w:p>
          <w:p>
            <w:pPr>
              <w:spacing w:after="0" w:before="70" w:line="250"/>
            </w:pPr>
            <w:r>
              <w:rPr>
                <w:b/>
                <w:bCs/>
                <w:sz w:val="19"/>
                <w:szCs w:val="19"/>
              </w:rPr>
              <w:t xml:space="preserve">边界 </w:t>
            </w:r>
            <w:r>
              <w:rPr>
                <w:color w:val="4D5660"/>
                <w:sz w:val="19"/>
                <w:szCs w:val="19"/>
              </w:rPr>
              <w:t xml:space="preserve">历史重复模式和收入现金背离都只是风险线索，不能单独证明舞弊。</w:t>
            </w:r>
          </w:p>
        </w:tc>
      </w:tr>
    </w:tbl>
    <w:p>
      <w:pPr>
        <w:spacing w:after="70"/>
      </w:pPr>
      <w:r>
        <w:t xml:space="preserve"/>
      </w:r>
    </w:p>
    <w:p>
      <w:pPr>
        <w:pStyle w:val="Heading1"/>
        <w:pageBreakBefore/>
      </w:pPr>
      <w:r>
        <w:t xml:space="preserve">指标口径速查</w:t>
      </w:r>
    </w:p>
    <w:p>
      <w:r>
        <w:t xml:space="preserve">以下口径用于本指南中的跨期核查。期末余额与平均余额、总额与净额、合并范围及报告期天数须保持一致；不设适用于所有行业的统一报警阈值。</w:t>
      </w:r>
    </w:p>
    <w:p>
      <w:pPr>
        <w:spacing w:after="70" w:line="265"/>
      </w:pPr>
      <w:r>
        <w:rPr>
          <w:b/>
          <w:bCs/>
        </w:rPr>
        <w:t xml:space="preserve">应收账款周转天数  </w:t>
      </w:r>
      <w:r>
        <w:t xml:space="preserve">识别期末收入风险：期末全部应收款÷同口径收入×报告期天数；考虑长期应收、票据及转让款。平均余额适于另一种回款周期分析，不应混用。</w:t>
      </w:r>
    </w:p>
    <w:p>
      <w:pPr>
        <w:spacing w:after="70" w:line="265"/>
      </w:pPr>
      <w:r>
        <w:rPr>
          <w:b/>
          <w:bCs/>
        </w:rPr>
        <w:t xml:space="preserve">存货周转天数  </w:t>
      </w:r>
      <w:r>
        <w:t xml:space="preserve">统一存货范围和余额口径，结合营业成本比较周转变化；包括长期或转列其他资产的存货，另核查跌价准备与需求。</w:t>
      </w:r>
    </w:p>
    <w:p>
      <w:pPr>
        <w:spacing w:after="70" w:line="265"/>
      </w:pPr>
      <w:r>
        <w:rPr>
          <w:b/>
          <w:bCs/>
        </w:rPr>
        <w:t xml:space="preserve">应付账款周转天数  </w:t>
      </w:r>
      <w:r>
        <w:t xml:space="preserve">核查口径：应付账款÷销售成本×报告期天数。结合银行代付、供应商融资及期末付款时点解释变化。</w:t>
      </w:r>
    </w:p>
    <w:p>
      <w:pPr>
        <w:spacing w:after="70" w:line="265"/>
      </w:pPr>
      <w:r>
        <w:rPr>
          <w:b/>
          <w:bCs/>
        </w:rPr>
        <w:t xml:space="preserve">自由现金流  </w:t>
      </w:r>
      <w:r>
        <w:t xml:space="preserve">经营活动现金流量净额－资本性支出。公司自定义指标须核对扣除范围；该式仍可能遗漏列入筹资活动的经营资源付款。</w:t>
      </w:r>
    </w:p>
    <w:p>
      <w:pPr>
        <w:spacing w:after="70" w:line="265"/>
      </w:pPr>
      <w:r>
        <w:rPr>
          <w:b/>
          <w:bCs/>
        </w:rPr>
        <w:t xml:space="preserve">并购后的自由现金流  </w:t>
      </w:r>
      <w:r>
        <w:t xml:space="preserve">经营活动现金流量净额－资本性支出－并购现金付款；另考虑继承营运资本、保留应收与排除应付带来的可比性差异。</w:t>
      </w:r>
    </w:p>
    <w:p>
      <w:pPr>
        <w:spacing w:after="70" w:line="265"/>
      </w:pPr>
      <w:r>
        <w:rPr>
          <w:b/>
          <w:bCs/>
        </w:rPr>
        <w:t xml:space="preserve">坏账准备占应收款比例  </w:t>
      </w:r>
      <w:r>
        <w:t xml:space="preserve">比较准备与全部对应应收款的比例及变化，并与账龄、逾期和回款对照。历史比例只用于敏感性分析，不能代替实际计提判断。</w:t>
      </w:r>
    </w:p>
    <w:p>
      <w:pPr>
        <w:spacing w:after="70" w:line="265"/>
      </w:pPr>
      <w:r>
        <w:rPr>
          <w:b/>
          <w:bCs/>
        </w:rPr>
        <w:t xml:space="preserve">贷款损失准备覆盖  </w:t>
      </w:r>
      <w:r>
        <w:t xml:space="preserve">贷款损失准备÷对应不良贷款。联看核销、新增计提和贷款组合，不能用合并后的其他准备余额替代。</w:t>
      </w:r>
    </w:p>
    <w:p>
      <w:pPr>
        <w:spacing w:after="70" w:line="265"/>
      </w:pPr>
      <w:r>
        <w:rPr>
          <w:b/>
          <w:bCs/>
        </w:rPr>
        <w:t xml:space="preserve">毛利率与费用率  </w:t>
      </w:r>
      <w:r>
        <w:t xml:space="preserve">按相同业务范围拆解收入、营业成本与费用，排除毛额净额、一次性利得抵费、并购和成本归属变化的影响。</w:t>
      </w:r>
    </w:p>
    <w:p>
      <w:pPr>
        <w:spacing w:after="70" w:line="265"/>
      </w:pPr>
      <w:r>
        <w:rPr>
          <w:b/>
          <w:bCs/>
        </w:rPr>
        <w:t xml:space="preserve">资产周转与杠杆  </w:t>
      </w:r>
      <w:r>
        <w:t xml:space="preserve">先检查资产回收质量，再比较周转；结合有息债务、权益、资金用途和期限理解负债权益比及净负债率。没有通用行业阈值。</w:t>
      </w:r>
    </w:p>
    <w:p>
      <w:pPr>
        <w:spacing w:after="70" w:line="265"/>
      </w:pPr>
      <w:r>
        <w:rPr>
          <w:b/>
          <w:bCs/>
        </w:rPr>
        <w:t xml:space="preserve">养老金收益贡献  </w:t>
      </w:r>
      <w:r>
        <w:t xml:space="preserve">养老金收益÷营业利润，联看寿命、贴现率、收益率和计量日假设；将非主营贡献与业务盈利分开。</w:t>
      </w:r>
    </w:p>
    <w:p>
      <w:pPr>
        <w:spacing w:after="70" w:line="265"/>
      </w:pPr>
      <w:r>
        <w:rPr>
          <w:b/>
          <w:bCs/>
        </w:rPr>
        <w:t xml:space="preserve">EBITDA  </w:t>
      </w:r>
      <w:r>
        <w:t xml:space="preserve">息税折旧摊销前利润不等于经营现金流；必须联看营运资本、资本开支及持续经营所需资产的折旧摊销。</w:t>
      </w:r>
    </w:p>
    <w:p>
      <w:pPr>
        <w:spacing w:after="70" w:line="265"/>
      </w:pPr>
      <w:r>
        <w:rPr>
          <w:b/>
          <w:bCs/>
        </w:rPr>
        <w:t xml:space="preserve">同店销售与单店平均收入  </w:t>
      </w:r>
      <w:r>
        <w:t xml:space="preserve">核对可比门店范围；以总收入÷平均门店数量交叉观察单店趋势，并考虑新店表现及并购门店。</w:t>
      </w:r>
    </w:p>
    <w:p>
      <w:pPr>
        <w:spacing w:after="70" w:line="265"/>
      </w:pPr>
      <w:r>
        <w:rPr>
          <w:b/>
          <w:bCs/>
        </w:rPr>
        <w:t xml:space="preserve">自然增长  </w:t>
      </w:r>
      <w:r>
        <w:t xml:space="preserve">分开原有业务、被购业务和集团增长；核实新增订单、客户导流、并购门店与比较基数。企业自定义口径须逐项还原。</w:t>
      </w:r>
    </w:p>
    <w:p>
      <w:pPr>
        <w:spacing w:after="70" w:line="265"/>
      </w:pPr>
      <w:r>
        <w:rPr>
          <w:b/>
          <w:bCs/>
        </w:rPr>
        <w:t xml:space="preserve">订单勾稽  </w:t>
      </w:r>
      <w:r>
        <w:t xml:space="preserve">披露充分时：期初积压订单＋净预订－相关收入≈期末积压订单。统一期间、合同范围和取消口径，不推定未披露数据。</w:t>
      </w:r>
    </w:p>
    <w:sectPr>
      <w:headerReference w:type="default" r:id="rId7"/>
      <w:footerReference w:type="default" r:id="rId8"/>
      <w:pgSz w:w="16838" w:h="11906" w:orient="landscape"/>
      <w:pgMar w:top="850" w:right="840" w:bottom="850" w:left="84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7"/>
        <w:szCs w:val="17"/>
      </w:rPr>
      <w:t xml:space="preserve">第 </w:t>
    </w:r>
    <w:r>
      <w:rPr>
        <w:sz w:val="17"/>
        <w:szCs w:val="17"/>
      </w:rPr>
      <w:fldChar w:fldCharType="begin"/>
      <w:instrText xml:space="preserve">PAGE</w:instrText>
      <w:fldChar w:fldCharType="separate"/>
      <w:fldChar w:fldCharType="end"/>
    </w:r>
    <w:r>
      <w:rPr>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color w:val="000000"/>
        <w:sz w:val="17"/>
        <w:szCs w:val="17"/>
      </w:rPr>
      <w:t xml:space="preserve">企业年报财务舞弊排查指南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1"/>
        <w:szCs w:val="21"/>
      </w:rPr>
    </w:rPrDefault>
    <w:pPrDefault>
      <w:pPr>
        <w:spacing w:after="10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0"/>
    </w:pPr>
    <w:rPr>
      <w:rFonts w:ascii="Microsoft YaHei" w:cs="Microsoft YaHei" w:eastAsia="Microsoft YaHei" w:hAnsi="Microsoft YaHei"/>
      <w:b/>
      <w:bCs/>
      <w:color w:val="000000"/>
      <w:sz w:val="44"/>
      <w:szCs w:val="44"/>
    </w:rPr>
  </w:style>
  <w:style w:type="paragraph" w:styleId="Heading1">
    <w:name w:val="Heading 1"/>
    <w:basedOn w:val="Normal"/>
    <w:next w:val="Normal"/>
    <w:qFormat/>
    <w:pPr>
      <w:keepNext/>
      <w:spacing w:after="140" w:before="230"/>
      <w:outlineLvl w:val="0"/>
    </w:pPr>
    <w:rPr>
      <w:rFonts w:ascii="Microsoft YaHei" w:cs="Microsoft YaHei" w:eastAsia="Microsoft YaHei" w:hAnsi="Microsoft YaHei"/>
      <w:b/>
      <w:bCs/>
      <w:color w:val="000000"/>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企业年报财务舞弊排查指南</dc:title>
  <dc:creator>qingkongwanli0l</dc:creator>
  <dc:description>企业年报财务舞弊排查四步指南</dc:description>
  <cp:lastModifiedBy>qingkongwanli0l</cp:lastModifiedBy>
  <cp:revision>1</cp:revision>
  <dcterms:created xsi:type="dcterms:W3CDTF">2026-10-26T16:40:57.294Z</dcterms:created>
  <dcterms:modified xsi:type="dcterms:W3CDTF">2026-10-26T16:40:57.295Z</dcterms:modified>
</cp:coreProperties>
</file>

<file path=docProps/custom.xml><?xml version="1.0" encoding="utf-8"?>
<Properties xmlns="http://schemas.openxmlformats.org/officeDocument/2006/custom-properties" xmlns:vt="http://schemas.openxmlformats.org/officeDocument/2006/docPropsVTypes"/>
</file>