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7A" w:rsidRDefault="00AD5642" w:rsidP="00F30979">
      <w:pPr>
        <w:spacing w:after="0" w:line="240" w:lineRule="auto"/>
        <w:contextualSpacing/>
      </w:pPr>
      <w:r>
        <w:rPr>
          <w:rFonts w:ascii="Courier New" w:hAnsi="Courier New" w:cs="Courier New"/>
          <w:b/>
          <w:sz w:val="40"/>
          <w:szCs w:val="40"/>
        </w:rPr>
        <w:t>16S primers for amplicon generation</w:t>
      </w:r>
      <w:r w:rsidR="00436F49">
        <w:rPr>
          <w:rFonts w:ascii="Courier New" w:hAnsi="Courier New" w:cs="Courier New"/>
          <w:b/>
          <w:sz w:val="40"/>
          <w:szCs w:val="40"/>
        </w:rPr>
        <w:t xml:space="preserve"> and sequencing</w:t>
      </w:r>
    </w:p>
    <w:p w:rsidR="00993DD5" w:rsidRDefault="00993DD5" w:rsidP="00F30979">
      <w:pPr>
        <w:spacing w:after="0" w:line="240" w:lineRule="auto"/>
        <w:contextualSpacing/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2790"/>
      </w:tblGrid>
      <w:tr w:rsidR="00F30979" w:rsidRPr="00225662" w:rsidTr="00436F49">
        <w:trPr>
          <w:trHeight w:val="261"/>
        </w:trPr>
        <w:tc>
          <w:tcPr>
            <w:tcW w:w="3240" w:type="dxa"/>
            <w:shd w:val="clear" w:color="auto" w:fill="auto"/>
            <w:noWrap/>
            <w:vAlign w:val="center"/>
          </w:tcPr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LinkerPrimerSequence</w:t>
            </w:r>
            <w:proofErr w:type="spellEnd"/>
          </w:p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(QW: </w:t>
            </w:r>
            <w:r w:rsidR="007D4AF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HMP1 </w:t>
            </w:r>
            <w:r w:rsidR="0056208B"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454 </w:t>
            </w:r>
            <w:r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>reverse)</w:t>
            </w:r>
          </w:p>
        </w:tc>
        <w:tc>
          <w:tcPr>
            <w:tcW w:w="3240" w:type="dxa"/>
            <w:shd w:val="clear" w:color="auto" w:fill="auto"/>
            <w:noWrap/>
            <w:vAlign w:val="center"/>
          </w:tcPr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Reverse</w:t>
            </w:r>
            <w:bookmarkStart w:id="0" w:name="_GoBack"/>
            <w:bookmarkEnd w:id="0"/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Primer</w:t>
            </w:r>
            <w:proofErr w:type="spellEnd"/>
          </w:p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(QW: </w:t>
            </w:r>
            <w:r w:rsidR="007D4AF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HMP1 </w:t>
            </w:r>
            <w:r w:rsidR="0056208B"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 xml:space="preserve">454 </w:t>
            </w:r>
            <w:r w:rsidRPr="002A1120">
              <w:rPr>
                <w:rFonts w:ascii="Courier New" w:hAnsi="Courier New" w:cs="Courier New"/>
                <w:b/>
                <w:bCs/>
                <w:color w:val="000000"/>
                <w:highlight w:val="yellow"/>
              </w:rPr>
              <w:t>forward)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Region</w:t>
            </w:r>
          </w:p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</w:tr>
      <w:tr w:rsidR="00F30979" w:rsidRPr="00225662" w:rsidTr="00436F49">
        <w:trPr>
          <w:trHeight w:val="300"/>
        </w:trPr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ATTACCGCGGCTGCTGG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2728A3" w:rsidRPr="002A1120" w:rsidRDefault="00F30979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AGAGTTTGAT</w:t>
            </w:r>
            <w:r w:rsidRPr="002728A3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YM</w:t>
            </w: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TGGCTCAG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:rsidR="00F30979" w:rsidRPr="002A1120" w:rsidRDefault="00F30979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000000"/>
                <w:highlight w:val="cyan"/>
                <w:lang w:eastAsia="zh-CN"/>
              </w:rPr>
              <w:t>V1V3</w:t>
            </w:r>
            <w:r w:rsidR="00614F4B"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 xml:space="preserve"> (</w:t>
            </w:r>
            <w:r w:rsid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27</w:t>
            </w:r>
            <w:r w:rsidR="00614F4B"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F &amp; 534R)</w:t>
            </w:r>
          </w:p>
        </w:tc>
      </w:tr>
      <w:tr w:rsidR="002728A3" w:rsidRPr="00225662" w:rsidTr="00436F49">
        <w:trPr>
          <w:trHeight w:val="300"/>
        </w:trPr>
        <w:tc>
          <w:tcPr>
            <w:tcW w:w="3240" w:type="dxa"/>
            <w:shd w:val="clear" w:color="auto" w:fill="auto"/>
            <w:noWrap/>
            <w:vAlign w:val="bottom"/>
          </w:tcPr>
          <w:p w:rsidR="002728A3" w:rsidRPr="002A1120" w:rsidRDefault="002728A3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CCGTCAATTC</w:t>
            </w:r>
            <w:r w:rsidRPr="002728A3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M</w:t>
            </w: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TTT</w:t>
            </w:r>
            <w:r w:rsidRPr="002728A3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R</w:t>
            </w:r>
            <w:r w:rsidRPr="002A1120">
              <w:rPr>
                <w:rFonts w:ascii="Courier New" w:eastAsia="Times New Roman" w:hAnsi="Courier New" w:cs="Courier New"/>
                <w:color w:val="000000"/>
                <w:lang w:eastAsia="zh-CN"/>
              </w:rPr>
              <w:t>AGT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2728A3" w:rsidRPr="002A1120" w:rsidRDefault="002728A3" w:rsidP="00614F4B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 w:themeColor="text1"/>
              </w:rPr>
            </w:pPr>
            <w:r w:rsidRPr="002A1120">
              <w:rPr>
                <w:rFonts w:ascii="Courier New" w:eastAsia="Times New Roman" w:hAnsi="Courier New" w:cs="Courier New"/>
                <w:color w:val="000000" w:themeColor="text1"/>
              </w:rPr>
              <w:t>CCTACGGGAGGCAGCAG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:rsidR="002728A3" w:rsidRPr="002A1120" w:rsidRDefault="002728A3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FF0000"/>
                <w:u w:val="single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FF0000"/>
                <w:u w:val="single"/>
                <w:lang w:eastAsia="zh-CN"/>
              </w:rPr>
              <w:t>V3V5</w:t>
            </w:r>
            <w:r w:rsidRPr="002A1120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 xml:space="preserve"> (341F &amp; 926R)</w:t>
            </w:r>
          </w:p>
        </w:tc>
      </w:tr>
      <w:tr w:rsidR="002728A3" w:rsidRPr="00225662" w:rsidTr="00436F49">
        <w:trPr>
          <w:trHeight w:val="300"/>
        </w:trPr>
        <w:tc>
          <w:tcPr>
            <w:tcW w:w="3240" w:type="dxa"/>
            <w:shd w:val="clear" w:color="auto" w:fill="auto"/>
            <w:noWrap/>
            <w:vAlign w:val="bottom"/>
          </w:tcPr>
          <w:p w:rsidR="00436F49" w:rsidRPr="002A1120" w:rsidRDefault="00436F49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</w:rPr>
              <w:t>TACGG</w:t>
            </w:r>
            <w:r w:rsidRPr="00436F49">
              <w:rPr>
                <w:rFonts w:ascii="Courier New" w:eastAsia="Times New Roman" w:hAnsi="Courier New" w:cs="Courier New"/>
                <w:color w:val="000000" w:themeColor="text1"/>
                <w:u w:val="thick"/>
              </w:rPr>
              <w:t>Y</w:t>
            </w:r>
            <w:r>
              <w:rPr>
                <w:rFonts w:ascii="Courier New" w:eastAsia="Times New Roman" w:hAnsi="Courier New" w:cs="Courier New"/>
                <w:color w:val="000000" w:themeColor="text1"/>
              </w:rPr>
              <w:t>TACCTTGTTA</w:t>
            </w:r>
            <w:r w:rsidRPr="00436F49">
              <w:rPr>
                <w:rFonts w:ascii="Courier New" w:eastAsia="Times New Roman" w:hAnsi="Courier New" w:cs="Courier New"/>
                <w:color w:val="000000" w:themeColor="text1"/>
                <w:u w:val="thick"/>
              </w:rPr>
              <w:t>Y</w:t>
            </w:r>
            <w:r>
              <w:rPr>
                <w:rFonts w:ascii="Courier New" w:eastAsia="Times New Roman" w:hAnsi="Courier New" w:cs="Courier New"/>
                <w:color w:val="000000" w:themeColor="text1"/>
              </w:rPr>
              <w:t>GACTT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2728A3" w:rsidRPr="00436F49" w:rsidRDefault="00436F49" w:rsidP="00614F4B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zh-CN"/>
              </w:rPr>
              <w:t>AACGCGAAGAACCTTAC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:rsidR="002728A3" w:rsidRPr="002A1120" w:rsidRDefault="007D4AF0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FF0000"/>
                <w:u w:val="single"/>
                <w:lang w:eastAsia="zh-CN"/>
              </w:rPr>
            </w:pPr>
            <w:r w:rsidRPr="00436F49">
              <w:rPr>
                <w:rFonts w:ascii="Courier New" w:eastAsia="Times New Roman" w:hAnsi="Courier New" w:cs="Courier New"/>
                <w:color w:val="000000" w:themeColor="text1"/>
                <w:highlight w:val="magenta"/>
                <w:lang w:eastAsia="zh-CN"/>
              </w:rPr>
              <w:t>V6V9</w:t>
            </w:r>
            <w:r w:rsidRPr="00436F49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 xml:space="preserve"> (</w:t>
            </w:r>
            <w:r w:rsidR="00436F49" w:rsidRPr="00436F49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968F &amp; 1492R</w:t>
            </w:r>
            <w:r w:rsidRPr="00436F49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>)</w:t>
            </w:r>
          </w:p>
        </w:tc>
      </w:tr>
      <w:tr w:rsidR="0056208B" w:rsidRPr="00225662" w:rsidTr="00436F49">
        <w:trPr>
          <w:trHeight w:val="300"/>
        </w:trPr>
        <w:tc>
          <w:tcPr>
            <w:tcW w:w="3240" w:type="dxa"/>
            <w:shd w:val="clear" w:color="auto" w:fill="auto"/>
            <w:noWrap/>
            <w:vAlign w:val="bottom"/>
          </w:tcPr>
          <w:p w:rsidR="00614F4B" w:rsidRPr="002A1120" w:rsidRDefault="00614F4B" w:rsidP="00614F4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LinkerPrimerSequence</w:t>
            </w:r>
            <w:proofErr w:type="spellEnd"/>
          </w:p>
          <w:p w:rsidR="0056208B" w:rsidRPr="002A1120" w:rsidRDefault="00614F4B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color w:val="000000" w:themeColor="text1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 xml:space="preserve">(QW: Illumina </w:t>
            </w:r>
            <w:r w:rsidR="0056208B"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>forward</w:t>
            </w:r>
            <w:r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>)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614F4B" w:rsidRPr="002A1120" w:rsidRDefault="00614F4B" w:rsidP="00614F4B">
            <w:pPr>
              <w:spacing w:after="0" w:line="240" w:lineRule="auto"/>
              <w:contextualSpacing/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r w:rsidRPr="002A1120">
              <w:rPr>
                <w:rFonts w:ascii="Courier New" w:hAnsi="Courier New" w:cs="Courier New"/>
                <w:b/>
                <w:bCs/>
                <w:color w:val="000000"/>
              </w:rPr>
              <w:t>ReversePrimer</w:t>
            </w:r>
            <w:proofErr w:type="spellEnd"/>
          </w:p>
          <w:p w:rsidR="0056208B" w:rsidRPr="002A1120" w:rsidRDefault="00614F4B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color w:val="000000" w:themeColor="text1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 xml:space="preserve">(QW: Illumina </w:t>
            </w:r>
            <w:r w:rsidR="0056208B"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>reverse</w:t>
            </w:r>
            <w:r w:rsidRPr="002A1120">
              <w:rPr>
                <w:rFonts w:ascii="Courier New" w:eastAsia="Times New Roman" w:hAnsi="Courier New" w:cs="Courier New"/>
                <w:b/>
                <w:color w:val="000000" w:themeColor="text1"/>
                <w:highlight w:val="yellow"/>
                <w:lang w:eastAsia="zh-CN"/>
              </w:rPr>
              <w:t>)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:rsidR="0056208B" w:rsidRPr="002A1120" w:rsidRDefault="0056208B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color w:val="000000" w:themeColor="text1"/>
                <w:lang w:eastAsia="zh-CN"/>
              </w:rPr>
            </w:pPr>
          </w:p>
          <w:p w:rsidR="0056208B" w:rsidRPr="002A1120" w:rsidRDefault="0056208B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b/>
                <w:color w:val="000000" w:themeColor="text1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b/>
                <w:color w:val="000000" w:themeColor="text1"/>
                <w:lang w:eastAsia="zh-CN"/>
              </w:rPr>
              <w:t>Region</w:t>
            </w:r>
          </w:p>
        </w:tc>
      </w:tr>
      <w:tr w:rsidR="0056208B" w:rsidRPr="00225662" w:rsidTr="00436F49">
        <w:trPr>
          <w:trHeight w:val="300"/>
        </w:trPr>
        <w:tc>
          <w:tcPr>
            <w:tcW w:w="3240" w:type="dxa"/>
            <w:shd w:val="clear" w:color="auto" w:fill="auto"/>
            <w:noWrap/>
            <w:vAlign w:val="bottom"/>
          </w:tcPr>
          <w:p w:rsidR="002A1120" w:rsidRPr="002A1120" w:rsidRDefault="002728A3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GTGCCAGC</w:t>
            </w:r>
            <w:r w:rsidRPr="002728A3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M</w:t>
            </w:r>
            <w:r w:rsidRP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GCCGCGGTAA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6208B" w:rsidRPr="002A1120" w:rsidRDefault="002728A3" w:rsidP="00F3097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lang w:eastAsia="zh-CN"/>
              </w:rPr>
            </w:pPr>
            <w:r w:rsidRP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GGACTAC</w:t>
            </w:r>
            <w:r w:rsidRPr="007D4AF0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HV</w:t>
            </w:r>
            <w:r w:rsidRP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GGGT</w:t>
            </w:r>
            <w:r w:rsidRPr="007D4AF0">
              <w:rPr>
                <w:rFonts w:ascii="Courier New" w:eastAsia="Times New Roman" w:hAnsi="Courier New" w:cs="Courier New"/>
                <w:color w:val="000000"/>
                <w:u w:val="thick"/>
                <w:lang w:eastAsia="zh-CN"/>
              </w:rPr>
              <w:t>W</w:t>
            </w:r>
            <w:r w:rsidRPr="002728A3">
              <w:rPr>
                <w:rFonts w:ascii="Courier New" w:eastAsia="Times New Roman" w:hAnsi="Courier New" w:cs="Courier New"/>
                <w:color w:val="000000"/>
                <w:lang w:eastAsia="zh-CN"/>
              </w:rPr>
              <w:t>TCTAAT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:rsidR="0056208B" w:rsidRPr="002A1120" w:rsidRDefault="00614F4B" w:rsidP="00614F4B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FF0000"/>
                <w:u w:val="wave"/>
                <w:lang w:eastAsia="zh-CN"/>
              </w:rPr>
            </w:pPr>
            <w:r w:rsidRPr="002A1120">
              <w:rPr>
                <w:rFonts w:ascii="Courier New" w:eastAsia="Times New Roman" w:hAnsi="Courier New" w:cs="Courier New"/>
                <w:color w:val="000000" w:themeColor="text1"/>
                <w:u w:val="wave"/>
                <w:lang w:eastAsia="zh-CN"/>
              </w:rPr>
              <w:t>V4</w:t>
            </w:r>
            <w:r w:rsidR="002A1120" w:rsidRPr="002A1120">
              <w:rPr>
                <w:rFonts w:ascii="Courier New" w:eastAsia="Times New Roman" w:hAnsi="Courier New" w:cs="Courier New"/>
                <w:color w:val="000000" w:themeColor="text1"/>
                <w:lang w:eastAsia="zh-CN"/>
              </w:rPr>
              <w:t xml:space="preserve"> (515F &amp; 806R)</w:t>
            </w:r>
          </w:p>
        </w:tc>
      </w:tr>
    </w:tbl>
    <w:p w:rsidR="00F30979" w:rsidRDefault="00F30979" w:rsidP="00F30979">
      <w:pPr>
        <w:spacing w:after="0" w:line="240" w:lineRule="auto"/>
        <w:contextualSpacing/>
        <w:rPr>
          <w:b/>
        </w:rPr>
      </w:pPr>
    </w:p>
    <w:p w:rsidR="0046618A" w:rsidRDefault="00317698" w:rsidP="00614F4B">
      <w:pPr>
        <w:rPr>
          <w:b/>
        </w:rPr>
      </w:pPr>
      <w:r w:rsidRPr="00413F14">
        <w:rPr>
          <w:b/>
        </w:rPr>
        <w:t xml:space="preserve">16S </w:t>
      </w:r>
      <w:proofErr w:type="spellStart"/>
      <w:r w:rsidRPr="00413F14">
        <w:rPr>
          <w:b/>
        </w:rPr>
        <w:t>rRNA</w:t>
      </w:r>
      <w:proofErr w:type="spellEnd"/>
      <w:r w:rsidRPr="00413F14">
        <w:rPr>
          <w:b/>
        </w:rPr>
        <w:t xml:space="preserve"> </w:t>
      </w:r>
      <w:r w:rsidR="00436F49">
        <w:rPr>
          <w:b/>
        </w:rPr>
        <w:t xml:space="preserve">gene </w:t>
      </w:r>
      <w:r w:rsidR="0046618A">
        <w:rPr>
          <w:b/>
        </w:rPr>
        <w:t xml:space="preserve">template </w:t>
      </w:r>
      <w:r w:rsidRPr="00413F14">
        <w:rPr>
          <w:b/>
        </w:rPr>
        <w:t xml:space="preserve">(Escherichia coli str. K-12 </w:t>
      </w:r>
      <w:proofErr w:type="spellStart"/>
      <w:r w:rsidRPr="00413F14">
        <w:rPr>
          <w:b/>
        </w:rPr>
        <w:t>substr</w:t>
      </w:r>
      <w:proofErr w:type="spellEnd"/>
      <w:r w:rsidRPr="00413F14">
        <w:rPr>
          <w:b/>
        </w:rPr>
        <w:t>. MG1655</w:t>
      </w:r>
      <w:r w:rsidR="0046618A">
        <w:rPr>
          <w:b/>
        </w:rPr>
        <w:t>)</w:t>
      </w:r>
    </w:p>
    <w:p w:rsidR="00614F4B" w:rsidRPr="00614F4B" w:rsidRDefault="0080350B" w:rsidP="00614F4B">
      <w:pPr>
        <w:rPr>
          <w:b/>
        </w:rPr>
      </w:pPr>
      <w:r>
        <w:rPr>
          <w:b/>
        </w:rPr>
        <w:t>Turquoise – V1V3</w:t>
      </w:r>
      <w:r w:rsidR="00317698">
        <w:rPr>
          <w:b/>
        </w:rPr>
        <w:t xml:space="preserve"> primers</w:t>
      </w:r>
      <w:r w:rsidR="000D67AD">
        <w:rPr>
          <w:b/>
        </w:rPr>
        <w:t>;</w:t>
      </w:r>
      <w:r>
        <w:rPr>
          <w:b/>
        </w:rPr>
        <w:t xml:space="preserve"> R</w:t>
      </w:r>
      <w:r w:rsidR="000D67AD">
        <w:rPr>
          <w:b/>
        </w:rPr>
        <w:t>ed – V3V5</w:t>
      </w:r>
      <w:r w:rsidR="006029E8">
        <w:rPr>
          <w:b/>
        </w:rPr>
        <w:t xml:space="preserve"> primers</w:t>
      </w:r>
      <w:r>
        <w:rPr>
          <w:b/>
        </w:rPr>
        <w:t>; W</w:t>
      </w:r>
      <w:r w:rsidR="002A1120">
        <w:rPr>
          <w:b/>
        </w:rPr>
        <w:t>ave underline – V4 primers</w:t>
      </w:r>
      <w:r w:rsidR="00436F49">
        <w:rPr>
          <w:b/>
        </w:rPr>
        <w:t>; Pink – V6V9 primers</w:t>
      </w:r>
      <w:r w:rsidR="00317698" w:rsidRPr="00413F14">
        <w:rPr>
          <w:b/>
        </w:rPr>
        <w:t>)</w:t>
      </w:r>
      <w:r w:rsidR="00317698" w:rsidRPr="00866CAD">
        <w:t xml:space="preserve"> </w:t>
      </w:r>
    </w:p>
    <w:p w:rsidR="00217953" w:rsidRPr="00C04759" w:rsidRDefault="00317698" w:rsidP="003176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866CAD">
        <w:rPr>
          <w:rFonts w:ascii="Courier New" w:eastAsia="Times New Roman" w:hAnsi="Courier New" w:cs="Courier New"/>
          <w:sz w:val="20"/>
          <w:szCs w:val="20"/>
        </w:rPr>
        <w:t>AAATTGA</w:t>
      </w:r>
      <w:r w:rsidRPr="00225662">
        <w:rPr>
          <w:rFonts w:ascii="Courier New" w:eastAsia="Times New Roman" w:hAnsi="Courier New" w:cs="Courier New"/>
          <w:sz w:val="20"/>
          <w:szCs w:val="20"/>
          <w:highlight w:val="cyan"/>
        </w:rPr>
        <w:t>AGAGTTTGATCATGGCTCAG</w:t>
      </w:r>
      <w:r w:rsidRPr="00866CAD">
        <w:rPr>
          <w:rFonts w:ascii="Courier New" w:eastAsia="Times New Roman" w:hAnsi="Courier New" w:cs="Courier New"/>
          <w:sz w:val="20"/>
          <w:szCs w:val="20"/>
        </w:rPr>
        <w:t>ATTGAACGCTGGCGGCAGGCCTAACACATGCAAGTCGAACGGTAACAGGAAGCAGCTTGCTGCTTCGCTGACGAGTGGCGGACGGGTGAGTAATGTCTGGGAAGCTGCCTGATGGAGGGGGATAACTACTGGAAACGGTAGCTAATACCGCATAATGTCGCAAGACCAAAGAGGGGGACCTTCGGGCCTCTTGCCATCGGATGTGCCCAGATGGGATTAGCTTGTTGGTGGGGTAACGGCTCACCAAGGCGACGATCCCTAGCTGGTCTGAGAGGATGACCAGCCACACTGGAACTGAGACACGGTCCAGAC</w:t>
      </w:r>
      <w:r w:rsidRPr="00F309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</w:t>
      </w:r>
      <w:r w:rsidRPr="00CF3B0E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CCTACGGGAGGCAGCAG</w:t>
      </w:r>
      <w:r w:rsidRPr="006D5015">
        <w:rPr>
          <w:rFonts w:ascii="Courier New" w:eastAsia="Times New Roman" w:hAnsi="Courier New" w:cs="Courier New"/>
          <w:sz w:val="20"/>
          <w:szCs w:val="20"/>
        </w:rPr>
        <w:t>TGGGGAATATTGCACAATGGGCGCAAGCCTGATGCAGCCATGCCGCGTGTATGAAGAAGGCCTTCGGGTTGTAAAGTACTTTCAGCGGGGAGGAAGGGAGTAAAGTTAATACCTTTGCTCATTGACGTTACCCGCAGAAGAAGCACCGGCTAAC</w:t>
      </w:r>
      <w:r w:rsidRPr="00624339">
        <w:rPr>
          <w:rFonts w:ascii="Courier New" w:eastAsia="Times New Roman" w:hAnsi="Courier New" w:cs="Courier New"/>
          <w:sz w:val="20"/>
          <w:szCs w:val="20"/>
        </w:rPr>
        <w:t>TCC</w:t>
      </w:r>
      <w:r w:rsidRPr="002A1120">
        <w:rPr>
          <w:rFonts w:ascii="Courier New" w:eastAsia="Times New Roman" w:hAnsi="Courier New" w:cs="Courier New"/>
          <w:sz w:val="20"/>
          <w:szCs w:val="20"/>
          <w:u w:val="wave"/>
        </w:rPr>
        <w:t>GTG</w:t>
      </w:r>
      <w:r w:rsidRPr="0056208B">
        <w:rPr>
          <w:rFonts w:ascii="Courier New" w:eastAsia="Times New Roman" w:hAnsi="Courier New" w:cs="Courier New"/>
          <w:sz w:val="20"/>
          <w:szCs w:val="20"/>
          <w:highlight w:val="cyan"/>
          <w:u w:val="wave"/>
        </w:rPr>
        <w:t>CCAGCAGCCGCGGTAA</w:t>
      </w:r>
      <w:r w:rsidRPr="00225662">
        <w:rPr>
          <w:rFonts w:ascii="Courier New" w:eastAsia="Times New Roman" w:hAnsi="Courier New" w:cs="Courier New"/>
          <w:sz w:val="20"/>
          <w:szCs w:val="20"/>
          <w:highlight w:val="cyan"/>
        </w:rPr>
        <w:t>T</w:t>
      </w:r>
      <w:r w:rsidRPr="00624339">
        <w:rPr>
          <w:rFonts w:ascii="Courier New" w:eastAsia="Times New Roman" w:hAnsi="Courier New" w:cs="Courier New"/>
          <w:sz w:val="20"/>
          <w:szCs w:val="20"/>
        </w:rPr>
        <w:t>ACGGAGGGTGCAAGCG</w:t>
      </w:r>
      <w:r w:rsidRPr="006D5015">
        <w:rPr>
          <w:rFonts w:ascii="Courier New" w:eastAsia="Times New Roman" w:hAnsi="Courier New" w:cs="Courier New"/>
          <w:sz w:val="20"/>
          <w:szCs w:val="20"/>
        </w:rPr>
        <w:t>TTAATCGGAATTACTGGGCGTAAAGCGCACGCAGGCGGTTTGTTAAGTCAGATGTGAAATCCCCGGGCTCAACCTGGGAA</w:t>
      </w:r>
      <w:r w:rsidRPr="00955BC3">
        <w:rPr>
          <w:rFonts w:ascii="Courier New" w:eastAsia="Times New Roman" w:hAnsi="Courier New" w:cs="Courier New"/>
          <w:sz w:val="20"/>
          <w:szCs w:val="20"/>
        </w:rPr>
        <w:t>CTGCATCTGATACTGGCAAGCTTGAGTCTCGTAGAGGGGGGTAGAATTCCAGGTGTAGCGGTGAAATGCGTAGAGATC</w:t>
      </w:r>
      <w:r w:rsidRPr="001D1ABD">
        <w:rPr>
          <w:rFonts w:ascii="Courier New" w:eastAsia="Times New Roman" w:hAnsi="Courier New" w:cs="Courier New"/>
          <w:sz w:val="20"/>
          <w:szCs w:val="20"/>
        </w:rPr>
        <w:t>TGGAGGAATACCGGTGGCGAAGGCGGCCCCCTGGACGAAGACTGACGCTCAGGTGCGAAAGCGTGGGGAGCAAAC</w:t>
      </w:r>
      <w:r w:rsidRPr="00225662">
        <w:rPr>
          <w:rFonts w:ascii="Courier New" w:eastAsia="Times New Roman" w:hAnsi="Courier New" w:cs="Courier New"/>
          <w:sz w:val="20"/>
          <w:szCs w:val="20"/>
        </w:rPr>
        <w:t>AGG</w:t>
      </w:r>
      <w:r w:rsidRPr="0056208B">
        <w:rPr>
          <w:rFonts w:ascii="Courier New" w:eastAsia="Times New Roman" w:hAnsi="Courier New" w:cs="Courier New"/>
          <w:sz w:val="20"/>
          <w:szCs w:val="20"/>
          <w:u w:val="wave"/>
        </w:rPr>
        <w:t>ATTAGATACCCTGGTAGTCC</w:t>
      </w:r>
      <w:r w:rsidRPr="00225662">
        <w:rPr>
          <w:rFonts w:ascii="Courier New" w:eastAsia="Times New Roman" w:hAnsi="Courier New" w:cs="Courier New"/>
          <w:sz w:val="20"/>
          <w:szCs w:val="20"/>
        </w:rPr>
        <w:t>AC</w:t>
      </w:r>
      <w:r w:rsidRPr="001D1ABD">
        <w:rPr>
          <w:rFonts w:ascii="Courier New" w:eastAsia="Times New Roman" w:hAnsi="Courier New" w:cs="Courier New"/>
          <w:sz w:val="20"/>
          <w:szCs w:val="20"/>
        </w:rPr>
        <w:t>GC</w:t>
      </w:r>
      <w:r w:rsidRPr="00955BC3">
        <w:rPr>
          <w:rFonts w:ascii="Courier New" w:eastAsia="Times New Roman" w:hAnsi="Courier New" w:cs="Courier New"/>
          <w:sz w:val="20"/>
          <w:szCs w:val="20"/>
        </w:rPr>
        <w:t>CGTAAACGATGTCGACTTGGAGGTTGTGCCCTTGAGGCGTGGCTTCCGGAGCTAACGCGTTAAGTCGACCGCCTGGGGAGTACGGCCGCAAGGTTAAA</w:t>
      </w:r>
      <w:r w:rsidRPr="00CF3B0E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ACTCAAATGAATTGACGG</w:t>
      </w:r>
      <w:r w:rsidRPr="00F309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GG</w:t>
      </w:r>
      <w:r w:rsidRPr="00955BC3">
        <w:rPr>
          <w:rFonts w:ascii="Courier New" w:eastAsia="Times New Roman" w:hAnsi="Courier New" w:cs="Courier New"/>
          <w:sz w:val="20"/>
          <w:szCs w:val="20"/>
        </w:rPr>
        <w:t>GCCCGCACAAGCGGTGGAGCATGTGGTTTAATTCGATGC</w:t>
      </w:r>
      <w:r w:rsidRPr="00436F49">
        <w:rPr>
          <w:rFonts w:ascii="Courier New" w:eastAsia="Times New Roman" w:hAnsi="Courier New" w:cs="Courier New"/>
          <w:sz w:val="20"/>
          <w:szCs w:val="20"/>
          <w:highlight w:val="magenta"/>
        </w:rPr>
        <w:t>AACGCGAAGAACCTTAC</w:t>
      </w:r>
      <w:r w:rsidRPr="00955BC3">
        <w:rPr>
          <w:rFonts w:ascii="Courier New" w:eastAsia="Times New Roman" w:hAnsi="Courier New" w:cs="Courier New"/>
          <w:sz w:val="20"/>
          <w:szCs w:val="20"/>
        </w:rPr>
        <w:t>CTGGTCTTGACATCCACGGAAGTTTTCAGAGATGAGAATGTGCCTTCGGGAACCGTGAGACAGGTGCTGCATGGCTGTCGTCAGCTCGTGTTGTGAAATGTTGGGTTAAGTCCCGCAACGAGCGCAACCCTTATCCTTTGTTGCCAGCGGTCCGGCCGGGAACTCAAAGGAGACTGCCAGTGATAAACTGGAGGAAGGTGGGGATGACGTCAAGTCATCATGGCCCTTACGACCAGGGCTACACACGTGCTACAATGGCGCATACAAAGAGAAGCGACCTCGCGAGAGCAAGCGGACCTCATAAAGTGCGTCGTAGTCCGGATTGGAGTCTGCAACTCGACTCCATGAAGTCGGAATCGCTAGTAATCGTGGATCAGAATGCCACGGTGAATACGTTCCCGGGCCTTGTACACACCGCCCGTCACACCATGGGAGTGGGTTGCAAAAGAAGTAGGTAGCTTAACCTTCGGGAGGGCGCTTACCACT</w:t>
      </w:r>
      <w:r w:rsidRPr="00866CAD">
        <w:rPr>
          <w:rFonts w:ascii="Courier New" w:eastAsia="Times New Roman" w:hAnsi="Courier New" w:cs="Courier New"/>
          <w:sz w:val="20"/>
          <w:szCs w:val="20"/>
        </w:rPr>
        <w:t>TTGTGATTCATGACTGGGGTG</w:t>
      </w:r>
      <w:r w:rsidRPr="00436F49">
        <w:rPr>
          <w:rFonts w:ascii="Courier New" w:eastAsia="Times New Roman" w:hAnsi="Courier New" w:cs="Courier New"/>
          <w:sz w:val="20"/>
          <w:szCs w:val="20"/>
          <w:highlight w:val="magenta"/>
        </w:rPr>
        <w:t>AAGTCGTAACAAGGTAACCGTA</w:t>
      </w:r>
      <w:r w:rsidRPr="00866CAD">
        <w:rPr>
          <w:rFonts w:ascii="Courier New" w:eastAsia="Times New Roman" w:hAnsi="Courier New" w:cs="Courier New"/>
          <w:sz w:val="20"/>
          <w:szCs w:val="20"/>
        </w:rPr>
        <w:t>GGGGAACCTGCGGTTGGATCACCTCCTTA</w:t>
      </w:r>
    </w:p>
    <w:p w:rsidR="000E7D79" w:rsidRPr="00ED5220" w:rsidRDefault="000E7D79" w:rsidP="00ED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</w:p>
    <w:p w:rsidR="008857BC" w:rsidRDefault="00ED5220" w:rsidP="00ED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D5220"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  <w:t>Observation note: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For public available 16S databases such as </w:t>
      </w:r>
      <w:proofErr w:type="spellStart"/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Greengenes</w:t>
      </w:r>
      <w:proofErr w:type="spellEnd"/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, SILVA, RDP etc., one important source for building those DBs is from Bacterial 16S Ribosomal RNA </w:t>
      </w:r>
      <w:proofErr w:type="spellStart"/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RefSeq</w:t>
      </w:r>
      <w:proofErr w:type="spellEnd"/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Targeted Loci Project (PRJNA33175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="00436F49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however, those 16S </w:t>
      </w:r>
      <w:proofErr w:type="spellStart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rRNA</w:t>
      </w:r>
      <w:proofErr w:type="spellEnd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RefSeq</w:t>
      </w:r>
      <w:proofErr w:type="spellEnd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sequences are deposited by world-wide researchers, who used universal primers (27F and 1492R) </w:t>
      </w:r>
      <w:r w:rsidRPr="009E30F7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</w:rPr>
        <w:t>often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for generating almost full-length of 16S, but they </w:t>
      </w:r>
      <w:r w:rsidR="000E7D79" w:rsidRPr="009E30F7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</w:rPr>
        <w:t>may or may not</w:t>
      </w:r>
      <w:r w:rsidRPr="009E30F7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</w:rPr>
        <w:t xml:space="preserve"> remove primer sequences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before depositing to NCBI. Thus, using </w:t>
      </w:r>
      <w:r w:rsidR="009E30F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primer </w:t>
      </w:r>
      <w:r w:rsidR="009E30F7"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sequences </w:t>
      </w:r>
      <w:r w:rsidR="009E30F7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of </w:t>
      </w:r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27F and 1492R for looking at the 16S V1 and V9 regions will become challenge. The program </w:t>
      </w:r>
      <w:proofErr w:type="spellStart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Cutadapt</w:t>
      </w:r>
      <w:proofErr w:type="spellEnd"/>
      <w:r w:rsidRPr="00ED522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may also have difficulty to look for V1V3 and V6V9 regions.</w:t>
      </w:r>
    </w:p>
    <w:p w:rsidR="002847E0" w:rsidRDefault="002847E0" w:rsidP="00ED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2847E0" w:rsidRPr="00ED5220" w:rsidRDefault="002847E0" w:rsidP="00ED5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sectPr w:rsidR="002847E0" w:rsidRPr="00ED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F36EA"/>
    <w:multiLevelType w:val="hybridMultilevel"/>
    <w:tmpl w:val="2846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0594D"/>
    <w:multiLevelType w:val="hybridMultilevel"/>
    <w:tmpl w:val="E4F888B6"/>
    <w:lvl w:ilvl="0" w:tplc="3CCA5E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01"/>
    <w:rsid w:val="00001CD0"/>
    <w:rsid w:val="000322D2"/>
    <w:rsid w:val="0006317A"/>
    <w:rsid w:val="00096EC1"/>
    <w:rsid w:val="00096F44"/>
    <w:rsid w:val="000A182A"/>
    <w:rsid w:val="000B4DEC"/>
    <w:rsid w:val="000D35A1"/>
    <w:rsid w:val="000D67AD"/>
    <w:rsid w:val="000E7D79"/>
    <w:rsid w:val="00103D47"/>
    <w:rsid w:val="001324DF"/>
    <w:rsid w:val="00137F41"/>
    <w:rsid w:val="0016752D"/>
    <w:rsid w:val="00176B78"/>
    <w:rsid w:val="00177F23"/>
    <w:rsid w:val="00190C4B"/>
    <w:rsid w:val="001A33D5"/>
    <w:rsid w:val="001B6AC9"/>
    <w:rsid w:val="001D355F"/>
    <w:rsid w:val="001E060A"/>
    <w:rsid w:val="0021763F"/>
    <w:rsid w:val="00217953"/>
    <w:rsid w:val="00225662"/>
    <w:rsid w:val="002728A3"/>
    <w:rsid w:val="002847E0"/>
    <w:rsid w:val="00294F99"/>
    <w:rsid w:val="002A1120"/>
    <w:rsid w:val="002D1E8F"/>
    <w:rsid w:val="00301F7B"/>
    <w:rsid w:val="00303891"/>
    <w:rsid w:val="00316804"/>
    <w:rsid w:val="00317698"/>
    <w:rsid w:val="003217FF"/>
    <w:rsid w:val="003361AA"/>
    <w:rsid w:val="00344198"/>
    <w:rsid w:val="00365861"/>
    <w:rsid w:val="003669AA"/>
    <w:rsid w:val="00384425"/>
    <w:rsid w:val="00391A38"/>
    <w:rsid w:val="00393683"/>
    <w:rsid w:val="003B06B7"/>
    <w:rsid w:val="003D261F"/>
    <w:rsid w:val="003E540D"/>
    <w:rsid w:val="003F7C3E"/>
    <w:rsid w:val="00414079"/>
    <w:rsid w:val="00433857"/>
    <w:rsid w:val="00436F49"/>
    <w:rsid w:val="0044512D"/>
    <w:rsid w:val="00445352"/>
    <w:rsid w:val="0046618A"/>
    <w:rsid w:val="0046642B"/>
    <w:rsid w:val="00477223"/>
    <w:rsid w:val="004B4A78"/>
    <w:rsid w:val="004B52EE"/>
    <w:rsid w:val="004C21E3"/>
    <w:rsid w:val="004C3318"/>
    <w:rsid w:val="004F6807"/>
    <w:rsid w:val="004F6DD6"/>
    <w:rsid w:val="004F7234"/>
    <w:rsid w:val="0050510E"/>
    <w:rsid w:val="005362BE"/>
    <w:rsid w:val="0056208B"/>
    <w:rsid w:val="00567AD3"/>
    <w:rsid w:val="005A277F"/>
    <w:rsid w:val="005B26F4"/>
    <w:rsid w:val="005D0873"/>
    <w:rsid w:val="006029E8"/>
    <w:rsid w:val="00604A83"/>
    <w:rsid w:val="00614F4B"/>
    <w:rsid w:val="00633CF6"/>
    <w:rsid w:val="00635AA3"/>
    <w:rsid w:val="00660CC4"/>
    <w:rsid w:val="00695978"/>
    <w:rsid w:val="006B4391"/>
    <w:rsid w:val="006D5015"/>
    <w:rsid w:val="006E3176"/>
    <w:rsid w:val="007234A4"/>
    <w:rsid w:val="00742277"/>
    <w:rsid w:val="007428CD"/>
    <w:rsid w:val="00744D8E"/>
    <w:rsid w:val="00761741"/>
    <w:rsid w:val="00796169"/>
    <w:rsid w:val="007B7E87"/>
    <w:rsid w:val="007D44FA"/>
    <w:rsid w:val="007D4AF0"/>
    <w:rsid w:val="007E40FA"/>
    <w:rsid w:val="007F77EE"/>
    <w:rsid w:val="0080350B"/>
    <w:rsid w:val="00805A5A"/>
    <w:rsid w:val="00855D97"/>
    <w:rsid w:val="008610E1"/>
    <w:rsid w:val="00863A2D"/>
    <w:rsid w:val="00866CAD"/>
    <w:rsid w:val="00872EEC"/>
    <w:rsid w:val="008803D5"/>
    <w:rsid w:val="008857BC"/>
    <w:rsid w:val="008A3B53"/>
    <w:rsid w:val="008B6D15"/>
    <w:rsid w:val="008F19AD"/>
    <w:rsid w:val="008F24D7"/>
    <w:rsid w:val="00921CE9"/>
    <w:rsid w:val="00930128"/>
    <w:rsid w:val="00931D13"/>
    <w:rsid w:val="00955BC3"/>
    <w:rsid w:val="00971C6D"/>
    <w:rsid w:val="00987214"/>
    <w:rsid w:val="00993DD5"/>
    <w:rsid w:val="009E30F7"/>
    <w:rsid w:val="00A02FD9"/>
    <w:rsid w:val="00A1324D"/>
    <w:rsid w:val="00A2725A"/>
    <w:rsid w:val="00A41B60"/>
    <w:rsid w:val="00A81504"/>
    <w:rsid w:val="00A917C3"/>
    <w:rsid w:val="00AA58CE"/>
    <w:rsid w:val="00AD5642"/>
    <w:rsid w:val="00AD638F"/>
    <w:rsid w:val="00B113A2"/>
    <w:rsid w:val="00B55F1D"/>
    <w:rsid w:val="00B64828"/>
    <w:rsid w:val="00B71A4A"/>
    <w:rsid w:val="00B87D94"/>
    <w:rsid w:val="00B974F2"/>
    <w:rsid w:val="00BA3FEB"/>
    <w:rsid w:val="00BB21A3"/>
    <w:rsid w:val="00BB3E75"/>
    <w:rsid w:val="00BC1A1B"/>
    <w:rsid w:val="00C00A9F"/>
    <w:rsid w:val="00C04759"/>
    <w:rsid w:val="00C324DD"/>
    <w:rsid w:val="00C460FD"/>
    <w:rsid w:val="00C50E79"/>
    <w:rsid w:val="00C66D01"/>
    <w:rsid w:val="00CD3FEC"/>
    <w:rsid w:val="00CF506B"/>
    <w:rsid w:val="00D34B18"/>
    <w:rsid w:val="00D427F3"/>
    <w:rsid w:val="00D42987"/>
    <w:rsid w:val="00D626B2"/>
    <w:rsid w:val="00D7268B"/>
    <w:rsid w:val="00D827F1"/>
    <w:rsid w:val="00D90544"/>
    <w:rsid w:val="00DA23AF"/>
    <w:rsid w:val="00E049EF"/>
    <w:rsid w:val="00E11947"/>
    <w:rsid w:val="00E55324"/>
    <w:rsid w:val="00E55724"/>
    <w:rsid w:val="00E86682"/>
    <w:rsid w:val="00EB1CEC"/>
    <w:rsid w:val="00EC5873"/>
    <w:rsid w:val="00ED5220"/>
    <w:rsid w:val="00EE581A"/>
    <w:rsid w:val="00F049DE"/>
    <w:rsid w:val="00F248D8"/>
    <w:rsid w:val="00F30979"/>
    <w:rsid w:val="00F47E0F"/>
    <w:rsid w:val="00F74B03"/>
    <w:rsid w:val="00FF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7E753-744E-402F-B456-B1C51EED8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AD"/>
    <w:pPr>
      <w:ind w:left="720"/>
      <w:contextualSpacing/>
    </w:pPr>
  </w:style>
  <w:style w:type="table" w:styleId="TableGrid">
    <w:name w:val="Table Grid"/>
    <w:basedOn w:val="TableNormal"/>
    <w:uiPriority w:val="39"/>
    <w:rsid w:val="007E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2E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4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75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3ECF-1339-4C2C-B31D-1FE620CC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Qinglong</dc:creator>
  <cp:keywords/>
  <dc:description/>
  <cp:lastModifiedBy>Wu, Qinglong</cp:lastModifiedBy>
  <cp:revision>8</cp:revision>
  <dcterms:created xsi:type="dcterms:W3CDTF">2019-07-10T14:48:00Z</dcterms:created>
  <dcterms:modified xsi:type="dcterms:W3CDTF">2019-07-10T19:28:00Z</dcterms:modified>
</cp:coreProperties>
</file>