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textAlignment w:val="center"/>
        <w:rPr>
          <w:rFonts w:ascii="宋体" w:hAnsi="宋体"/>
          <w:b/>
          <w:sz w:val="32"/>
        </w:rPr>
      </w:pPr>
      <w:r>
        <w:rPr>
          <w:rFonts w:ascii="宋体" w:hAnsi="宋体"/>
          <w:b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12357100</wp:posOffset>
            </wp:positionH>
            <wp:positionV relativeFrom="topMargin">
              <wp:posOffset>10782300</wp:posOffset>
            </wp:positionV>
            <wp:extent cx="393700" cy="304800"/>
            <wp:effectExtent l="0" t="0" r="0" b="0"/>
            <wp:wrapNone/>
            <wp:docPr id="100016" name="图片 10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6" name="图片 10001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Hlk105690326"/>
    </w:p>
    <w:p>
      <w:pPr>
        <w:spacing w:line="360" w:lineRule="auto"/>
        <w:jc w:val="center"/>
        <w:textAlignment w:val="center"/>
        <w:rPr>
          <w:rFonts w:ascii="宋体" w:hAnsi="宋体"/>
          <w:b/>
          <w:sz w:val="32"/>
        </w:rPr>
      </w:pPr>
      <w:r>
        <w:rPr>
          <w:rFonts w:ascii="宋体" w:hAnsi="宋体"/>
          <w:b/>
          <w:sz w:val="3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12611100</wp:posOffset>
            </wp:positionH>
            <wp:positionV relativeFrom="topMargin">
              <wp:posOffset>10350500</wp:posOffset>
            </wp:positionV>
            <wp:extent cx="254000" cy="355600"/>
            <wp:effectExtent l="0" t="0" r="12700" b="6350"/>
            <wp:wrapNone/>
            <wp:docPr id="100021" name="图片 100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/>
          <w:b/>
          <w:sz w:val="32"/>
        </w:rPr>
        <w:t>2022年普通高等学校招生全国统一考试（全国乙卷）</w:t>
      </w:r>
    </w:p>
    <w:p>
      <w:pPr>
        <w:spacing w:line="360" w:lineRule="auto"/>
        <w:jc w:val="center"/>
        <w:textAlignment w:val="center"/>
        <w:rPr>
          <w:rFonts w:ascii="宋体" w:hAnsi="宋体"/>
          <w:b/>
          <w:sz w:val="32"/>
        </w:rPr>
      </w:pPr>
      <w:r>
        <w:rPr>
          <w:rFonts w:ascii="宋体" w:hAnsi="宋体"/>
          <w:b/>
          <w:sz w:val="32"/>
        </w:rPr>
        <w:t>地理</w:t>
      </w:r>
    </w:p>
    <w:p>
      <w:pPr>
        <w:spacing w:line="360" w:lineRule="auto"/>
        <w:jc w:val="center"/>
        <w:textAlignment w:val="center"/>
        <w:rPr>
          <w:rFonts w:ascii="宋体" w:hAnsi="宋体"/>
          <w:b/>
          <w:sz w:val="32"/>
        </w:rPr>
      </w:pPr>
      <w:r>
        <w:rPr>
          <w:rFonts w:hint="eastAsia" w:ascii="宋体" w:hAnsi="宋体"/>
          <w:b/>
          <w:sz w:val="32"/>
        </w:rPr>
        <w:t>参考答案</w:t>
      </w:r>
    </w:p>
    <w:p>
      <w:pPr>
        <w:spacing w:line="360" w:lineRule="auto"/>
        <w:jc w:val="center"/>
        <w:textAlignment w:val="center"/>
        <w:rPr>
          <w:rFonts w:ascii="宋体" w:hAnsi="宋体"/>
          <w:b/>
          <w:sz w:val="32"/>
        </w:rPr>
      </w:pPr>
    </w:p>
    <w:p>
      <w:pPr>
        <w:spacing w:line="360" w:lineRule="auto"/>
        <w:jc w:val="left"/>
        <w:textAlignment w:val="center"/>
      </w:pPr>
      <w:r>
        <w:rPr>
          <w:rFonts w:ascii="宋体" w:hAnsi="宋体"/>
          <w:b/>
          <w:sz w:val="24"/>
        </w:rPr>
        <w:t>一、选择题:本题共11小题,每小题4分,共44分。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1. A    2. D    3. 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4. D    5. B    6. 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7. A    8. 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9. C    10. D    11. B</w:t>
      </w:r>
    </w:p>
    <w:p>
      <w:pPr>
        <w:spacing w:line="360" w:lineRule="auto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二、非选择题:第12、13题为必做题,第14、15题为选做题,共56分。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（1）以色列西部临海，海水淡化厂空间分布不均，主要集中在以色列西部，海水原料资源丰富；西部地区降水量较大，气候相对适宜，人口密度较大；接近重要城市和一般城市，用水需求大，市场广阔；接近城市能为其提供基础设施(管线)、技术、人才、资金等支撑；邻近供水(主)管道，便于形成统一的供水网络。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（2）保障海水淡化厂(蒸汽和高温水所需的)能源供应，进而保障海水淡化厂生产的连续和供应淡水的稳定；降低海水淡化厂进口煤炭的生产成本；避免对国外煤炭的依赖，提高自给率，维护国家安全；共同利用基础设施，节约生产建设投资；提高能源的利用率，减少天然气发电厂废弃物的排放。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（3）缓解以色列淡水资源供应不足的矛盾；满足以色列中东部内陆地区的用水需求；调节淡化水量，提高水资源利用率，避免“弃水”；提高海水淡化厂的经济效益。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4）通过增大淡水需求，扩大海水淡化产业的规模；延长产业链和价值链，扩大海水淡化产业的利润；改善生态环境，提高海水淡化产业的生态价值；便于海水淡化产业获得更多的政策支持，取得持续发展；为海水淡化产业提供可靠的淡水满足生产生活需求。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13. （1）</w:t>
      </w:r>
      <w:r>
        <w:rPr>
          <w:rFonts w:ascii="宋体" w:hAnsi="宋体"/>
          <w:color w:val="000000"/>
        </w:rPr>
        <w:t>海平面上升，消融区陆面上升。冰盖消融期，海平面上升幅度超过陆面上升幅度，海岸线向陆地方向推进；冰盖消融后，陆面上升幅度超过海平面上升幅度，海岸线向海洋方向退缩。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（2）</w:t>
      </w:r>
      <w:r>
        <w:rPr>
          <w:rFonts w:ascii="宋体" w:hAnsi="宋体"/>
          <w:color w:val="000000"/>
        </w:rPr>
        <w:t>甲地位于基岩海岸，冰盖覆盖时，岩层受压导致陆面下沉，冰盖消融后，岩层承压减轻，岩层形变缓慢恢复，使得陆面上升；甲站位于板块交界处，板块运动导致甲站陆面抬升。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（3）</w:t>
      </w:r>
      <w:r>
        <w:rPr>
          <w:rFonts w:ascii="宋体" w:hAnsi="宋体"/>
          <w:color w:val="000000"/>
        </w:rPr>
        <w:t>大量排放温室气体，导致气候变暖，加速冰川消融和海水热膨胀，导致海平面上升；密西西比河流域内水利设施拦水拦沙，导致河口三角洲萎缩，海岸线向陆地推进。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（4）</w:t>
      </w:r>
      <w:r>
        <w:rPr>
          <w:rFonts w:ascii="宋体" w:hAnsi="宋体"/>
          <w:color w:val="000000"/>
        </w:rPr>
        <w:t>甲站区域位于太平洋北岸，海平面下降，海岸线向南移动，由于基岩海岸陡峭，海岸线在水平方向上变化幅度较小；乙站区域南侧临海，海平面上升，海岸线向北移动，由于三角洲地势平缓，在水平方向上变化幅度较大。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14. 有利影响：为旅游者提供经典的、有代表性的观赏方位和角度；利于塑造风景的典型形象，形成 品牌，提高知名度；观景台本身可能在形态、位置、景观方面突出，也是景点之一；为旅游者提供服 务，提高接待条件；约束了游客肆意扩大游览范围对环境的干扰。 不利影响：限制了旅游者观赏的角度和范围；不利于游客以情观景，缺乏个性化体验；部分观景台与 风景格格不入，破坏整体景观的和谐。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15. 氮素含量增加，不再成为当地土壤牧草生长的主要限制性因素，禾本科牧草能够获得相对充足的 氮素供应，长势改善，能竞争到更多的生长空间，覆盖度和多样性提高；豆科牧草在种间竞争中的优 势减弱，部分资源被禾本科牧草侵占，覆盖度和多样性减小。总体上，群落结构改变，多样性增大， 但优质的豆科牧草减少，杂类草增加。</w:t>
      </w:r>
    </w:p>
    <w:bookmarkEnd w:id="0"/>
    <w:p>
      <w:pPr>
        <w:sectPr>
          <w:headerReference r:id="rId3" w:type="default"/>
          <w:footerReference r:id="rId4" w:type="default"/>
          <w:pgSz w:w="11906" w:h="16838"/>
          <w:pgMar w:top="1440" w:right="1800" w:bottom="1440" w:left="1800" w:header="708" w:footer="708" w:gutter="0"/>
          <w:cols w:space="708" w:num="1"/>
        </w:sectPr>
      </w:pPr>
    </w:p>
    <w:p>
      <w:bookmarkStart w:id="1" w:name="_GoBack"/>
      <w:bookmarkEnd w:id="1"/>
    </w:p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shape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  <w:p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5" o:spid="_x0000_s2055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6" o:spid="_x0000_s2056" o:spt="75" alt="学科网 zxxk.com" type="#_x0000_t75" style="position:absolute;left:0pt;margin-left:64.05pt;margin-top:-20.75pt;height:0.05pt;width:0.0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o:title="%7B75232B38-A165-1FB7-499C-2E1C792CACB5%7D"/>
          <o:lock v:ext="edit" aspectratio="t"/>
        </v:shape>
      </w:pict>
    </w:r>
    <w:r>
      <w:rPr>
        <w:color w:val="FFFFFF"/>
        <w:sz w:val="2"/>
        <w:szCs w:val="2"/>
      </w:rPr>
      <w:pict>
        <v:shape id="_x0000_i1025" o:spt="136" alt="学科网 zxxk.com" type="#_x0000_t136" style="height:0.75pt;width:0.7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text-align:center;v-text-spacing:78650f;"/>
          <w10:wrap type="none"/>
          <w10:anchorlock/>
        </v:shape>
      </w:pict>
    </w:r>
  </w:p>
  <w:p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_x0000_s2051" o:spid="_x0000_s2051" o:spt="75" alt="学科网 zxxk.com" type="#_x0000_t75" style="position:absolute;left:0pt;margin-left:351pt;margin-top:8.45pt;height:0.75pt;width:0.7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6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UzMTZkYjU5YzZlZWUwMTZjZDUxNGE1OWEyNmU1MmYifQ=="/>
  </w:docVars>
  <w:rsids>
    <w:rsidRoot w:val="00A07DF2"/>
    <w:rsid w:val="00005EBC"/>
    <w:rsid w:val="00016BFA"/>
    <w:rsid w:val="000460FF"/>
    <w:rsid w:val="00054E7B"/>
    <w:rsid w:val="000B4E15"/>
    <w:rsid w:val="000E4D02"/>
    <w:rsid w:val="000F093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C4A95"/>
    <w:rsid w:val="003D0C09"/>
    <w:rsid w:val="004062F6"/>
    <w:rsid w:val="004151FC"/>
    <w:rsid w:val="00435F83"/>
    <w:rsid w:val="0046214C"/>
    <w:rsid w:val="0049183B"/>
    <w:rsid w:val="004B7AC5"/>
    <w:rsid w:val="004D44FD"/>
    <w:rsid w:val="00567E50"/>
    <w:rsid w:val="0059145F"/>
    <w:rsid w:val="00592D30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74E0F"/>
    <w:rsid w:val="00982128"/>
    <w:rsid w:val="009A27BF"/>
    <w:rsid w:val="009B5666"/>
    <w:rsid w:val="009C4252"/>
    <w:rsid w:val="009E203F"/>
    <w:rsid w:val="00A07DF2"/>
    <w:rsid w:val="00A26D4E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2A1B116E"/>
    <w:rsid w:val="38274566"/>
    <w:rsid w:val="44BD5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uiPriority w:val="99"/>
    <w:rPr>
      <w:color w:val="0000FF"/>
      <w:u w:val="single"/>
    </w:rPr>
  </w:style>
  <w:style w:type="character" w:customStyle="1" w:styleId="7">
    <w:name w:val="页眉 字符"/>
    <w:basedOn w:val="5"/>
    <w:link w:val="3"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49"/>
    <customShpInfo spid="_x0000_s2051"/>
    <customShpInfo spid="_x0000_s2053"/>
    <customShpInfo spid="_x0000_s2054"/>
    <customShpInfo spid="_x0000_s2055"/>
    <customShpInfo spid="_x0000_s205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92971F0-FB63-4391-9891-E286252968E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3</Pages>
  <Words>1234</Words>
  <Characters>1265</Characters>
  <Lines>9</Lines>
  <Paragraphs>2</Paragraphs>
  <TotalTime>5</TotalTime>
  <ScaleCrop>false</ScaleCrop>
  <LinksUpToDate>false</LinksUpToDate>
  <CharactersWithSpaces>1338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2022-06-09T17:51:00Z</dcterms:created>
  <dc:creator>学科网试题生产平台</dc:creator>
  <dc:description>2997503428075520</dc:description>
  <cp:lastModifiedBy>king   hero</cp:lastModifiedBy>
  <dcterms:modified xsi:type="dcterms:W3CDTF">2022-06-09T14:22:26Z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2052-11.1.0.11744</vt:lpwstr>
  </property>
  <property fmtid="{D5CDD505-2E9C-101B-9397-08002B2CF9AE}" pid="7" name="ICV">
    <vt:lpwstr>6B34732764FC4C98BAA452DAEDD478ED</vt:lpwstr>
  </property>
</Properties>
</file>