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pict>
          <v:shape id="_x0000_s1026" o:spid="_x0000_s1026" o:spt="75" type="#_x0000_t75" style="position:absolute;left:0pt;margin-left:861pt;margin-top:842pt;height:25pt;width:3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</w:pict>
      </w:r>
      <w:r>
        <w:rPr>
          <w:b/>
          <w:color w:val="000000"/>
          <w:sz w:val="32"/>
          <w:szCs w:val="32"/>
        </w:rPr>
        <w:t>2022年普通高等学校招生全国统一考试（全国乙卷）</w:t>
      </w:r>
    </w:p>
    <w:p>
      <w:pPr>
        <w:adjustRightInd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历史</w:t>
      </w:r>
    </w:p>
    <w:p>
      <w:pPr>
        <w:adjustRightInd w:val="0"/>
        <w:spacing w:line="360" w:lineRule="auto"/>
        <w:rPr>
          <w:rFonts w:hint="eastAsia"/>
          <w:szCs w:val="21"/>
        </w:rPr>
      </w:pPr>
      <w:r>
        <w:rPr>
          <w:szCs w:val="21"/>
        </w:rPr>
        <w:t>24． 据图4可知，商、西周青铜器铸造的繁荣（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pict>
          <v:shape id="_x0000_i1025" o:spt="75" type="#_x0000_t75" style="height:193.35pt;width:227.35pt;" filled="f" o:preferrelative="t" stroked="f" coordsize="21600,21600">
            <v:path/>
            <v:fill on="f" focussize="0,0"/>
            <v:stroke on="f" joinstyle="miter"/>
            <v:imagedata r:id="rId8" o:title="b53e6b2e77c416a1a8ef3d029e92063"/>
            <o:lock v:ext="edit" aspectratio="t"/>
            <w10:wrap type="none"/>
            <w10:anchorlock/>
          </v:shape>
        </w:pic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A．推动了南北农业经济进步     B．依赖大规模商业活动开展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C．反映了南北方联系的加强     D．缘于统治区域扩大到江南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25．盛唐洋溢着刚健丰伟、庄重博大的时代气象，这在书法艺术上亦有体现。宋代书法家米芾推崇唐代某位书法家的作品“如项羽挂甲，樊哙排突，硬弩欲张，铁柱将立，昂然有不可犯之色”。能够突出体现这一风格的书体是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A．小篆     B．楷书     C．行书     D．草书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26．宋朝在州府设通判，重要州府设两名，民户少的州可以不置，但若武官任知州，则必置。通判有自己专属的衙门通判厅，与知州（府）共议政务、同署文书，“有军旅之事，则专任钱粮之责”。据此可知，设置通判的主要目的是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A．规范地方行政     B．防止武人干政       C．提升军事能力     D．削弱州府权力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27．明后期有士人称，江南流行“好名喜夸”之风，家中但凡有千金之产，必定会营建一园，“近聚土壤，远延木石，聊以矜眩于一时耳”，但“俗气扑人”。这可用于说明（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A．士大夫传统观念的颠覆     B．世俗化审美趣味的初现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C．士农工商社会结构解体     D．江南市镇工商业的繁荣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28．维新变法期间，湖南巡抚陈宝箴推行变法改革，但在上《请厘正学术造就人才折》中称“康有为平日所著《孔子改制考》一书</w:t>
      </w:r>
      <w:r>
        <w:rPr>
          <w:rFonts w:ascii="宋体" w:hAnsi="宋体"/>
          <w:szCs w:val="21"/>
        </w:rPr>
        <w:t>……</w:t>
      </w:r>
      <w:r>
        <w:rPr>
          <w:szCs w:val="21"/>
        </w:rPr>
        <w:t>其徒和之，持之愈坚，失之愈远，嚣然自命，号为‘康学’，而民权平等之说炽矣”，并奏请销毁《孔子改制考》。这种主张（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A．推动了新旧势力的合流     B．试图突破</w:t>
      </w:r>
      <w:r>
        <w:rPr>
          <w:rFonts w:hint="eastAsia"/>
          <w:szCs w:val="21"/>
        </w:rPr>
        <w:t>“</w:t>
      </w:r>
      <w:r>
        <w:rPr>
          <w:szCs w:val="21"/>
        </w:rPr>
        <w:t>中体西用</w:t>
      </w:r>
      <w:r>
        <w:rPr>
          <w:rFonts w:hint="eastAsia"/>
          <w:szCs w:val="21"/>
        </w:rPr>
        <w:t>”</w:t>
      </w:r>
      <w:r>
        <w:rPr>
          <w:szCs w:val="21"/>
        </w:rPr>
        <w:t>束缚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C．有助于减少变法的阻力     D．意在彻底否定变法理论基础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29．据某位学者回忆，“‘五四’初期，一般人多以新旧分别事物”，中国古来已有的一概称为旧，古来未有或来自外国的一概称为新；不久，有了“更高的判别的准绳</w:t>
      </w:r>
      <w:r>
        <w:rPr>
          <w:rFonts w:ascii="宋体" w:hAnsi="宋体"/>
          <w:szCs w:val="21"/>
        </w:rPr>
        <w:t>……</w:t>
      </w:r>
      <w:r>
        <w:rPr>
          <w:szCs w:val="21"/>
        </w:rPr>
        <w:t>对于古今、中外能够排好恰当的关系”，并不一概否定或肯定。这一转变反映出（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A．东西方文化论争由此引发     B．传统儒学思想开始受到批判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C．全盘西化的思想得以消除     D．思想解放运动方向发生变化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30．20世纪30年代，中共中央决定将苏维埃工农共和国改变为苏维埃人民共和国，政策调整为：给一切革命的小资产阶级及其知识分子以选举权和被选举权，停止没收富农的土地及财产，允许有产阶级代表参加苏区政权管理工作，等等。上述调整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A．适应建立抗日民族统一战线的需要       B．是为武装反抗国民党进行社会动员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C．表明党的中心工作以夺取城市为目标     D．为建立民主联合政府争取广泛的支持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 xml:space="preserve">31． 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pict>
          <v:shape id="_x0000_i1026" o:spt="75" type="#_x0000_t75" style="height:119.35pt;width:254.65pt;" filled="f" o:preferrelative="t" stroked="f" coordsize="21600,21600">
            <v:path/>
            <v:fill on="f" focussize="0,0"/>
            <v:stroke on="f" joinstyle="miter"/>
            <v:imagedata r:id="rId9" cropright="2292f" cropbottom="2485f" o:title=""/>
            <o:lock v:ext="edit" aspectratio="t"/>
            <w10:wrap type="none"/>
            <w10:anchorlock/>
          </v:shape>
        </w:pic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图5是1978年与1986年北京郊区男户主职业占比变化情况。这一变化的产生主要是由于（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A．城市经济体制改革开始酝酿     B．农村经济体制改革深化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C．城乡之间的差异呈缩小趋势     D．城市产业结构日益完善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32．据学者研究，古代雅典官员在接受任职资格审查时，需要回答：直系亲属姓名及男性亲属所在村社名称、崇拜的神祗及其圣所所在地、墓葬方位、是否善待双亲、是否纳税、是否服兵役等。下列属于成为古代雅典官员前提条件的是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A．军事才能、宗教信仰     B．道德品质、演说能力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C．丰厚财力、贵族血统     D．本邦籍贯、成年男性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33．16世纪中叶，法国人帕斯基耶写作《法国研究》时说，“我用俗语（而非拉丁语）写作”；布代的《论钱币》处处流露出捍卫法国文化并与意大利人竞争的意识。有学者因此认为，16世纪是“法国意识”萌发的世纪。据此可知，“法国意识”的萌发缘于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A．人文主义思想的广泛传播     B．新兴阶层摆脱宗教神权束缚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C．资本主义经济的迅猛发展     D．</w:t>
      </w:r>
      <w:r>
        <w:rPr>
          <w:rFonts w:ascii="宋体" w:hAnsi="宋体"/>
          <w:szCs w:val="21"/>
        </w:rPr>
        <w:t>“人民主权”</w:t>
      </w:r>
      <w:r>
        <w:rPr>
          <w:szCs w:val="21"/>
        </w:rPr>
        <w:t>学说深入人心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34．1879年，德国杜伊斯堡成为世界最大内河港口，输入矿砂和粮食，输出煤和钢铁制品。1900年，德国船队总吨位由1870年不足百万吨发展至近200万吨，成为蒸汽时代以来第一个能与大英帝国一争高低的船队。由此可知，这一时期的德国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A．已经确立</w:t>
      </w:r>
      <w:r>
        <w:rPr>
          <w:rFonts w:ascii="宋体" w:hAnsi="宋体"/>
          <w:szCs w:val="21"/>
        </w:rPr>
        <w:t>“世界工厂”</w:t>
      </w:r>
      <w:r>
        <w:rPr>
          <w:szCs w:val="21"/>
        </w:rPr>
        <w:t>的地位       B．航运业的发展助长其海外扩张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C．海上实力飞跃源于蒸汽机的改进     D．共和政体确立推动经济飞速发展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35．1917年3月中旬，加米涅夫和斯大林连续发表文章，主张只要临时政府不直接危及群众利益，就应给予支持；要求放弃无条件反对战争的立场，改行对临时政府施加压力以迫其开始和谈的策略。这个主张得到了党内大多数人的支持。这表明当时（    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A．临时政府反对继续进行帝国主义战争       B．沙皇残余势力仍对革命存在严重威胁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C．布尔什维克党对革命形势认识尚不明晰     D．国际局势不利于俄国革命持续深入发展</w:t>
      </w:r>
    </w:p>
    <w:p>
      <w:pPr>
        <w:adjustRightInd w:val="0"/>
        <w:spacing w:line="360" w:lineRule="auto"/>
        <w:rPr>
          <w:szCs w:val="21"/>
        </w:rPr>
      </w:pP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41．阅读材料，完成下列要求。（25分）</w:t>
      </w:r>
    </w:p>
    <w:p>
      <w:pPr>
        <w:adjustRightInd w:val="0"/>
        <w:spacing w:line="360" w:lineRule="auto"/>
        <w:rPr>
          <w:b/>
          <w:szCs w:val="21"/>
        </w:rPr>
      </w:pPr>
      <w:r>
        <w:rPr>
          <w:b/>
          <w:szCs w:val="21"/>
        </w:rPr>
        <w:t>材料一</w:t>
      </w:r>
    </w:p>
    <w:p>
      <w:pPr>
        <w:adjustRightInd w:val="0"/>
        <w:spacing w:line="360" w:lineRule="auto"/>
        <w:ind w:firstLine="420" w:firstLineChars="200"/>
        <w:rPr>
          <w:rFonts w:eastAsia="楷体"/>
          <w:szCs w:val="21"/>
        </w:rPr>
      </w:pPr>
      <w:r>
        <w:rPr>
          <w:rFonts w:eastAsia="楷体"/>
          <w:szCs w:val="21"/>
        </w:rPr>
        <w:t>20世纪50年代，日本颁布“外资法”等一系列法规，加强对技术引进的管理。政府有关部门根据不同时期经济发展的需要，列出鼓励进口和限制进口的技术项目，对私人企业的技术引进加以指导。其后，日本政府逐渐放宽引进技术的管理和审查标准。企业决定引进方式和内容，并承担引进过程中的一切风险，所引进的技术主要来自欧美。1962年到1966年，在企业提出的技术引进申请中，有90.4%获得了批准。</w:t>
      </w:r>
    </w:p>
    <w:p>
      <w:pPr>
        <w:adjustRightInd w:val="0"/>
        <w:spacing w:line="360" w:lineRule="auto"/>
        <w:ind w:firstLine="420" w:firstLineChars="200"/>
        <w:jc w:val="right"/>
        <w:rPr>
          <w:rFonts w:eastAsia="楷体"/>
          <w:szCs w:val="21"/>
        </w:rPr>
      </w:pPr>
      <w:r>
        <w:rPr>
          <w:rFonts w:eastAsia="楷体"/>
          <w:szCs w:val="21"/>
        </w:rPr>
        <w:t>——摘编自王永生《技术进步及其组织——日本的经验与中国的实践》等</w:t>
      </w:r>
    </w:p>
    <w:p>
      <w:pPr>
        <w:adjustRightInd w:val="0"/>
        <w:spacing w:line="360" w:lineRule="auto"/>
        <w:rPr>
          <w:b/>
          <w:szCs w:val="21"/>
        </w:rPr>
      </w:pPr>
      <w:r>
        <w:rPr>
          <w:b/>
          <w:szCs w:val="21"/>
        </w:rPr>
        <w:t>材料二</w:t>
      </w:r>
    </w:p>
    <w:p>
      <w:pPr>
        <w:adjustRightInd w:val="0"/>
        <w:spacing w:line="360" w:lineRule="auto"/>
        <w:ind w:firstLine="420" w:firstLineChars="200"/>
        <w:rPr>
          <w:rFonts w:eastAsia="楷体"/>
          <w:szCs w:val="21"/>
        </w:rPr>
      </w:pPr>
      <w:r>
        <w:rPr>
          <w:rFonts w:eastAsia="楷体"/>
          <w:szCs w:val="21"/>
        </w:rPr>
        <w:t>新中国成立后即确立发展科技的方针。1956年，国家制定12年科技规划，明确提出在进行科学研究时，应该首先掌握世界现有的先进科学成就，在开展国际科学合作时应力求自力更生。在技术引进方面，50年代，由苏联援建、成套供应设备的项目共计304项；由东欧各国援建、成套供应设备的建设项目共116项。引进成套设备的同时，还重视引进科学技术、人才、资金和管理经验。1960年，苏联政府决定撤走全部在华专家。这以后，我国完全依靠自己的力量发展国防尖端科学技术。</w:t>
      </w:r>
    </w:p>
    <w:p>
      <w:pPr>
        <w:adjustRightInd w:val="0"/>
        <w:spacing w:line="360" w:lineRule="auto"/>
        <w:ind w:firstLine="420" w:firstLineChars="200"/>
        <w:jc w:val="right"/>
        <w:rPr>
          <w:rFonts w:eastAsia="楷体"/>
          <w:szCs w:val="21"/>
        </w:rPr>
      </w:pPr>
      <w:r>
        <w:rPr>
          <w:rFonts w:eastAsia="楷体"/>
          <w:szCs w:val="21"/>
        </w:rPr>
        <w:t>——摘编自杨德才等《二十世纪中国科学技术史稿》等</w:t>
      </w:r>
    </w:p>
    <w:p>
      <w:pPr>
        <w:adjustRightInd w:val="0"/>
        <w:spacing w:line="360" w:lineRule="auto"/>
        <w:rPr>
          <w:b/>
          <w:szCs w:val="21"/>
        </w:rPr>
      </w:pPr>
      <w:r>
        <w:rPr>
          <w:b/>
          <w:szCs w:val="21"/>
        </w:rPr>
        <w:t>材料三</w:t>
      </w:r>
    </w:p>
    <w:p>
      <w:pPr>
        <w:adjustRightInd w:val="0"/>
        <w:spacing w:line="360" w:lineRule="auto"/>
        <w:ind w:firstLine="420" w:firstLineChars="200"/>
        <w:rPr>
          <w:rFonts w:eastAsia="楷体"/>
          <w:szCs w:val="21"/>
        </w:rPr>
      </w:pPr>
      <w:r>
        <w:rPr>
          <w:rFonts w:eastAsia="楷体"/>
          <w:szCs w:val="21"/>
        </w:rPr>
        <w:t>20世纪五六十年代，中国面对着严峻的国际形势。党中央果断决定研制“两弹一星”，重点突破国防尖端技术。中央确定我国国防尖端科技的发展，要坚持自力更生为主、力争外援和利用资本主义国家已有的科学成果的方针，强调把立足点放在自力更生的基础上，通过自己的科学研究和实践，培养人才，掌握技术。</w:t>
      </w:r>
    </w:p>
    <w:p>
      <w:pPr>
        <w:adjustRightInd w:val="0"/>
        <w:spacing w:line="360" w:lineRule="auto"/>
        <w:ind w:firstLine="420" w:firstLineChars="200"/>
        <w:jc w:val="right"/>
        <w:rPr>
          <w:rFonts w:eastAsia="楷体"/>
          <w:szCs w:val="21"/>
        </w:rPr>
      </w:pPr>
      <w:r>
        <w:rPr>
          <w:rFonts w:eastAsia="楷体"/>
          <w:szCs w:val="21"/>
        </w:rPr>
        <w:t>——据中共中央党史研究室《中国共产党历史》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（1）根据材料一、二，概括20世纪五六十年代中日两国技术引进的特点。（8分）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（2）根据材料并结合所学知识，分析中日技术引进呈现不同特点的背景。（12分）</w:t>
      </w:r>
    </w:p>
    <w:p>
      <w:pPr>
        <w:adjustRightInd w:val="0"/>
        <w:spacing w:line="360" w:lineRule="auto"/>
        <w:rPr>
          <w:szCs w:val="21"/>
        </w:rPr>
      </w:pPr>
      <w:r>
        <w:rPr>
          <w:szCs w:val="21"/>
        </w:rPr>
        <w:t>（3）根据材料并结合所学知识，简析20世纪五六十年代中国科技发展的历史经验。（5分）</w:t>
      </w:r>
    </w:p>
    <w:p>
      <w:pPr>
        <w:spacing w:line="360" w:lineRule="auto"/>
      </w:pPr>
      <w:r>
        <w:t>42．阅读材料，完成下列要求。（12分）</w:t>
      </w:r>
    </w:p>
    <w:p>
      <w:pPr>
        <w:pStyle w:val="32"/>
        <w:spacing w:line="360" w:lineRule="auto"/>
        <w:rPr>
          <w:rFonts w:ascii="Times New Roman" w:hAnsi="Times New Roman" w:eastAsia="宋体"/>
          <w:b/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材料</w:t>
      </w:r>
    </w:p>
    <w:p>
      <w:pPr>
        <w:pStyle w:val="32"/>
        <w:spacing w:line="360" w:lineRule="auto"/>
        <w:ind w:firstLine="420"/>
        <w:rPr>
          <w:rFonts w:ascii="Times New Roman" w:hAnsi="Times New Roman" w:eastAsia="楷体"/>
          <w:sz w:val="21"/>
          <w:szCs w:val="21"/>
        </w:rPr>
      </w:pPr>
      <w:r>
        <w:rPr>
          <w:rFonts w:ascii="Times New Roman" w:hAnsi="Times New Roman" w:eastAsia="楷体"/>
          <w:sz w:val="21"/>
          <w:szCs w:val="21"/>
        </w:rPr>
        <w:t>解读史料，获得历史认识，探寻史料表象背后的意蕴，是历史学的魅力所在。下表为史书所载东汉时期几位良吏的事迹。</w:t>
      </w:r>
    </w:p>
    <w:p>
      <w:pPr>
        <w:spacing w:line="360" w:lineRule="auto"/>
        <w:jc w:val="center"/>
        <w:rPr>
          <w:szCs w:val="21"/>
        </w:rPr>
      </w:pPr>
      <w:r>
        <w:rPr>
          <w:szCs w:val="21"/>
        </w:rPr>
        <w:t>表2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530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姓名</w:t>
            </w:r>
          </w:p>
        </w:tc>
        <w:tc>
          <w:tcPr>
            <w:tcW w:w="1530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任职地</w:t>
            </w:r>
          </w:p>
        </w:tc>
        <w:tc>
          <w:tcPr>
            <w:tcW w:w="614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事迹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刘陵</w:t>
            </w:r>
          </w:p>
        </w:tc>
        <w:tc>
          <w:tcPr>
            <w:tcW w:w="153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安成</w:t>
            </w:r>
          </w:p>
          <w:p>
            <w:pPr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（今属江西）</w:t>
            </w:r>
          </w:p>
        </w:tc>
        <w:tc>
          <w:tcPr>
            <w:tcW w:w="6146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先时多虎，百姓患之，皆徙他县。陵之官，修德政，逾月，虎悉出界去，民皆还之。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法雄</w:t>
            </w:r>
          </w:p>
        </w:tc>
        <w:tc>
          <w:tcPr>
            <w:tcW w:w="153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南郡</w:t>
            </w:r>
          </w:p>
          <w:p>
            <w:pPr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（今属湖北）</w:t>
            </w:r>
          </w:p>
        </w:tc>
        <w:tc>
          <w:tcPr>
            <w:tcW w:w="6146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（郡）多虎狼之暴，前太守赏募张捕，反为所害者甚众。雄乃移书属县曰：“凡虎狼之在山林，犹人民之居城市。古者至化之世，猛兽不扰。皆由恩信宽泽，仁及飞（禽）走（兽）……其毁坏槛阱，不得妄捕山林。”是后虎害稍息，人以获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刘平</w:t>
            </w:r>
          </w:p>
        </w:tc>
        <w:tc>
          <w:tcPr>
            <w:tcW w:w="153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全椒</w:t>
            </w:r>
          </w:p>
          <w:p>
            <w:pPr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（今属安徽）</w:t>
            </w:r>
          </w:p>
        </w:tc>
        <w:tc>
          <w:tcPr>
            <w:tcW w:w="6146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县多虎为害，平到修政，选进儒良，黜贪残，视事三月，虎皆渡江而去。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童恢</w:t>
            </w:r>
          </w:p>
        </w:tc>
        <w:tc>
          <w:tcPr>
            <w:tcW w:w="153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不其</w:t>
            </w:r>
          </w:p>
          <w:p>
            <w:pPr>
              <w:spacing w:line="360" w:lineRule="auto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（今属山东）</w:t>
            </w:r>
          </w:p>
        </w:tc>
        <w:tc>
          <w:tcPr>
            <w:tcW w:w="6146" w:type="dxa"/>
            <w:shd w:val="clear" w:color="auto" w:fill="auto"/>
            <w:vAlign w:val="center"/>
          </w:tcPr>
          <w:p>
            <w:pPr>
              <w:spacing w:line="360" w:lineRule="auto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民尝为虎所害，乃设槛捕之，生获二虎。恢闻而出，咒虎曰：“天生万物，唯人为贵……汝若是杀人者，当垂头服罪；自知非者，当号呼称冤。”一虎低头闭目，状如震惧，即时杀之。其一视恢鸣吼，踊跃自奋，遂令放释。吏人为之歌颂。</w:t>
            </w:r>
          </w:p>
        </w:tc>
      </w:tr>
    </w:tbl>
    <w:p>
      <w:pPr>
        <w:spacing w:line="360" w:lineRule="auto"/>
        <w:jc w:val="right"/>
        <w:rPr>
          <w:rFonts w:eastAsia="楷体"/>
          <w:szCs w:val="21"/>
        </w:rPr>
      </w:pPr>
      <w:r>
        <w:rPr>
          <w:rFonts w:eastAsia="楷体"/>
          <w:szCs w:val="21"/>
        </w:rPr>
        <w:t>——据《后汉书》等</w:t>
      </w:r>
    </w:p>
    <w:p>
      <w:pPr>
        <w:pStyle w:val="35"/>
        <w:spacing w:line="36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阐述从上述材料中发现的历史现象，并得出一个结论。（要求：现象源自材料，结论明确，史论结合，表述清晰。）</w:t>
      </w:r>
    </w:p>
    <w:p>
      <w:pPr>
        <w:spacing w:line="360" w:lineRule="auto"/>
        <w:rPr>
          <w:szCs w:val="21"/>
        </w:rPr>
      </w:pPr>
      <w:r>
        <w:rPr>
          <w:szCs w:val="21"/>
        </w:rPr>
        <w:t>45．[历史——选修1：历史上重大改革回眸]（15分）</w:t>
      </w:r>
    </w:p>
    <w:p>
      <w:pPr>
        <w:spacing w:line="360" w:lineRule="auto"/>
        <w:rPr>
          <w:b/>
          <w:szCs w:val="21"/>
        </w:rPr>
      </w:pPr>
      <w:r>
        <w:rPr>
          <w:b/>
          <w:szCs w:val="21"/>
        </w:rPr>
        <w:t>材料</w:t>
      </w:r>
    </w:p>
    <w:p>
      <w:pPr>
        <w:pStyle w:val="32"/>
        <w:spacing w:line="360" w:lineRule="auto"/>
        <w:ind w:firstLine="420"/>
        <w:jc w:val="both"/>
        <w:rPr>
          <w:rFonts w:ascii="Times New Roman" w:hAnsi="Times New Roman" w:eastAsia="楷体"/>
          <w:sz w:val="21"/>
          <w:szCs w:val="21"/>
        </w:rPr>
      </w:pPr>
      <w:r>
        <w:rPr>
          <w:rFonts w:ascii="Times New Roman" w:hAnsi="Times New Roman" w:eastAsia="楷体"/>
          <w:sz w:val="21"/>
          <w:szCs w:val="21"/>
        </w:rPr>
        <w:t>商鞅变法，严惩百姓私相斗殴行为，奖励军功，授以爵位田宅，养成“民勇于公战，怯于私斗”的风气，秦国的军队几乎战无不胜，统治区域不断扩大，被当时六国人称为“虎狼之国”。荀子曾访问秦国，他认为秦国管理有效，承认秦国军队战斗力强悍：“齐之技击，不可以遇魏氏之武卒；魏氏之武卒，不可以遇秦之锐士。”但他认为按商鞅之法组建的秦国军队，“隆势诈，尚功利”，无礼义教化，“干赏蹈利”（求赏逐利），只能称之为“盗兵”。“尚功利之兵，则胜、不胜，无常”，不能与春秋时齐桓公的军队相比，更不能与商汤王、周武王那样的仁义之师相提并论。</w:t>
      </w:r>
    </w:p>
    <w:p>
      <w:pPr>
        <w:pStyle w:val="32"/>
        <w:spacing w:line="360" w:lineRule="auto"/>
        <w:ind w:firstLine="420"/>
        <w:jc w:val="right"/>
        <w:rPr>
          <w:rFonts w:ascii="Times New Roman" w:hAnsi="Times New Roman" w:eastAsia="楷体"/>
          <w:sz w:val="21"/>
          <w:szCs w:val="21"/>
        </w:rPr>
      </w:pPr>
      <w:r>
        <w:rPr>
          <w:rFonts w:ascii="Times New Roman" w:hAnsi="Times New Roman" w:eastAsia="楷体"/>
          <w:sz w:val="21"/>
          <w:szCs w:val="21"/>
        </w:rPr>
        <w:t>——摘编自《荀子》等</w:t>
      </w:r>
    </w:p>
    <w:p>
      <w:pPr>
        <w:spacing w:line="360" w:lineRule="auto"/>
        <w:rPr>
          <w:szCs w:val="21"/>
        </w:rPr>
      </w:pPr>
      <w:r>
        <w:rPr>
          <w:szCs w:val="21"/>
        </w:rPr>
        <w:t>（1）根据材料并结合所学知识，简析荀子称商鞅变法后的秦国军队为“盗兵”的原因。（9分）</w:t>
      </w:r>
    </w:p>
    <w:p>
      <w:pPr>
        <w:spacing w:line="360" w:lineRule="auto"/>
        <w:rPr>
          <w:szCs w:val="21"/>
        </w:rPr>
      </w:pPr>
      <w:r>
        <w:rPr>
          <w:szCs w:val="21"/>
        </w:rPr>
        <w:t>（2）根据材料并结合所学知识，评价商鞅的军事改革。（6分）</w:t>
      </w:r>
    </w:p>
    <w:p>
      <w:pPr>
        <w:spacing w:line="360" w:lineRule="auto"/>
        <w:rPr>
          <w:szCs w:val="21"/>
        </w:rPr>
      </w:pPr>
      <w:r>
        <w:rPr>
          <w:szCs w:val="21"/>
        </w:rPr>
        <w:t>46．[历史——选修3：20世纪的战争与和平]（15分）</w:t>
      </w:r>
    </w:p>
    <w:p>
      <w:pPr>
        <w:pStyle w:val="32"/>
        <w:spacing w:line="360" w:lineRule="auto"/>
        <w:rPr>
          <w:rFonts w:ascii="Times New Roman" w:hAnsi="Times New Roman" w:eastAsia="宋体"/>
          <w:b/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材料</w:t>
      </w:r>
    </w:p>
    <w:p>
      <w:pPr>
        <w:pStyle w:val="32"/>
        <w:spacing w:line="360" w:lineRule="auto"/>
        <w:ind w:firstLine="420"/>
        <w:jc w:val="both"/>
        <w:rPr>
          <w:rFonts w:ascii="Times New Roman" w:hAnsi="Times New Roman" w:eastAsia="楷体"/>
          <w:sz w:val="21"/>
          <w:szCs w:val="21"/>
        </w:rPr>
      </w:pPr>
      <w:r>
        <w:rPr>
          <w:rFonts w:ascii="Times New Roman" w:hAnsi="Times New Roman" w:eastAsia="楷体"/>
          <w:sz w:val="21"/>
          <w:szCs w:val="21"/>
        </w:rPr>
        <w:t>1955年12月，美国、英国意欲资助埃及修建阿斯旺水坝，并提出一系列附加条件，但为埃及领导人纳赛尔拒绝。次年6月，苏联提出为埃及修建阿斯旺水坝提供无附加条件的贷款。7月，在美英两国先后宣布撤销对阿斯旺水坝的援助后，纳赛尔也宣布将英、法控制的苏伊士运河公司收归国有。英国和法国对埃及这一决定反应非常强烈，决定以军事手段维护两国的利益。8月10日，苏联发表声明，支持埃及将运河国有化的决定。10月29日，英法联合以色列向埃及发动进攻，苏伊士运河战争爆发。在美国和苏联的压力下，英法两国和以色列在11月6日宣布停火。此后，法国进一步走上寻求欧洲联合的道路，英国也加快了从殖民地撤离的步伐。</w:t>
      </w:r>
    </w:p>
    <w:p>
      <w:pPr>
        <w:pStyle w:val="32"/>
        <w:spacing w:line="360" w:lineRule="auto"/>
        <w:ind w:firstLine="420"/>
        <w:jc w:val="right"/>
        <w:rPr>
          <w:rFonts w:ascii="Times New Roman" w:hAnsi="Times New Roman" w:eastAsia="楷体"/>
          <w:sz w:val="21"/>
          <w:szCs w:val="21"/>
        </w:rPr>
      </w:pPr>
      <w:r>
        <w:rPr>
          <w:rFonts w:ascii="Times New Roman" w:hAnsi="Times New Roman" w:eastAsia="楷体"/>
          <w:sz w:val="21"/>
          <w:szCs w:val="21"/>
        </w:rPr>
        <w:t>——摘编自王缉思、牛军主编《缔造霸权：冷战时期的美国战略与决策》等</w:t>
      </w:r>
    </w:p>
    <w:p>
      <w:pPr>
        <w:spacing w:line="360" w:lineRule="auto"/>
        <w:rPr>
          <w:szCs w:val="21"/>
        </w:rPr>
      </w:pPr>
      <w:r>
        <w:rPr>
          <w:szCs w:val="21"/>
        </w:rPr>
        <w:t>（1）根据材料并结合所学知识，简析苏伊士运河战争爆发前后美国对英国的态度变化及其目的。（9分）</w:t>
      </w:r>
    </w:p>
    <w:p>
      <w:pPr>
        <w:spacing w:line="360" w:lineRule="auto"/>
        <w:rPr>
          <w:szCs w:val="21"/>
        </w:rPr>
      </w:pPr>
      <w:r>
        <w:rPr>
          <w:szCs w:val="21"/>
        </w:rPr>
        <w:t>（2）根据材料并结合所学知识，说明苏伊士运河战争对当时西方阵营的影响。（6分）</w:t>
      </w:r>
    </w:p>
    <w:p>
      <w:pPr>
        <w:spacing w:line="360" w:lineRule="auto"/>
        <w:rPr>
          <w:szCs w:val="21"/>
        </w:rPr>
      </w:pPr>
      <w:r>
        <w:rPr>
          <w:szCs w:val="21"/>
        </w:rPr>
        <w:t>47．[历史——选修4：中外历史人物评说]（15分）</w:t>
      </w:r>
    </w:p>
    <w:p>
      <w:pPr>
        <w:pStyle w:val="32"/>
        <w:spacing w:line="360" w:lineRule="auto"/>
        <w:rPr>
          <w:rFonts w:ascii="Times New Roman" w:hAnsi="Times New Roman" w:eastAsia="宋体"/>
          <w:b/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材料</w:t>
      </w:r>
    </w:p>
    <w:p>
      <w:pPr>
        <w:pStyle w:val="32"/>
        <w:spacing w:line="360" w:lineRule="auto"/>
        <w:ind w:firstLine="420"/>
        <w:rPr>
          <w:rFonts w:ascii="Times New Roman" w:hAnsi="Times New Roman" w:eastAsia="楷体"/>
          <w:sz w:val="21"/>
          <w:szCs w:val="21"/>
        </w:rPr>
      </w:pPr>
      <w:r>
        <w:rPr>
          <w:rFonts w:ascii="Times New Roman" w:hAnsi="Times New Roman" w:eastAsia="楷体"/>
          <w:sz w:val="21"/>
          <w:szCs w:val="21"/>
        </w:rPr>
        <w:t>1948年11月，中共中央发出关于在新解放城市中召开各界人民代表会议的指示。1949年8月至12月，毛泽东以中央或个人名义发出多份电报，督促各地尽快召开各界人民代表会议，并报告开会情况；批复和批转不少地区关于召开各界人民代表会议的报告，推广开会经验。毛泽东在指导各地召开各界人民代表会议的实践中，提出一系列带有方针、政策性的重要指导思想：各界人民代表会议是人民代表大会的前身，是人民群众参政议政的初期组织形式；召开各界人民代表会议是一件大事，这个会议是团结各界人民的重要工具；在党的领导下，充分发扬民主，切实开好各界人民代表会议。1949年7月以后，由于党中央和毛泽东发出许多关于召开各界人民代表会议的指示，各地都迅速召开这一会议。</w:t>
      </w:r>
    </w:p>
    <w:p>
      <w:pPr>
        <w:pStyle w:val="32"/>
        <w:spacing w:line="360" w:lineRule="auto"/>
        <w:ind w:firstLine="420"/>
        <w:jc w:val="right"/>
        <w:rPr>
          <w:rFonts w:ascii="Times New Roman" w:hAnsi="Times New Roman" w:eastAsia="楷体"/>
          <w:sz w:val="21"/>
          <w:szCs w:val="21"/>
        </w:rPr>
      </w:pPr>
      <w:r>
        <w:rPr>
          <w:rFonts w:ascii="Times New Roman" w:hAnsi="Times New Roman" w:eastAsia="楷体"/>
          <w:sz w:val="21"/>
          <w:szCs w:val="21"/>
        </w:rPr>
        <w:t>——摘编自《党的文献》编辑部《共和国走过的路——建国以来重要文献专题选集》</w:t>
      </w:r>
    </w:p>
    <w:p>
      <w:pPr>
        <w:spacing w:line="360" w:lineRule="auto"/>
        <w:rPr>
          <w:szCs w:val="21"/>
        </w:rPr>
      </w:pPr>
      <w:r>
        <w:rPr>
          <w:szCs w:val="21"/>
        </w:rPr>
        <w:t>（1）根据材料并结合所学知识，说明毛泽东高度重视各界人民代表会议的原因。（6分）</w:t>
      </w:r>
    </w:p>
    <w:p>
      <w:pPr>
        <w:spacing w:line="360" w:lineRule="auto"/>
        <w:rPr>
          <w:szCs w:val="21"/>
        </w:rPr>
      </w:pPr>
      <w:r>
        <w:rPr>
          <w:szCs w:val="21"/>
        </w:rPr>
        <w:t>（2）根据材料并结合所学知识，简析毛泽东督促召开各界人民代表会议的历史意义。（9分）</w:t>
      </w:r>
    </w:p>
    <w:p>
      <w:pPr>
        <w:adjustRightInd w:val="0"/>
        <w:spacing w:line="360" w:lineRule="auto"/>
        <w:rPr>
          <w:szCs w:val="21"/>
        </w:rPr>
      </w:pPr>
    </w:p>
    <w:p>
      <w:pPr>
        <w:adjustRightInd w:val="0"/>
        <w:spacing w:line="360" w:lineRule="auto"/>
        <w:rPr>
          <w:szCs w:val="21"/>
        </w:rPr>
      </w:pPr>
    </w:p>
    <w:p>
      <w:pPr>
        <w:adjustRightInd w:val="0"/>
        <w:spacing w:line="360" w:lineRule="auto"/>
        <w:rPr>
          <w:szCs w:val="21"/>
        </w:rPr>
      </w:pPr>
    </w:p>
    <w:p>
      <w:pPr>
        <w:adjustRightInd w:val="0"/>
        <w:spacing w:line="360" w:lineRule="auto"/>
        <w:rPr>
          <w:szCs w:val="21"/>
        </w:rPr>
      </w:pPr>
    </w:p>
    <w:p>
      <w:pPr>
        <w:adjustRightInd w:val="0"/>
        <w:spacing w:line="360" w:lineRule="auto"/>
        <w:rPr>
          <w:szCs w:val="21"/>
        </w:rPr>
      </w:pPr>
    </w:p>
    <w:p>
      <w:pPr>
        <w:adjustRightInd w:val="0"/>
        <w:spacing w:line="360" w:lineRule="auto"/>
        <w:rPr>
          <w:szCs w:val="21"/>
        </w:rPr>
      </w:pPr>
    </w:p>
    <w:p>
      <w:pPr>
        <w:adjustRightInd w:val="0"/>
        <w:spacing w:line="360" w:lineRule="auto"/>
        <w:rPr>
          <w:szCs w:val="21"/>
        </w:rPr>
      </w:pPr>
    </w:p>
    <w:p>
      <w:pPr>
        <w:adjustRightInd w:val="0"/>
        <w:spacing w:line="360" w:lineRule="auto"/>
        <w:rPr>
          <w:szCs w:val="21"/>
        </w:rPr>
      </w:pPr>
    </w:p>
    <w:p>
      <w:pPr>
        <w:adjustRightInd w:val="0"/>
        <w:spacing w:line="360" w:lineRule="auto"/>
        <w:rPr>
          <w:szCs w:val="21"/>
        </w:rPr>
      </w:pPr>
    </w:p>
    <w:p>
      <w:pPr>
        <w:adjustRightInd w:val="0"/>
        <w:spacing w:line="360" w:lineRule="auto"/>
        <w:rPr>
          <w:szCs w:val="21"/>
        </w:rPr>
      </w:pP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pict>
          <v:shape id="图片 100018" o:spid="_x0000_s1029" o:spt="75" type="#_x0000_t75" style="position:absolute;left:0pt;margin-left:805pt;margin-top:818pt;height:34pt;width:21pt;mso-position-horizontal-relative:page;mso-position-vertical-relative:page;z-index:251660288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rPr>
          <w:rFonts w:ascii="宋体" w:hAnsi="宋体" w:eastAsia="宋体" w:cs="宋体"/>
          <w:b/>
          <w:color w:val="auto"/>
          <w:sz w:val="32"/>
        </w:rPr>
        <w:t>2022年全国乙卷文综历史试题</w:t>
      </w:r>
    </w:p>
    <w:p>
      <w:pPr>
        <w:spacing w:line="285" w:lineRule="auto"/>
        <w:jc w:val="center"/>
        <w:textAlignment w:val="center"/>
        <w:rPr>
          <w:rFonts w:hint="eastAsia" w:ascii="宋体" w:hAnsi="宋体" w:cs="宋体"/>
          <w:b/>
          <w:color w:val="auto"/>
          <w:sz w:val="32"/>
          <w:lang w:val="en-US" w:eastAsia="zh-CN"/>
        </w:rPr>
      </w:pP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参考答案</w:t>
      </w:r>
    </w:p>
    <w:p>
      <w:pPr>
        <w:spacing w:line="285" w:lineRule="auto"/>
        <w:jc w:val="center"/>
        <w:textAlignment w:val="center"/>
        <w:rPr>
          <w:rFonts w:hint="default" w:ascii="宋体" w:hAnsi="宋体" w:cs="宋体"/>
          <w:b/>
          <w:color w:val="auto"/>
          <w:sz w:val="32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3. 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4.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5. 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6.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7. 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8.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9.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10.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11.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12. C</w:t>
      </w:r>
    </w:p>
    <w:p>
      <w:pPr>
        <w:numPr>
          <w:ilvl w:val="0"/>
          <w:numId w:val="0"/>
        </w:numPr>
        <w:spacing w:line="360" w:lineRule="auto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阅读材料，完成下列要求。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1）特点：日本：政府指导，私人企业主导；制定法律保障；引入标准逐渐放宽；与经济发展相适应；引入技术主要来自欧美；日本加入资本主义阵营。中国：政府主导；国际合作和自力更生相结合；引入技术主要来自以苏联为首的社会主义阵营；引入范围广泛，侧重尖端技术。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背景：日本：国家垄断资本主义的发展；美国对日本的扶持；日本经济在二战中遭受重创。中国：社会主义制度的建立；美国对新中国的鼓励与遏制；国民经济的恢复与发展以及一五计划的推动；受到冷战的影响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（3）历史经验：科技发展要坚持自力更生和引入技术相结合；重视尖端国防科技的研发；重视科技人才的引入和培养；注重技术创新。</w:t>
      </w:r>
    </w:p>
    <w:p>
      <w:pPr>
        <w:spacing w:line="360" w:lineRule="auto"/>
        <w:textAlignment w:val="center"/>
        <w:rPr>
          <w:color w:val="000000"/>
        </w:rPr>
      </w:pPr>
    </w:p>
    <w:p>
      <w:pPr>
        <w:numPr>
          <w:ilvl w:val="0"/>
          <w:numId w:val="2"/>
        </w:num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南郡前太守采取张捕的方式处理虎患，反而让更多百姓受到伤害。刘陵为官，通过修德政，虎去民安；法雄为官，恩信宽泽，仁及飞（禽）走（兽），不妄捕山林，虎患解决；刘平为官，修德政，举儒良，虎患解决；童恢为官，以强大的德行感化老虎，虎患解决。从史书所载东汉时期几位良吏的事迹，可以发现这样一个现象：东汉时期，如果地方官吏不黜贪残，而仅是抓捕老虎，反而使得虎患危害更大，而通过德治仁及畜类，则收效甚佳，即虎患的程度取决于吏治的好坏。</w:t>
      </w:r>
      <w:r>
        <w:rPr>
          <w:color w:val="000000"/>
        </w:rPr>
        <w:br w:type="textWrapping"/>
      </w:r>
      <w:r>
        <w:rPr>
          <w:color w:val="000000"/>
        </w:rPr>
        <w:t>这说明在东汉时期，儒家思想仍是主流意识，深刻影响了官员的行为，官员们通过修德政（或仁政）来达到感化万物，治理虎患的目的，也体现儒家天然感应思想对当时社会的影响。总之，儒家思想深刻影响了东汉官吏的行为模式。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（1）原因：商鞅变法使百姓勇于公战，军队战斗力强；秦国军队过于注重功利；秦国军队无礼义教化，不是仁义之师；秦国军队战斗是“独夫”行为，没有纪律约束。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评价：积极：提高了军队战斗力，壮大了军事力量；沉重的打击了奴隶主旧贵族，促进了新兴地主阶级的崛起；促进了中央集权制度的建立；为后来秦国统一六国奠定了基础；为后世军事改革提供借鉴；一定程度上有利于秦国国内秩序的安定，保证农业和社会经济的发展。</w:t>
      </w:r>
      <w:r>
        <w:rPr>
          <w:color w:val="000000"/>
        </w:rPr>
        <w:br w:type="textWrapping"/>
      </w:r>
      <w:r>
        <w:rPr>
          <w:color w:val="000000"/>
        </w:rPr>
        <w:t>消极：尚功利、轻教化，军队的整体素质不高，不敌仁义之师，为后来秦国二世而亡埋下隐患。</w:t>
      </w:r>
      <w:r>
        <w:rPr>
          <w:color w:val="000000"/>
        </w:rPr>
        <w:br w:type="textWrapping"/>
      </w:r>
      <w:r>
        <w:rPr>
          <w:color w:val="000000"/>
        </w:rPr>
        <w:t xml:space="preserve">16. （1）变化：从支持英国打压埃及到联合苏联反对并制止苏伊士战争。目的：战争爆发前：美国想要介入中东地区，增强美国对埃及的影响力；遏制苏联。战争爆发后：避免和苏联发生直接冲突；乘机拉拢埃及，与苏联争夺中间地带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（2）影响：进一步打击了英法在中东地区的影响力；加速了西方阵营的内部分裂，尤其是美国和法国；客观上推动了欧洲进一步联合；扩大了美国对中东的影响力。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（1）原因：团结各界人民的重要工具；中国共产党的政党属性决定；充分发扬民主的需要；为全国人民代表大会准备条件；团结人民推翻国民党统治的需要。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（2）充分体现了“人命当家做主”的理念；体现了中共“全心全意为人民服务”的宗旨；为全国人民代表大会的召开创造了坚实的基础；团结各界人民，推翻国民党反动派，为建立新中国做准备。</w:t>
      </w:r>
    </w:p>
    <w:p/>
    <w:p>
      <w:pPr>
        <w:adjustRightInd w:val="0"/>
        <w:spacing w:line="360" w:lineRule="auto"/>
        <w:rPr>
          <w:szCs w:val="21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30" w:firstLineChars="1150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z-index:-25165107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rPr>
        <w:rFonts w:ascii="微软雅黑" w:hAnsi="微软雅黑" w:eastAsia="微软雅黑" w:cs="微软雅黑"/>
        <w:b/>
        <w:color w:val="CC0000"/>
        <w:sz w:val="28"/>
        <w:szCs w:val="28"/>
      </w:rPr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0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7" o:spt="136" alt="学科网 zxxk.com" type="#_x0000_t136" style="height:0.65pt;width:0.6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_x0000_s2059" o:spid="_x0000_s2059" o:spt="75" type="#_x0000_t75" style="position:absolute;left:0pt;margin-left:10pt;margin-top:1000pt;height:19pt;width:25pt;mso-position-horizontal-relative:page;mso-position-vertical-relative:page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947E7"/>
    <w:multiLevelType w:val="singleLevel"/>
    <w:tmpl w:val="D51947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D85EEF3"/>
    <w:multiLevelType w:val="singleLevel"/>
    <w:tmpl w:val="7D85EEF3"/>
    <w:lvl w:ilvl="0" w:tentative="0">
      <w:start w:val="1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removePersonalInformation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172A27"/>
    <w:rsid w:val="00002523"/>
    <w:rsid w:val="000070B1"/>
    <w:rsid w:val="00032299"/>
    <w:rsid w:val="00036B54"/>
    <w:rsid w:val="0004107A"/>
    <w:rsid w:val="00042D20"/>
    <w:rsid w:val="00074D4E"/>
    <w:rsid w:val="000B4DDA"/>
    <w:rsid w:val="000D363F"/>
    <w:rsid w:val="001112F5"/>
    <w:rsid w:val="00143BA0"/>
    <w:rsid w:val="00172A27"/>
    <w:rsid w:val="001C1409"/>
    <w:rsid w:val="001C5C3B"/>
    <w:rsid w:val="00210316"/>
    <w:rsid w:val="00251BF2"/>
    <w:rsid w:val="00254170"/>
    <w:rsid w:val="002807B4"/>
    <w:rsid w:val="002A100D"/>
    <w:rsid w:val="00347821"/>
    <w:rsid w:val="003D2F98"/>
    <w:rsid w:val="003D3446"/>
    <w:rsid w:val="004039C9"/>
    <w:rsid w:val="004151FC"/>
    <w:rsid w:val="0043088F"/>
    <w:rsid w:val="0043459B"/>
    <w:rsid w:val="0043643F"/>
    <w:rsid w:val="00445399"/>
    <w:rsid w:val="00455017"/>
    <w:rsid w:val="004622A1"/>
    <w:rsid w:val="00463A45"/>
    <w:rsid w:val="00474FD3"/>
    <w:rsid w:val="00480354"/>
    <w:rsid w:val="004932BA"/>
    <w:rsid w:val="004C475B"/>
    <w:rsid w:val="004D04CE"/>
    <w:rsid w:val="004D2AA0"/>
    <w:rsid w:val="00582FE9"/>
    <w:rsid w:val="005A00A3"/>
    <w:rsid w:val="005C7B09"/>
    <w:rsid w:val="00616A96"/>
    <w:rsid w:val="006170F6"/>
    <w:rsid w:val="00643C85"/>
    <w:rsid w:val="00661634"/>
    <w:rsid w:val="006C193A"/>
    <w:rsid w:val="006F0AC1"/>
    <w:rsid w:val="00703C9A"/>
    <w:rsid w:val="0070552E"/>
    <w:rsid w:val="007409DA"/>
    <w:rsid w:val="00747FC3"/>
    <w:rsid w:val="0075797F"/>
    <w:rsid w:val="007E35F5"/>
    <w:rsid w:val="007F1311"/>
    <w:rsid w:val="00815ACE"/>
    <w:rsid w:val="008210BD"/>
    <w:rsid w:val="00832B6F"/>
    <w:rsid w:val="00894AE8"/>
    <w:rsid w:val="008C6243"/>
    <w:rsid w:val="008E017E"/>
    <w:rsid w:val="008E3A09"/>
    <w:rsid w:val="008E437C"/>
    <w:rsid w:val="009035FD"/>
    <w:rsid w:val="00903880"/>
    <w:rsid w:val="00907FCC"/>
    <w:rsid w:val="00923282"/>
    <w:rsid w:val="0093198C"/>
    <w:rsid w:val="009801CE"/>
    <w:rsid w:val="0099176A"/>
    <w:rsid w:val="00995B8E"/>
    <w:rsid w:val="009D22B6"/>
    <w:rsid w:val="009D5325"/>
    <w:rsid w:val="009E60DD"/>
    <w:rsid w:val="00A45B40"/>
    <w:rsid w:val="00A84FC2"/>
    <w:rsid w:val="00AB112E"/>
    <w:rsid w:val="00AC54AD"/>
    <w:rsid w:val="00AE16B2"/>
    <w:rsid w:val="00B32E37"/>
    <w:rsid w:val="00B94BD3"/>
    <w:rsid w:val="00B96464"/>
    <w:rsid w:val="00BA1CDD"/>
    <w:rsid w:val="00C02FC6"/>
    <w:rsid w:val="00C052B8"/>
    <w:rsid w:val="00C158B8"/>
    <w:rsid w:val="00C2519D"/>
    <w:rsid w:val="00C3132A"/>
    <w:rsid w:val="00C45FD9"/>
    <w:rsid w:val="00C473F2"/>
    <w:rsid w:val="00C671DC"/>
    <w:rsid w:val="00C72B72"/>
    <w:rsid w:val="00CF6E86"/>
    <w:rsid w:val="00D26350"/>
    <w:rsid w:val="00D411B2"/>
    <w:rsid w:val="00D66B88"/>
    <w:rsid w:val="00D8561D"/>
    <w:rsid w:val="00DC3B6E"/>
    <w:rsid w:val="00E16000"/>
    <w:rsid w:val="00E51ECC"/>
    <w:rsid w:val="00E85FEB"/>
    <w:rsid w:val="00EA547B"/>
    <w:rsid w:val="00EB14CE"/>
    <w:rsid w:val="00EE165A"/>
    <w:rsid w:val="00EF6F01"/>
    <w:rsid w:val="00F055CD"/>
    <w:rsid w:val="00F57130"/>
    <w:rsid w:val="00F90E51"/>
    <w:rsid w:val="00F9407A"/>
    <w:rsid w:val="00FB4854"/>
    <w:rsid w:val="00FD3F6E"/>
    <w:rsid w:val="00FD65A2"/>
    <w:rsid w:val="04ED064B"/>
    <w:rsid w:val="055C5E9C"/>
    <w:rsid w:val="07A64E8C"/>
    <w:rsid w:val="0E9735D5"/>
    <w:rsid w:val="0EBD1213"/>
    <w:rsid w:val="10914580"/>
    <w:rsid w:val="14180254"/>
    <w:rsid w:val="19D41982"/>
    <w:rsid w:val="1BA3160C"/>
    <w:rsid w:val="22721A61"/>
    <w:rsid w:val="253F05F7"/>
    <w:rsid w:val="25CB0E4D"/>
    <w:rsid w:val="28EF5CEF"/>
    <w:rsid w:val="2E494294"/>
    <w:rsid w:val="2E4B447E"/>
    <w:rsid w:val="315B05EF"/>
    <w:rsid w:val="33315B32"/>
    <w:rsid w:val="33E00819"/>
    <w:rsid w:val="369B20BC"/>
    <w:rsid w:val="3FE43E1D"/>
    <w:rsid w:val="40D23C76"/>
    <w:rsid w:val="42231596"/>
    <w:rsid w:val="4DC71966"/>
    <w:rsid w:val="506D39BB"/>
    <w:rsid w:val="50C40C32"/>
    <w:rsid w:val="51496B1C"/>
    <w:rsid w:val="53E64A95"/>
    <w:rsid w:val="56DE36A7"/>
    <w:rsid w:val="58254B7B"/>
    <w:rsid w:val="5A7341F3"/>
    <w:rsid w:val="62510F7A"/>
    <w:rsid w:val="6EC25BF9"/>
    <w:rsid w:val="6F595902"/>
    <w:rsid w:val="72BC1561"/>
    <w:rsid w:val="738B05FB"/>
    <w:rsid w:val="76170647"/>
    <w:rsid w:val="76FD3618"/>
    <w:rsid w:val="79E650F1"/>
    <w:rsid w:val="7D4D72C3"/>
    <w:rsid w:val="7F4A08A0"/>
    <w:rsid w:val="7F6C23AB"/>
  </w:rsids>
  <m:mathPr>
    <m:mathFont m:val="Cambria Math"/>
    <m:brkBin m:val="before"/>
    <m:brkBinSub m:val="--"/>
    <m:smallFrac m:val="1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qFormat/>
    <w:uiPriority w:val="0"/>
    <w:pPr>
      <w:jc w:val="left"/>
    </w:pPr>
    <w:rPr>
      <w:szCs w:val="24"/>
    </w:rPr>
  </w:style>
  <w:style w:type="paragraph" w:styleId="3">
    <w:name w:val="Plain Text"/>
    <w:basedOn w:val="1"/>
    <w:link w:val="17"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link w:val="18"/>
    <w:qFormat/>
    <w:uiPriority w:val="0"/>
    <w:rPr>
      <w:sz w:val="18"/>
      <w:szCs w:val="18"/>
    </w:rPr>
  </w:style>
  <w:style w:type="paragraph" w:styleId="5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20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annotation subject"/>
    <w:basedOn w:val="2"/>
    <w:next w:val="2"/>
    <w:link w:val="31"/>
    <w:semiHidden/>
    <w:unhideWhenUsed/>
    <w:qFormat/>
    <w:uiPriority w:val="0"/>
    <w:rPr>
      <w:rFonts w:ascii="Calibri" w:hAnsi="Calibri"/>
      <w:b/>
      <w:bCs/>
    </w:rPr>
  </w:style>
  <w:style w:type="table" w:styleId="9">
    <w:name w:val="Table Grid"/>
    <w:basedOn w:val="8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basedOn w:val="10"/>
    <w:qFormat/>
    <w:uiPriority w:val="0"/>
  </w:style>
  <w:style w:type="character" w:styleId="13">
    <w:name w:val="FollowedHyperlink"/>
    <w:semiHidden/>
    <w:unhideWhenUsed/>
    <w:qFormat/>
    <w:uiPriority w:val="99"/>
    <w:rPr>
      <w:color w:val="954F72"/>
      <w:u w:val="single"/>
    </w:rPr>
  </w:style>
  <w:style w:type="character" w:styleId="14">
    <w:name w:val="Hyperlink"/>
    <w:qFormat/>
    <w:uiPriority w:val="99"/>
    <w:rPr>
      <w:color w:val="0000FF"/>
      <w:u w:val="single"/>
    </w:rPr>
  </w:style>
  <w:style w:type="character" w:styleId="15">
    <w:name w:val="annotation reference"/>
    <w:qFormat/>
    <w:uiPriority w:val="0"/>
    <w:rPr>
      <w:sz w:val="21"/>
      <w:szCs w:val="21"/>
    </w:rPr>
  </w:style>
  <w:style w:type="character" w:customStyle="1" w:styleId="16">
    <w:name w:val="批注文字 字符1"/>
    <w:link w:val="2"/>
    <w:qFormat/>
    <w:uiPriority w:val="0"/>
    <w:rPr>
      <w:kern w:val="2"/>
      <w:sz w:val="21"/>
      <w:szCs w:val="24"/>
    </w:rPr>
  </w:style>
  <w:style w:type="character" w:customStyle="1" w:styleId="17">
    <w:name w:val="纯文本 字符"/>
    <w:link w:val="3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8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5"/>
    <w:qFormat/>
    <w:uiPriority w:val="0"/>
    <w:rPr>
      <w:kern w:val="2"/>
      <w:sz w:val="18"/>
      <w:szCs w:val="22"/>
    </w:rPr>
  </w:style>
  <w:style w:type="character" w:customStyle="1" w:styleId="20">
    <w:name w:val="页眉 字符"/>
    <w:link w:val="6"/>
    <w:qFormat/>
    <w:uiPriority w:val="99"/>
    <w:rPr>
      <w:kern w:val="2"/>
      <w:sz w:val="18"/>
      <w:szCs w:val="22"/>
    </w:rPr>
  </w:style>
  <w:style w:type="character" w:customStyle="1" w:styleId="21">
    <w:name w:val="sub_title s0"/>
    <w:basedOn w:val="10"/>
    <w:qFormat/>
    <w:uiPriority w:val="0"/>
  </w:style>
  <w:style w:type="character" w:customStyle="1" w:styleId="22">
    <w:name w:val="页码1"/>
    <w:basedOn w:val="10"/>
    <w:qFormat/>
    <w:uiPriority w:val="0"/>
  </w:style>
  <w:style w:type="paragraph" w:customStyle="1" w:styleId="23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25">
    <w:name w:val="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26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27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29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0">
    <w:name w:val="批注文字 字符"/>
    <w:semiHidden/>
    <w:qFormat/>
    <w:uiPriority w:val="0"/>
    <w:rPr>
      <w:rFonts w:ascii="Calibri" w:hAnsi="Calibri"/>
      <w:kern w:val="2"/>
      <w:sz w:val="21"/>
      <w:szCs w:val="24"/>
    </w:rPr>
  </w:style>
  <w:style w:type="character" w:customStyle="1" w:styleId="31">
    <w:name w:val="批注主题 字符"/>
    <w:link w:val="7"/>
    <w:semiHidden/>
    <w:qFormat/>
    <w:uiPriority w:val="0"/>
    <w:rPr>
      <w:rFonts w:ascii="Calibri" w:hAnsi="Calibri"/>
      <w:b/>
      <w:bCs/>
      <w:kern w:val="2"/>
      <w:sz w:val="21"/>
      <w:szCs w:val="24"/>
    </w:rPr>
  </w:style>
  <w:style w:type="paragraph" w:styleId="32">
    <w:name w:val="No Spacing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33">
    <w:name w:val="List Paragraph"/>
    <w:basedOn w:val="1"/>
    <w:qFormat/>
    <w:uiPriority w:val="99"/>
    <w:pPr>
      <w:ind w:firstLine="420" w:firstLineChars="200"/>
    </w:pPr>
    <w:rPr>
      <w:rFonts w:ascii="Calibri" w:hAnsi="Calibri"/>
      <w:szCs w:val="24"/>
    </w:rPr>
  </w:style>
  <w:style w:type="paragraph" w:customStyle="1" w:styleId="34">
    <w:name w:val="MsoPlainText"/>
    <w:basedOn w:val="1"/>
    <w:qFormat/>
    <w:uiPriority w:val="99"/>
    <w:pPr>
      <w:widowControl/>
      <w:jc w:val="left"/>
    </w:pPr>
    <w:rPr>
      <w:rFonts w:ascii="Cambria Math" w:hAnsi="宋体" w:cs="Cambria Math"/>
      <w:szCs w:val="21"/>
    </w:rPr>
  </w:style>
  <w:style w:type="paragraph" w:customStyle="1" w:styleId="35">
    <w:name w:val="正文_0"/>
    <w:qFormat/>
    <w:uiPriority w:val="0"/>
    <w:pPr>
      <w:widowControl w:val="0"/>
      <w:adjustRightInd w:val="0"/>
      <w:spacing w:line="312" w:lineRule="atLeast"/>
      <w:jc w:val="both"/>
    </w:pPr>
    <w:rPr>
      <w:rFonts w:ascii="Calibri" w:hAnsi="Calibri" w:eastAsia="宋体" w:cs="Times New Roman"/>
      <w:sz w:val="21"/>
      <w:lang w:val="en-US" w:eastAsia="zh-CN" w:bidi="ar-SA"/>
    </w:rPr>
  </w:style>
  <w:style w:type="paragraph" w:customStyle="1" w:styleId="36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正文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正文_4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p15"/>
    <w:basedOn w:val="1"/>
    <w:qFormat/>
    <w:uiPriority w:val="0"/>
    <w:pPr>
      <w:tabs>
        <w:tab w:val="left" w:pos="720"/>
      </w:tabs>
      <w:autoSpaceDE w:val="0"/>
      <w:autoSpaceDN w:val="0"/>
      <w:adjustRightInd w:val="0"/>
      <w:spacing w:line="240" w:lineRule="atLeast"/>
      <w:jc w:val="left"/>
    </w:pPr>
    <w:rPr>
      <w:kern w:val="0"/>
      <w:sz w:val="24"/>
      <w:szCs w:val="20"/>
    </w:rPr>
  </w:style>
  <w:style w:type="paragraph" w:customStyle="1" w:styleId="46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paragraph" w:customStyle="1" w:styleId="4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正文_0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正文_0_3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纯文本_0"/>
    <w:basedOn w:val="35"/>
    <w:link w:val="52"/>
    <w:qFormat/>
    <w:uiPriority w:val="0"/>
    <w:pPr>
      <w:adjustRightInd/>
      <w:spacing w:line="240" w:lineRule="auto"/>
    </w:pPr>
    <w:rPr>
      <w:rFonts w:ascii="宋体" w:hAnsi="Courier New" w:cs="Courier New"/>
      <w:kern w:val="2"/>
      <w:szCs w:val="21"/>
    </w:rPr>
  </w:style>
  <w:style w:type="character" w:customStyle="1" w:styleId="52">
    <w:name w:val="Char Char2"/>
    <w:link w:val="51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53">
    <w:name w:val="标题1 Char"/>
    <w:qFormat/>
    <w:locked/>
    <w:uiPriority w:val="0"/>
    <w:rPr>
      <w:rFonts w:hint="eastAsia"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4">
    <w:name w:val="Char Char3"/>
    <w:qFormat/>
    <w:uiPriority w:val="0"/>
    <w:rPr>
      <w:rFonts w:hint="eastAsia"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5">
    <w:name w:val="纯文本 字符1"/>
    <w:semiHidden/>
    <w:qFormat/>
    <w:uiPriority w:val="99"/>
    <w:rPr>
      <w:rFonts w:hint="eastAsia" w:ascii="宋体" w:hAnsi="Courier New" w:eastAsia="宋体" w:cs="Courier New"/>
      <w:kern w:val="2"/>
      <w:sz w:val="21"/>
      <w:szCs w:val="24"/>
    </w:rPr>
  </w:style>
  <w:style w:type="character" w:customStyle="1" w:styleId="56">
    <w:name w:val="纯文本 Char1"/>
    <w:qFormat/>
    <w:uiPriority w:val="0"/>
    <w:rPr>
      <w:rFonts w:hint="eastAsia" w:ascii="宋体" w:hAnsi="Courier New" w:eastAsia="宋体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  <customShpInfo spid="_x0000_s2052"/>
    <customShpInfo spid="_x0000_s2059"/>
    <customShpInfo spid="_x0000_s2055"/>
    <customShpInfo spid="_x0000_s2056"/>
    <customShpInfo spid="_x0000_s2057"/>
    <customShpInfo spid="_x0000_s2058"/>
    <customShpInfo spid="_x0000_s1026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5408</Words>
  <Characters>5545</Characters>
  <Lines>32</Lines>
  <Paragraphs>9</Paragraphs>
  <TotalTime>0</TotalTime>
  <ScaleCrop>false</ScaleCrop>
  <LinksUpToDate>false</LinksUpToDate>
  <CharactersWithSpaces>5791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学科网WORD文档</cp:category>
  <dcterms:created xsi:type="dcterms:W3CDTF">2021-06-07T01:31:00Z</dcterms:created>
  <dc:description>学科网(www.zxxk.com)--教育资源门户，提供试卷、教案、课件、论文、素材及各类教学资源下载，还有大量而丰富的教学相关资讯！</dc:description>
  <cp:keywords>试卷、教案、课件、论文、素材</cp:keywords>
  <dcterms:modified xsi:type="dcterms:W3CDTF">2022-06-09T14:21:27Z</dcterms:modified>
  <dc:subject>（解析版）2014年高考山东卷英语试题解析（精编版）.doc</dc:subject>
  <dc:title>（解析版）2014年高考山东卷英语试题解析（精编版）.doc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5B1392854D844435B3A348D5CC7C6EA1</vt:lpwstr>
  </property>
</Properties>
</file>