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adjustRightInd w:val="0"/>
        <w:spacing w:line="36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pict>
          <v:shape id="_x0000_s1026" o:spid="_x0000_s1026" o:spt="75" type="#_x0000_t75" style="position:absolute;left:0pt;margin-left:812pt;margin-top:817pt;height:23pt;width:25pt;mso-position-horizontal-relative:page;mso-position-vertical-relative:page;z-index:251659264;mso-width-relative:page;mso-height-relative:page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</v:shape>
        </w:pict>
      </w:r>
    </w:p>
    <w:p>
      <w:pPr>
        <w:adjustRightInd w:val="0"/>
        <w:spacing w:line="36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pict>
          <v:shape id="_x0000_s1027" o:spid="_x0000_s1027" o:spt="75" type="#_x0000_t75" style="position:absolute;left:0pt;margin-left:970pt;margin-top:877pt;height:39pt;width:27pt;mso-position-horizontal-relative:page;mso-position-vertical-relative:page;z-index:251660288;mso-width-relative:page;mso-height-relative:page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</v:shape>
        </w:pict>
      </w:r>
      <w:r>
        <w:rPr>
          <w:b/>
          <w:color w:val="000000"/>
          <w:sz w:val="32"/>
          <w:szCs w:val="32"/>
        </w:rPr>
        <w:t>2022年普通高等学校招生全国统一考试</w:t>
      </w:r>
      <w:r>
        <w:rPr>
          <w:rFonts w:hint="eastAsia"/>
          <w:b/>
          <w:color w:val="000000"/>
          <w:sz w:val="32"/>
          <w:szCs w:val="32"/>
        </w:rPr>
        <w:t>（全国乙卷）</w:t>
      </w:r>
    </w:p>
    <w:p>
      <w:pPr>
        <w:adjustRightInd w:val="0"/>
        <w:spacing w:line="360" w:lineRule="auto"/>
        <w:jc w:val="center"/>
        <w:rPr>
          <w:b/>
          <w:color w:val="000000"/>
          <w:sz w:val="32"/>
          <w:szCs w:val="32"/>
        </w:rPr>
      </w:pPr>
      <w:r>
        <w:rPr>
          <w:rFonts w:hint="eastAsia"/>
          <w:b/>
          <w:color w:val="000000"/>
          <w:sz w:val="32"/>
          <w:szCs w:val="32"/>
        </w:rPr>
        <w:t>地理</w:t>
      </w:r>
    </w:p>
    <w:p>
      <w:pPr>
        <w:widowControl/>
        <w:spacing w:line="360" w:lineRule="auto"/>
        <w:jc w:val="left"/>
        <w:rPr>
          <w:rFonts w:ascii="宋体" w:hAnsi="宋体" w:cs="黑体"/>
          <w:color w:val="000000"/>
          <w:kern w:val="0"/>
          <w:szCs w:val="21"/>
          <w:lang w:bidi="ar"/>
        </w:rPr>
      </w:pPr>
      <w:r>
        <w:rPr>
          <w:rFonts w:ascii="宋体" w:hAnsi="宋体" w:cs="黑体"/>
          <w:color w:val="000000"/>
          <w:kern w:val="0"/>
          <w:szCs w:val="21"/>
          <w:lang w:bidi="ar"/>
        </w:rPr>
        <w:t>一、选择题</w:t>
      </w:r>
      <w:r>
        <w:rPr>
          <w:rFonts w:hint="eastAsia" w:ascii="宋体" w:hAnsi="宋体" w:cs="黑体"/>
          <w:color w:val="000000"/>
          <w:kern w:val="0"/>
          <w:szCs w:val="21"/>
          <w:lang w:bidi="ar"/>
        </w:rPr>
        <w:t>:本题共11小题,每小题4分,共44分。在每小题给出的四个选项中,只有一项是符合题目要求的。</w:t>
      </w:r>
    </w:p>
    <w:p>
      <w:pPr>
        <w:widowControl/>
        <w:spacing w:line="360" w:lineRule="auto"/>
        <w:jc w:val="left"/>
        <w:rPr>
          <w:szCs w:val="21"/>
        </w:rPr>
      </w:pPr>
      <w:r>
        <w:rPr>
          <w:rFonts w:ascii="楷体" w:hAnsi="楷体" w:eastAsia="楷体" w:cs="楷体"/>
          <w:color w:val="000000"/>
          <w:spacing w:val="8"/>
          <w:kern w:val="0"/>
          <w:szCs w:val="21"/>
          <w:shd w:val="clear" w:color="auto" w:fill="FFFFFF"/>
          <w:lang w:bidi="ar"/>
        </w:rPr>
        <w:t>中心城区通常为城市中人口最密集的区域</w:t>
      </w:r>
      <w:r>
        <w:rPr>
          <w:rFonts w:hint="eastAsia" w:ascii="楷体" w:hAnsi="楷体" w:eastAsia="楷体" w:cs="楷体"/>
          <w:color w:val="000000"/>
          <w:spacing w:val="8"/>
          <w:kern w:val="0"/>
          <w:szCs w:val="21"/>
          <w:shd w:val="clear" w:color="auto" w:fill="FFFFFF"/>
          <w:lang w:bidi="ar"/>
        </w:rPr>
        <w:t>。表1数据显示上海、北京、广州、深圳四城市2010年中心城区人口比重及2010～2020年中心城区和中心城区以外地区人口数量的变化。据此完成1～3题。表1</w:t>
      </w:r>
    </w:p>
    <w:p>
      <w:pPr>
        <w:pStyle w:val="7"/>
        <w:widowControl/>
        <w:shd w:val="clear" w:color="auto" w:fill="FFFFFF"/>
        <w:spacing w:beforeAutospacing="0" w:afterAutospacing="0" w:line="360" w:lineRule="auto"/>
        <w:jc w:val="center"/>
        <w:rPr>
          <w:rFonts w:ascii="Microsoft YaHei UI" w:hAnsi="Microsoft YaHei UI" w:eastAsia="Microsoft YaHei UI" w:cs="Microsoft YaHei UI"/>
          <w:color w:val="222222"/>
          <w:spacing w:val="7"/>
          <w:sz w:val="21"/>
          <w:szCs w:val="21"/>
        </w:rPr>
      </w:pPr>
      <w:r>
        <w:rPr>
          <w:rFonts w:ascii="Microsoft YaHei UI" w:hAnsi="Microsoft YaHei UI" w:eastAsia="Microsoft YaHei UI" w:cs="Microsoft YaHei UI"/>
          <w:color w:val="222222"/>
          <w:spacing w:val="7"/>
          <w:sz w:val="21"/>
          <w:szCs w:val="21"/>
          <w:shd w:val="clear" w:color="auto" w:fill="FFFFFF"/>
        </w:rPr>
        <w:pict>
          <v:shape id="_x0000_i1025" o:spt="75" alt="IMG_256" type="#_x0000_t75" style="height:112.5pt;width:385.5pt;" filled="f" o:preferrelative="t" stroked="f" coordsize="21600,21600">
            <v:path/>
            <v:fill on="f" focussize="0,0"/>
            <v:stroke on="f" joinstyle="miter"/>
            <v:imagedata r:id="rId9" o:title="IMG_256"/>
            <o:lock v:ext="edit" aspectratio="t"/>
            <w10:wrap type="none"/>
            <w10:anchorlock/>
          </v:shape>
        </w:pic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spacing w:val="8"/>
          <w:kern w:val="0"/>
          <w:szCs w:val="21"/>
          <w:shd w:val="clear" w:color="auto" w:fill="FFFFFF"/>
          <w:lang w:bidi="ar"/>
        </w:rPr>
      </w:pPr>
      <w:r>
        <w:rPr>
          <w:rFonts w:hint="eastAsia" w:ascii="宋体" w:hAnsi="宋体" w:cs="宋体"/>
          <w:color w:val="000000"/>
          <w:spacing w:val="8"/>
          <w:kern w:val="0"/>
          <w:szCs w:val="21"/>
          <w:shd w:val="clear" w:color="auto" w:fill="FFFFFF"/>
          <w:lang w:bidi="ar"/>
        </w:rPr>
        <w:t>1.2010～2020年四城市人口变化的共同特点是(  )</w: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spacing w:val="8"/>
          <w:kern w:val="0"/>
          <w:szCs w:val="21"/>
          <w:lang w:bidi="ar"/>
        </w:rPr>
      </w:pPr>
      <w:r>
        <w:rPr>
          <w:rFonts w:hint="eastAsia" w:ascii="宋体" w:hAnsi="宋体" w:cs="宋体"/>
          <w:color w:val="000000"/>
          <w:spacing w:val="8"/>
          <w:kern w:val="0"/>
          <w:szCs w:val="21"/>
          <w:lang w:bidi="ar"/>
        </w:rPr>
        <w:t>A.总人口增加,中心城区人口比重下降</w: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t>B.总人口减少,中心城区人口比重上升</w: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t>C.总人口增加,中心城区人口比重上升</w: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t>D.总人口减少,中心城区人口比重下降</w: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t>2.与四城市人口变化共同特点类似的中国其他城市,一般具有(  )</w: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t>A.相似的空间形态</w: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t>B.趋同的主导产业</w: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t>C.一致的功能定位</w: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t>D.相近的等级规模</w: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t>3.根据四城市人口变化特点,城市规划应该引导(  )</w: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t>A.人口向中心城区再集聚</w: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t>B.人口在中心城区以外地区集聚</w: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t>C.中心城区核心功能疏解</w:t>
      </w:r>
    </w:p>
    <w:p>
      <w:pPr>
        <w:widowControl/>
        <w:spacing w:line="360" w:lineRule="auto"/>
        <w:jc w:val="left"/>
        <w:rPr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t>D.人口在中心城区以外地区均衡布局</w:t>
      </w:r>
    </w:p>
    <w:p>
      <w:pPr>
        <w:pStyle w:val="7"/>
        <w:widowControl/>
        <w:shd w:val="clear" w:color="auto" w:fill="FFFFFF"/>
        <w:spacing w:before="96" w:beforeAutospacing="0" w:after="96" w:afterAutospacing="0" w:line="360" w:lineRule="auto"/>
        <w:ind w:firstLine="420"/>
        <w:rPr>
          <w:rFonts w:cs="Calibri"/>
          <w:color w:val="222222"/>
          <w:spacing w:val="7"/>
          <w:sz w:val="21"/>
          <w:szCs w:val="21"/>
        </w:rPr>
      </w:pPr>
      <w:r>
        <w:rPr>
          <w:rFonts w:hint="eastAsia" w:ascii="楷体" w:hAnsi="楷体" w:eastAsia="楷体" w:cs="楷体"/>
          <w:color w:val="000000"/>
          <w:spacing w:val="7"/>
          <w:sz w:val="21"/>
          <w:szCs w:val="21"/>
          <w:shd w:val="clear" w:color="auto" w:fill="FFFFFF"/>
        </w:rPr>
        <w:t>当雄是拉萨唯一的纯牧业县,牧民占比约90%,依托特色畜种牦牛,走产业扶贫之路。甲公司成立于2017年初,采取“公司＋农户”的模式(图1),生产的有“身份证”的牦牛肉产品销往全国各地,广受消费者欢迎。据此完成4～6题。</w:t>
      </w:r>
      <w:r>
        <w:rPr>
          <w:rFonts w:ascii="楷体" w:hAnsi="楷体" w:eastAsia="楷体" w:cs="楷体"/>
          <w:color w:val="000000"/>
          <w:spacing w:val="7"/>
          <w:sz w:val="21"/>
          <w:szCs w:val="21"/>
          <w:shd w:val="clear" w:color="auto" w:fill="FFFFFF"/>
        </w:rPr>
        <w:pict>
          <v:shape id="_x0000_i1026" o:spt="75" alt="IMG_257" type="#_x0000_t75" style="height:121.5pt;width:322.5pt;" filled="f" o:preferrelative="t" stroked="f" coordsize="21600,21600">
            <v:path/>
            <v:fill on="f" focussize="0,0"/>
            <v:stroke on="f" joinstyle="miter"/>
            <v:imagedata r:id="rId10" o:title="IMG_257"/>
            <o:lock v:ext="edit" aspectratio="t"/>
            <w10:wrap type="none"/>
            <w10:anchorlock/>
          </v:shape>
        </w:pic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t>4.加入甲公司后,牧民家庭明显增加的是(  )</w: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t>A.牧场面积</w: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t>B.牦牛数量</w: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t>C.劳动力数量</w: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t>D.收入来源</w: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t>5.甲公司提高牦牛价值的主要途径是(  )</w: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t>①扩大放牧规模 ②延长产业链条 ③创建产品品牌 ④实施多种经营</w: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t>A.①②       B.②③       C.③④       D.①④</w: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t>6.当雄生长期短,牧草较矮。为保障漫长寒季的草料供应,当地适宜采用的方法是(  )</w: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t>①开垦草原种植牧草 ②储存草原生长期牧草 </w: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t>③建设温室种植牧草 ④从邻近农区购买草料</w: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t>A.①②       B.②③       C.③④       D.①④</w:t>
      </w:r>
    </w:p>
    <w:p>
      <w:pPr>
        <w:widowControl/>
        <w:spacing w:line="360" w:lineRule="auto"/>
        <w:jc w:val="left"/>
        <w:rPr>
          <w:szCs w:val="21"/>
        </w:rPr>
      </w:pPr>
      <w:r>
        <w:rPr>
          <w:rFonts w:hint="eastAsia" w:ascii="楷体" w:hAnsi="楷体" w:eastAsia="楷体" w:cs="楷体"/>
          <w:color w:val="000000"/>
          <w:spacing w:val="8"/>
          <w:kern w:val="0"/>
          <w:szCs w:val="21"/>
          <w:shd w:val="clear" w:color="auto" w:fill="FFFFFF"/>
          <w:lang w:bidi="ar"/>
        </w:rPr>
        <w:t>图2显示黄河桃花峪附近花园口水文站监测的1958年7月、1996年8月两次洪水过程的水位与流量的关系。读图2,完成7～8题。</w:t>
      </w:r>
    </w:p>
    <w:p>
      <w:pPr>
        <w:pStyle w:val="7"/>
        <w:widowControl/>
        <w:shd w:val="clear" w:color="auto" w:fill="FFFFFF"/>
        <w:spacing w:beforeAutospacing="0" w:after="288" w:afterAutospacing="0" w:line="360" w:lineRule="auto"/>
        <w:jc w:val="both"/>
        <w:rPr>
          <w:rFonts w:ascii="Microsoft YaHei UI" w:hAnsi="Microsoft YaHei UI" w:eastAsia="Microsoft YaHei UI" w:cs="Microsoft YaHei UI"/>
          <w:color w:val="222222"/>
          <w:spacing w:val="7"/>
          <w:sz w:val="21"/>
          <w:szCs w:val="21"/>
        </w:rPr>
      </w:pPr>
      <w:r>
        <w:rPr>
          <w:rFonts w:ascii="Microsoft YaHei UI" w:hAnsi="Microsoft YaHei UI" w:eastAsia="Microsoft YaHei UI" w:cs="Microsoft YaHei UI"/>
          <w:color w:val="222222"/>
          <w:spacing w:val="7"/>
          <w:sz w:val="21"/>
          <w:szCs w:val="21"/>
          <w:shd w:val="clear" w:color="auto" w:fill="FFFFFF"/>
        </w:rPr>
        <w:pict>
          <v:shape id="_x0000_i1027" o:spt="75" alt="IMG_258" type="#_x0000_t75" style="height:156.75pt;width:304.5pt;" filled="f" o:preferrelative="t" stroked="f" coordsize="21600,21600">
            <v:path/>
            <v:fill on="f" focussize="0,0"/>
            <v:stroke on="f" joinstyle="miter"/>
            <v:imagedata r:id="rId11" o:title="IMG_258"/>
            <o:lock v:ext="edit" aspectratio="t"/>
            <w10:wrap type="none"/>
            <w10:anchorlock/>
          </v:shape>
        </w:pic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t>7.1958年7月洪水过程中,图中O、P两点水位变化趋势及两点流速相比(  )</w: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t>A.O点水位上涨,流速较快</w: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t>B.O点水位回落,流速较慢</w: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t>C.P点水位上涨,流速较慢</w: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t>D.P点水位回落,流速较快</w: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  <w:lang w:bidi="ar"/>
        </w:rPr>
      </w:pP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t>8.图示资料表明,1996年8月比1958年7月(  )</w: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t>A.洪水含沙量大   B.洪峰水位低   C.河床高   D.洪峰流量大</w:t>
      </w:r>
    </w:p>
    <w:p>
      <w:pPr>
        <w:widowControl/>
        <w:spacing w:line="360" w:lineRule="auto"/>
        <w:jc w:val="left"/>
        <w:rPr>
          <w:rFonts w:ascii="宋体" w:hAnsi="宋体" w:cs="宋体"/>
          <w:kern w:val="0"/>
          <w:szCs w:val="21"/>
          <w:lang w:bidi="ar"/>
        </w:rPr>
      </w:pPr>
      <w:r>
        <w:rPr>
          <w:rFonts w:hint="eastAsia" w:ascii="楷体" w:hAnsi="楷体" w:eastAsia="楷体" w:cs="楷体"/>
          <w:color w:val="000000"/>
          <w:spacing w:val="8"/>
          <w:kern w:val="0"/>
          <w:szCs w:val="21"/>
          <w:shd w:val="clear" w:color="auto" w:fill="FFFFFF"/>
          <w:lang w:bidi="ar"/>
        </w:rPr>
        <w:t>我国一海滨城市背靠丘陵,某日海陆风明显。图3示意当日该市不同高度的风随时间的变化。据此完成9～11题。</w:t>
      </w:r>
      <w:r>
        <w:rPr>
          <w:rFonts w:ascii="宋体" w:hAnsi="宋体" w:cs="宋体"/>
          <w:kern w:val="0"/>
          <w:szCs w:val="21"/>
          <w:lang w:bidi="ar"/>
        </w:rPr>
        <w:pict>
          <v:shape id="_x0000_i1028" o:spt="75" alt="IMG_259" type="#_x0000_t75" style="height:133.5pt;width:318pt;" filled="f" o:preferrelative="t" stroked="f" coordsize="21600,21600">
            <v:path/>
            <v:fill on="f" focussize="0,0"/>
            <v:stroke on="f" joinstyle="miter"/>
            <v:imagedata r:id="rId12" o:title="IMG_259"/>
            <o:lock v:ext="edit" aspectratio="t"/>
            <w10:wrap type="none"/>
            <w10:anchorlock/>
          </v:shape>
        </w:pic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t>9.当日在观测场释放一只氦气球,观测它在1千米高度以下先向北漂,然后逐渐转向西南。释放气球的时间可能为(  )</w: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t>A.1时      B.7时      C.13时      D.19时</w: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t>10.据图推测,陆地大致位于海洋的(  )</w: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t>A.东北方    B.东南方    C.西南方    D.西北方</w: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t>11.当日该市所处的气压场的特点是(  )</w: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t xml:space="preserve">A.北高南低,梯度大     B.北高南低,梯度小    </w: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t>C.南高北低,梯度大     D.南高北低,梯度小</w:t>
      </w:r>
    </w:p>
    <w:p>
      <w:pPr>
        <w:widowControl/>
        <w:spacing w:line="360" w:lineRule="auto"/>
        <w:jc w:val="left"/>
        <w:rPr>
          <w:rFonts w:ascii="黑体" w:hAnsi="宋体" w:eastAsia="黑体" w:cs="黑体"/>
          <w:color w:val="000000"/>
          <w:kern w:val="0"/>
          <w:szCs w:val="21"/>
          <w:lang w:bidi="ar"/>
        </w:rPr>
      </w:pPr>
      <w:r>
        <w:rPr>
          <w:rFonts w:hint="eastAsia" w:ascii="黑体" w:hAnsi="宋体" w:eastAsia="黑体" w:cs="黑体"/>
          <w:color w:val="000000"/>
          <w:kern w:val="0"/>
          <w:szCs w:val="21"/>
          <w:lang w:bidi="ar"/>
        </w:rPr>
        <w:t>二、非选择题:第36、37题为必做题,第43、44题为选做题,共56分。</w:t>
      </w:r>
    </w:p>
    <w:p>
      <w:pPr>
        <w:widowControl/>
        <w:spacing w:line="360" w:lineRule="auto"/>
        <w:jc w:val="left"/>
        <w:rPr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t>36.阅读图文材料,完成下列要求。(22分)</w:t>
      </w:r>
      <w:r>
        <w:rPr>
          <w:rFonts w:hint="eastAsia" w:ascii="楷体" w:hAnsi="楷体" w:eastAsia="楷体" w:cs="楷体"/>
          <w:color w:val="000000"/>
          <w:spacing w:val="8"/>
          <w:kern w:val="0"/>
          <w:szCs w:val="21"/>
          <w:shd w:val="clear" w:color="auto" w:fill="FFFFFF"/>
          <w:lang w:bidi="ar"/>
        </w:rPr>
        <w:t>为缓解淡水资源短缺问题,以色列政府从2001年开始推行海水淡化计划,鼓励企业实行“电水联产”模式,即企业在建设海水淡化厂时,兴建以地中海丰富的天然气为能源的发电厂,且并入国家电网(由进口煤炭发电支撑,成本较高)。目前地中海沿岸地区已建成5家这样的海水淡化厂,每年生产的淡水相当于全国淡水用量的1/3,且被统一纳入国家供水网络优先利用。以色列政府于2022年启动淡化水反注太巴列湖工程,打造淡水“蓄水库”,以缓解最大水源地太巴列湖水位迅速下降的状况。图6示意以色列地中海沿岸地区海水淡化厂及供水网络的分布。</w:t>
      </w:r>
    </w:p>
    <w:p>
      <w:pPr>
        <w:pStyle w:val="7"/>
        <w:widowControl/>
        <w:shd w:val="clear" w:color="auto" w:fill="FFFFFF"/>
        <w:spacing w:beforeAutospacing="0" w:after="288" w:afterAutospacing="0" w:line="360" w:lineRule="auto"/>
        <w:jc w:val="both"/>
        <w:rPr>
          <w:rFonts w:ascii="Microsoft YaHei UI" w:hAnsi="Microsoft YaHei UI" w:eastAsia="Microsoft YaHei UI" w:cs="Microsoft YaHei UI"/>
          <w:color w:val="222222"/>
          <w:spacing w:val="7"/>
          <w:sz w:val="21"/>
          <w:szCs w:val="21"/>
        </w:rPr>
      </w:pPr>
      <w:r>
        <w:rPr>
          <w:rFonts w:ascii="Microsoft YaHei UI" w:hAnsi="Microsoft YaHei UI" w:eastAsia="Microsoft YaHei UI" w:cs="Microsoft YaHei UI"/>
          <w:color w:val="222222"/>
          <w:spacing w:val="7"/>
          <w:sz w:val="21"/>
          <w:szCs w:val="21"/>
          <w:shd w:val="clear" w:color="auto" w:fill="FFFFFF"/>
        </w:rPr>
        <w:pict>
          <v:shape id="_x0000_i1029" o:spt="75" alt="IMG_260" type="#_x0000_t75" style="height:341.25pt;width:310.5pt;" filled="f" o:preferrelative="t" stroked="f" coordsize="21600,21600">
            <v:path/>
            <v:fill on="f" focussize="0,0"/>
            <v:stroke on="f" joinstyle="miter"/>
            <v:imagedata r:id="rId13" o:title="IMG_260"/>
            <o:lock v:ext="edit" aspectratio="t"/>
            <w10:wrap type="none"/>
            <w10:anchorlock/>
          </v:shape>
        </w:pic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t>(1)说明以色列海水淡化厂的区位特点。(6分)</w:t>
      </w:r>
      <w:r>
        <w:rPr>
          <w:rFonts w:hint="eastAsia" w:ascii="宋体" w:hAnsi="宋体" w:cs="宋体"/>
          <w:color w:val="000000"/>
          <w:kern w:val="0"/>
          <w:szCs w:val="21"/>
          <w:lang w:bidi="ar"/>
        </w:rPr>
        <w:br w:type="textWrapping"/>
      </w:r>
      <w:r>
        <w:rPr>
          <w:rFonts w:hint="eastAsia" w:ascii="宋体" w:hAnsi="宋体" w:cs="宋体"/>
          <w:color w:val="000000"/>
          <w:kern w:val="0"/>
          <w:szCs w:val="21"/>
          <w:lang w:bidi="ar"/>
        </w:rPr>
        <w:t>(2)简述以色列海水淡化厂配建天然气发电厂的益处。(6分)</w:t>
      </w:r>
      <w:r>
        <w:rPr>
          <w:rFonts w:hint="eastAsia" w:ascii="宋体" w:hAnsi="宋体" w:cs="宋体"/>
          <w:color w:val="000000"/>
          <w:kern w:val="0"/>
          <w:szCs w:val="21"/>
          <w:lang w:bidi="ar"/>
        </w:rPr>
        <w:br w:type="textWrapping"/>
      </w:r>
      <w:r>
        <w:rPr>
          <w:rFonts w:hint="eastAsia" w:ascii="宋体" w:hAnsi="宋体" w:cs="宋体"/>
          <w:color w:val="000000"/>
          <w:kern w:val="0"/>
          <w:szCs w:val="21"/>
          <w:lang w:bidi="ar"/>
        </w:rPr>
        <w:t>(3)指出以色列将海水淡化水纳入国家供水网络的目的。(4分)</w:t>
      </w:r>
      <w:r>
        <w:rPr>
          <w:rFonts w:hint="eastAsia" w:ascii="宋体" w:hAnsi="宋体" w:cs="宋体"/>
          <w:color w:val="000000"/>
          <w:kern w:val="0"/>
          <w:szCs w:val="21"/>
          <w:lang w:bidi="ar"/>
        </w:rPr>
        <w:br w:type="textWrapping"/>
      </w:r>
      <w:r>
        <w:rPr>
          <w:rFonts w:hint="eastAsia" w:ascii="宋体" w:hAnsi="宋体" w:cs="宋体"/>
          <w:color w:val="000000"/>
          <w:kern w:val="0"/>
          <w:szCs w:val="21"/>
          <w:lang w:bidi="ar"/>
        </w:rPr>
        <w:t>(4)分析以色列打造淡水“蓄水库”对海水淡化产业发展的积极影响。(6分)</w:t>
      </w:r>
      <w:r>
        <w:rPr>
          <w:rFonts w:hint="eastAsia" w:ascii="宋体" w:hAnsi="宋体" w:cs="宋体"/>
          <w:color w:val="000000"/>
          <w:kern w:val="0"/>
          <w:szCs w:val="21"/>
          <w:lang w:bidi="ar"/>
        </w:rPr>
        <w:br w:type="textWrapping"/>
      </w:r>
      <w:r>
        <w:rPr>
          <w:rFonts w:hint="eastAsia" w:ascii="宋体" w:hAnsi="宋体" w:cs="宋体"/>
          <w:color w:val="000000"/>
          <w:kern w:val="0"/>
          <w:szCs w:val="21"/>
          <w:lang w:bidi="ar"/>
        </w:rPr>
        <w:t>37.阅读图文材料,完成下列要求。(24分)</w: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  <w:lang w:bidi="ar"/>
        </w:rPr>
      </w:pPr>
      <w:r>
        <w:rPr>
          <w:rFonts w:hint="eastAsia" w:ascii="楷体" w:hAnsi="楷体" w:eastAsia="楷体" w:cs="楷体"/>
          <w:color w:val="000000"/>
          <w:spacing w:val="8"/>
          <w:kern w:val="0"/>
          <w:szCs w:val="21"/>
          <w:shd w:val="clear" w:color="auto" w:fill="FFFFFF"/>
          <w:lang w:bidi="ar"/>
        </w:rPr>
        <w:t>影响海岸线位置的因素,既有全球尺度因素,如海平面升降,又有区域尺度因素,如泥沙沉积、地壳运动、人类活动等导致的陆面升降。最新研究表明,冰盖消融形成的消融区内,冰盖重力导致的岩层形变缓慢恢复,持续影响着该范围的海岸线位置。距今约1.8万年,北美冰盖开始消融,形成广大消融区。图7显示甲(位于太平洋北岸阿拉斯加的基岩海岸区)、乙(位于墨西哥湾密西西比河的河口三角洲)两站监测的海平面的相对变化。海平面的相对变化是陆面和海平面共同变化的结果。</w:t>
      </w:r>
      <w:r>
        <w:rPr>
          <w:rFonts w:ascii="宋体" w:hAnsi="宋体" w:cs="宋体"/>
          <w:kern w:val="0"/>
          <w:szCs w:val="21"/>
          <w:lang w:bidi="ar"/>
        </w:rPr>
        <w:pict>
          <v:shape id="_x0000_i1030" o:spt="75" alt="IMG_261" type="#_x0000_t75" style="height:165.75pt;width:462pt;" filled="f" o:preferrelative="t" stroked="f" coordsize="21600,21600">
            <v:path/>
            <v:fill on="f" focussize="0,0"/>
            <v:stroke on="f" joinstyle="miter"/>
            <v:imagedata r:id="rId14" o:title="IMG_261"/>
            <o:lock v:ext="edit" aspectratio="t"/>
            <w10:wrap type="none"/>
            <w10:anchorlock/>
          </v:shape>
        </w:pict>
      </w:r>
      <w:r>
        <w:rPr>
          <w:rFonts w:hint="eastAsia" w:ascii="宋体" w:hAnsi="宋体" w:cs="宋体"/>
          <w:color w:val="000000"/>
          <w:kern w:val="0"/>
          <w:szCs w:val="21"/>
          <w:lang w:bidi="ar"/>
        </w:rPr>
        <w:t>(1)分别指出冰盖消融导致的海平面、消融区陆面的垂直变化,并说明两者共同导致的海岸线水平变化方向。(6分)</w:t>
      </w:r>
      <w:r>
        <w:rPr>
          <w:rFonts w:hint="eastAsia" w:ascii="宋体" w:hAnsi="宋体" w:cs="宋体"/>
          <w:color w:val="000000"/>
          <w:kern w:val="0"/>
          <w:szCs w:val="21"/>
          <w:lang w:bidi="ar"/>
        </w:rPr>
        <w:br w:type="textWrapping"/>
      </w:r>
      <w:r>
        <w:rPr>
          <w:rFonts w:hint="eastAsia" w:ascii="宋体" w:hAnsi="宋体" w:cs="宋体"/>
          <w:color w:val="000000"/>
          <w:kern w:val="0"/>
          <w:szCs w:val="21"/>
          <w:lang w:bidi="ar"/>
        </w:rPr>
        <w:t>(2)根据地理位置,分析甲站陆面垂直变化的原因。(6分)</w:t>
      </w:r>
      <w:r>
        <w:rPr>
          <w:rFonts w:hint="eastAsia" w:ascii="宋体" w:hAnsi="宋体" w:cs="宋体"/>
          <w:color w:val="000000"/>
          <w:kern w:val="0"/>
          <w:szCs w:val="21"/>
          <w:lang w:bidi="ar"/>
        </w:rPr>
        <w:br w:type="textWrapping"/>
      </w:r>
      <w:r>
        <w:rPr>
          <w:rFonts w:hint="eastAsia" w:ascii="宋体" w:hAnsi="宋体" w:cs="宋体"/>
          <w:color w:val="000000"/>
          <w:kern w:val="0"/>
          <w:szCs w:val="21"/>
          <w:lang w:bidi="ar"/>
        </w:rPr>
        <w:t>(3)说明导致乙站所在区域海岸线变化的主要人为影响方式。(6分)</w:t>
      </w:r>
      <w:r>
        <w:rPr>
          <w:rFonts w:hint="eastAsia" w:ascii="宋体" w:hAnsi="宋体" w:cs="宋体"/>
          <w:color w:val="000000"/>
          <w:kern w:val="0"/>
          <w:szCs w:val="21"/>
          <w:lang w:bidi="ar"/>
        </w:rPr>
        <w:br w:type="textWrapping"/>
      </w:r>
      <w:r>
        <w:rPr>
          <w:rFonts w:hint="eastAsia" w:ascii="宋体" w:hAnsi="宋体" w:cs="宋体"/>
          <w:color w:val="000000"/>
          <w:kern w:val="0"/>
          <w:szCs w:val="21"/>
          <w:lang w:bidi="ar"/>
        </w:rPr>
        <w:t>(4)分析甲站区域与乙站区域海岸线水平变化的方向和幅度的差异。(6分)</w:t>
      </w:r>
    </w:p>
    <w:p>
      <w:pPr>
        <w:widowControl/>
        <w:spacing w:line="360" w:lineRule="auto"/>
        <w:jc w:val="left"/>
        <w:rPr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br w:type="textWrapping"/>
      </w:r>
      <w:r>
        <w:rPr>
          <w:rFonts w:hint="eastAsia" w:ascii="宋体" w:hAnsi="宋体" w:cs="宋体"/>
          <w:color w:val="000000"/>
          <w:kern w:val="0"/>
          <w:szCs w:val="21"/>
          <w:lang w:bidi="ar"/>
        </w:rPr>
        <w:t>43.[地理—选修3:旅游地理](10分)</w:t>
      </w:r>
      <w:r>
        <w:rPr>
          <w:rFonts w:hint="eastAsia" w:ascii="楷体" w:hAnsi="楷体" w:eastAsia="楷体" w:cs="楷体"/>
          <w:color w:val="000000"/>
          <w:spacing w:val="8"/>
          <w:kern w:val="0"/>
          <w:szCs w:val="21"/>
          <w:shd w:val="clear" w:color="auto" w:fill="FFFFFF"/>
          <w:lang w:bidi="ar"/>
        </w:rPr>
        <w:t>在旅游景区,观景台被称为“凝视景点的窗口”“站在风景上看风景的平台”。而观景台有时也像广告牌,告诉甚至“规定”旅游者从这里能看到的典型景色。</w:t>
      </w:r>
    </w:p>
    <w:p>
      <w:pPr>
        <w:pStyle w:val="7"/>
        <w:widowControl/>
        <w:shd w:val="clear" w:color="auto" w:fill="FFFFFF"/>
        <w:spacing w:before="96" w:beforeAutospacing="0" w:after="96" w:afterAutospacing="0" w:line="360" w:lineRule="auto"/>
        <w:ind w:firstLine="420"/>
        <w:rPr>
          <w:rFonts w:cs="Calibri"/>
          <w:color w:val="222222"/>
          <w:spacing w:val="7"/>
          <w:sz w:val="21"/>
          <w:szCs w:val="21"/>
        </w:rPr>
      </w:pPr>
      <w:r>
        <w:rPr>
          <w:rFonts w:hint="eastAsia" w:ascii="宋体" w:hAnsi="宋体" w:cs="宋体"/>
          <w:color w:val="000000"/>
          <w:spacing w:val="7"/>
          <w:sz w:val="21"/>
          <w:szCs w:val="21"/>
          <w:shd w:val="clear" w:color="auto" w:fill="FFFFFF"/>
        </w:rPr>
        <w:t>评价观景台对旅游者欣赏风景的影响。</w:t>
      </w:r>
    </w:p>
    <w:p>
      <w:pPr>
        <w:widowControl/>
        <w:spacing w:line="360" w:lineRule="auto"/>
        <w:jc w:val="left"/>
        <w:rPr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  <w:lang w:bidi="ar"/>
        </w:rPr>
        <w:br w:type="textWrapping"/>
      </w:r>
      <w:r>
        <w:rPr>
          <w:rFonts w:hint="eastAsia" w:ascii="宋体" w:hAnsi="宋体" w:cs="宋体"/>
          <w:color w:val="000000"/>
          <w:kern w:val="0"/>
          <w:szCs w:val="21"/>
          <w:lang w:bidi="ar"/>
        </w:rPr>
        <w:t>44.[地理—选修6:环境保护](10分)</w:t>
      </w:r>
      <w:r>
        <w:rPr>
          <w:rFonts w:hint="eastAsia" w:ascii="楷体" w:hAnsi="楷体" w:eastAsia="楷体" w:cs="楷体"/>
          <w:color w:val="000000"/>
          <w:spacing w:val="8"/>
          <w:kern w:val="0"/>
          <w:szCs w:val="21"/>
          <w:shd w:val="clear" w:color="auto" w:fill="FFFFFF"/>
          <w:lang w:bidi="ar"/>
        </w:rPr>
        <w:t>呼伦贝尔草原牧草以禾本科牧草为主,伴生优质豆科牧草,两类牧草对生长空间的竞争激烈。这里土壤氮素含量低,限制了禾本科牧草的生长,但对豆科牧草的生长影响较弱。21世纪初,在草原公路两侧几千米甚至十几千米的范围内,汽车尾气导致的氮化物沉降,增加了土壤氮素含量,影响牧草生长。</w:t>
      </w:r>
    </w:p>
    <w:p>
      <w:pPr>
        <w:pStyle w:val="7"/>
        <w:widowControl/>
        <w:shd w:val="clear" w:color="auto" w:fill="FFFFFF"/>
        <w:spacing w:before="96" w:beforeAutospacing="0" w:after="96" w:afterAutospacing="0" w:line="360" w:lineRule="auto"/>
        <w:ind w:firstLine="420"/>
        <w:rPr>
          <w:rFonts w:cs="Calibri"/>
          <w:color w:val="222222"/>
          <w:spacing w:val="7"/>
          <w:sz w:val="21"/>
          <w:szCs w:val="21"/>
        </w:rPr>
      </w:pPr>
      <w:r>
        <w:rPr>
          <w:rFonts w:hint="eastAsia" w:ascii="宋体" w:hAnsi="宋体" w:cs="宋体"/>
          <w:color w:val="000000"/>
          <w:spacing w:val="7"/>
          <w:sz w:val="21"/>
          <w:szCs w:val="21"/>
          <w:shd w:val="clear" w:color="auto" w:fill="FFFFFF"/>
        </w:rPr>
        <w:t>说明汽车尾气导致的氮沉降对呼伦贝尔草原公路两侧牧草的影响。</w:t>
      </w:r>
    </w:p>
    <w:p>
      <w:pPr>
        <w:spacing w:line="360" w:lineRule="auto"/>
        <w:rPr>
          <w:szCs w:val="21"/>
        </w:rPr>
      </w:pPr>
    </w:p>
    <w:p>
      <w:pPr>
        <w:adjustRightInd w:val="0"/>
        <w:spacing w:line="360" w:lineRule="auto"/>
        <w:jc w:val="left"/>
        <w:rPr>
          <w:b/>
          <w:color w:val="000000"/>
          <w:szCs w:val="21"/>
        </w:rPr>
      </w:pPr>
    </w:p>
    <w:p>
      <w:pPr>
        <w:adjustRightInd w:val="0"/>
        <w:spacing w:line="360" w:lineRule="auto"/>
        <w:jc w:val="left"/>
        <w:rPr>
          <w:b/>
          <w:color w:val="000000"/>
          <w:szCs w:val="21"/>
        </w:rPr>
      </w:pPr>
    </w:p>
    <w:p>
      <w:pPr>
        <w:adjustRightInd w:val="0"/>
        <w:spacing w:line="360" w:lineRule="auto"/>
        <w:jc w:val="left"/>
        <w:rPr>
          <w:b/>
          <w:color w:val="000000"/>
          <w:szCs w:val="21"/>
        </w:rPr>
      </w:pPr>
    </w:p>
    <w:p>
      <w:pPr>
        <w:adjustRightInd w:val="0"/>
        <w:spacing w:line="360" w:lineRule="auto"/>
        <w:jc w:val="left"/>
        <w:rPr>
          <w:b/>
          <w:color w:val="000000"/>
          <w:szCs w:val="21"/>
        </w:rPr>
      </w:pPr>
    </w:p>
    <w:p>
      <w:pPr>
        <w:adjustRightInd w:val="0"/>
        <w:spacing w:line="360" w:lineRule="auto"/>
        <w:jc w:val="left"/>
        <w:rPr>
          <w:b/>
          <w:color w:val="000000"/>
          <w:szCs w:val="21"/>
        </w:rPr>
      </w:pPr>
    </w:p>
    <w:p>
      <w:pPr>
        <w:adjustRightInd w:val="0"/>
        <w:spacing w:line="360" w:lineRule="auto"/>
        <w:jc w:val="left"/>
        <w:rPr>
          <w:b/>
          <w:color w:val="000000"/>
          <w:szCs w:val="21"/>
        </w:rPr>
      </w:pPr>
    </w:p>
    <w:p>
      <w:pPr>
        <w:adjustRightInd w:val="0"/>
        <w:spacing w:line="360" w:lineRule="auto"/>
        <w:jc w:val="left"/>
        <w:rPr>
          <w:b/>
          <w:color w:val="000000"/>
          <w:szCs w:val="21"/>
        </w:rPr>
      </w:pPr>
    </w:p>
    <w:p>
      <w:pPr>
        <w:adjustRightInd w:val="0"/>
        <w:spacing w:line="360" w:lineRule="auto"/>
        <w:jc w:val="left"/>
        <w:rPr>
          <w:b/>
          <w:color w:val="000000"/>
          <w:szCs w:val="21"/>
        </w:rPr>
      </w:pPr>
    </w:p>
    <w:p>
      <w:pPr>
        <w:adjustRightInd w:val="0"/>
        <w:spacing w:line="360" w:lineRule="auto"/>
        <w:jc w:val="left"/>
        <w:rPr>
          <w:b/>
          <w:color w:val="000000"/>
          <w:szCs w:val="21"/>
        </w:rPr>
      </w:pPr>
    </w:p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pict>
          <v:shape id="图片 100021" o:spid="_x0000_s1034" o:spt="75" type="#_x0000_t75" style="position:absolute;left:0pt;margin-left:993pt;margin-top:815pt;height:28pt;width:20pt;mso-position-horizontal-relative:page;mso-position-vertical-relative:page;z-index:251661312;mso-width-relative:margin;mso-height-relative:margin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</v:shape>
        </w:pict>
      </w:r>
      <w:r>
        <w:rPr>
          <w:rFonts w:ascii="宋体" w:hAnsi="宋体" w:cs="宋体"/>
          <w:b/>
          <w:sz w:val="32"/>
        </w:rPr>
        <w:t>2022年普通高等学校招生全国统一考试（全国乙卷）</w:t>
      </w:r>
    </w:p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 w:cs="宋体"/>
          <w:b/>
          <w:sz w:val="32"/>
        </w:rPr>
        <w:t>地理</w:t>
      </w:r>
    </w:p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hint="eastAsia" w:ascii="宋体" w:hAnsi="宋体" w:cs="宋体"/>
          <w:b/>
          <w:sz w:val="32"/>
        </w:rPr>
        <w:t>参考答案</w:t>
      </w:r>
    </w:p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</w:p>
    <w:p>
      <w:pPr>
        <w:spacing w:line="360" w:lineRule="auto"/>
        <w:jc w:val="left"/>
        <w:textAlignment w:val="center"/>
      </w:pPr>
      <w:r>
        <w:rPr>
          <w:rFonts w:ascii="宋体" w:hAnsi="宋体" w:cs="宋体"/>
          <w:b/>
          <w:sz w:val="24"/>
        </w:rPr>
        <w:t>一、选择题:本题共11小题,每小题4分,共44分。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1. A    2. D    3. 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4. D    5. B    6. 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7. A    8. 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9. C    10. D    11. B</w:t>
      </w:r>
    </w:p>
    <w:p>
      <w:pPr>
        <w:spacing w:line="360" w:lineRule="auto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 w:cs="宋体"/>
          <w:b/>
          <w:color w:val="000000"/>
          <w:sz w:val="24"/>
        </w:rPr>
        <w:t>二、非选择题:第12、13题为必做题,第14、15题为选做题,共56分。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（1）以色列西部临海，海水淡化厂空间分布不均，主要集中在以色列西部，海水原料资源丰富；西部地区降水量较大，气候相对适宜，人口密度较大；接近重要城市和一般城市，用水需求大，市场广阔；接近城市能为其提供基础设施(管线)、技术、人才、资金等支撑；邻近供水(主)管道，便于形成统一的供水网络。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保障海水淡化厂(蒸汽和高温水所需的)能源供应，进而保障海水淡化厂生产的连续和供应淡水的稳定；降低海水淡化厂进口煤炭的生产成本；避免对国外煤炭的依赖，提高自给率，维护国家安全；共同利用基础设施，节约生产建设投资；提高能源的利用率，减少天然气发电厂废弃物的排放。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（3）缓解以色列淡水资源供应不足的矛盾；满足以色列中东部内陆地区的用水需求；调节淡化水量，提高水资源利用率，避免“弃水”；提高海水淡化厂的经济效益。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通过增大淡水需求，扩大海水淡化产业的规模；延长产业链和价值链，扩大海水淡化产业的利润；改善生态环境，提高海水淡化产业的生态价值；便于海水淡化产业获得更多的政策支持，取得持续发展；为海水淡化产业提供可靠的淡水满足生产生活需求。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13. （1）</w:t>
      </w:r>
      <w:r>
        <w:rPr>
          <w:rFonts w:ascii="宋体" w:hAnsi="宋体" w:cs="宋体"/>
          <w:color w:val="000000"/>
        </w:rPr>
        <w:t>海平面上升，消融区陆面上升。冰盖消融期，海平面上升幅度超过陆面上升幅度，海岸线向陆地方向推进；冰盖消融后，陆面上升幅度超过海平面上升幅度，海岸线向海洋方向退缩。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（2）</w:t>
      </w:r>
      <w:r>
        <w:rPr>
          <w:rFonts w:ascii="宋体" w:hAnsi="宋体" w:cs="宋体"/>
          <w:color w:val="000000"/>
        </w:rPr>
        <w:t>甲地位于基岩海岸，冰盖覆盖时，岩层受压导致陆面下沉，冰盖消融后，岩层承压减轻，岩层形变缓慢恢复，使得陆面上升；甲站位于板块交界处，板块运动导致甲站陆面抬升。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（3）</w:t>
      </w:r>
      <w:r>
        <w:rPr>
          <w:rFonts w:ascii="宋体" w:hAnsi="宋体" w:cs="宋体"/>
          <w:color w:val="000000"/>
        </w:rPr>
        <w:t>大量排放温室气体，导致气候变暖，加速冰川消融和海水热膨胀，导致海平面上升；密西西比河流域内水利设施拦水拦沙，导致河口三角洲萎缩，海岸线向陆地推进。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（4）</w:t>
      </w:r>
      <w:r>
        <w:rPr>
          <w:rFonts w:ascii="宋体" w:hAnsi="宋体" w:cs="宋体"/>
          <w:color w:val="000000"/>
        </w:rPr>
        <w:t>甲站区域位于太平洋北岸，海平面下降，海岸线向南移动，由于基岩海岸陡峭，海岸线在水平方向上变化幅度较小；乙站区域南侧临海，海平面上升，海岸线向北移动，由于三角洲地势平缓，在水平方向上变化幅度较大。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14. 有利影响：为旅游者提供经典的、有代表性的观赏方位和角度；利于塑造风景的典型形象，形成 品牌，提高知名度；观景台本身可能在形态、位置、景观方面突出，也是景点之一；为旅游者提供服 务，提高接待条件；约束了游客肆意扩大游览范围对环境的干扰。 不利影响：限制了旅游者观赏的角度和范围；不利于游客以情观景，缺乏个性化体验；部分观景台与 风景格格不入，破坏整体景观的和谐。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15. 氮素含量增加，不再成为当地土壤牧草生长的主要限制性因素，禾本科牧草能够获得相对充足的 氮素供应，长势改善，能竞争到更多的生长空间，覆盖度和多样性提高；豆科牧草在种间竞争中的优 势减弱，部分资源被禾本科牧草侵占，覆盖度和多样性减小。总体上，群落结构改变，多样性增大， 但优质的豆科牧草减少，杂类草增加。</w:t>
      </w:r>
    </w:p>
    <w:p/>
    <w:p>
      <w:pPr>
        <w:adjustRightInd w:val="0"/>
        <w:spacing w:line="360" w:lineRule="auto"/>
        <w:jc w:val="left"/>
        <w:rPr>
          <w:b/>
          <w:color w:val="000000"/>
          <w:szCs w:val="21"/>
        </w:rPr>
        <w:sectPr>
          <w:headerReference r:id="rId4" w:type="first"/>
          <w:headerReference r:id="rId3" w:type="default"/>
          <w:footerReference r:id="rId5" w:type="default"/>
          <w:pgSz w:w="11906" w:h="16838"/>
          <w:pgMar w:top="1440" w:right="1800" w:bottom="1440" w:left="1800" w:header="708" w:footer="708" w:gutter="0"/>
          <w:cols w:space="708" w:num="1"/>
        </w:sectPr>
      </w:pPr>
    </w:p>
    <w:p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0048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_x0000_s2057" o:spid="_x0000_s2057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8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9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rPr>
        <w:kern w:val="0"/>
        <w:sz w:val="2"/>
        <w:szCs w:val="2"/>
      </w:rPr>
    </w:pPr>
    <w:r>
      <w:rPr>
        <w:sz w:val="21"/>
      </w:rPr>
      <w:pict>
        <v:shape id="图片 4" o:spid="_x0000_s2051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</w:p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031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4" o:spid="_x0000_s2054" o:spt="75" alt="学科网 zxxk.com" type="#_x0000_t75" style="position:absolute;left:0pt;margin-left:351pt;margin-top:8.45pt;height:0.75pt;width:0.7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3" r:href="rId4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3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pict>
        <v:shape id="_x0000_s2060" o:spid="_x0000_s2060" o:spt="75" type="#_x0000_t75" style="position:absolute;left:0pt;margin-left:10pt;margin-top:1000pt;height:19pt;width:25pt;mso-position-horizontal-relative:page;mso-position-vertical-relative:page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removePersonalInformation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zMTZkYjU5YzZlZWUwMTZjZDUxNGE1OWEyNmU1MmYifQ=="/>
  </w:docVars>
  <w:rsids>
    <w:rsidRoot w:val="00172A27"/>
    <w:rsid w:val="00032299"/>
    <w:rsid w:val="00036B54"/>
    <w:rsid w:val="0004107A"/>
    <w:rsid w:val="00042D20"/>
    <w:rsid w:val="00074D4E"/>
    <w:rsid w:val="000B4DDA"/>
    <w:rsid w:val="00143BA0"/>
    <w:rsid w:val="00172A27"/>
    <w:rsid w:val="001C5C3B"/>
    <w:rsid w:val="00210316"/>
    <w:rsid w:val="00254170"/>
    <w:rsid w:val="002A100D"/>
    <w:rsid w:val="00316B22"/>
    <w:rsid w:val="00347821"/>
    <w:rsid w:val="003D2F98"/>
    <w:rsid w:val="003D3446"/>
    <w:rsid w:val="004039C9"/>
    <w:rsid w:val="004151FC"/>
    <w:rsid w:val="0043459B"/>
    <w:rsid w:val="00455017"/>
    <w:rsid w:val="004622A1"/>
    <w:rsid w:val="00463A45"/>
    <w:rsid w:val="00474FD3"/>
    <w:rsid w:val="004932BA"/>
    <w:rsid w:val="004C475B"/>
    <w:rsid w:val="004D04CE"/>
    <w:rsid w:val="004D2AA0"/>
    <w:rsid w:val="005111B6"/>
    <w:rsid w:val="005A00A3"/>
    <w:rsid w:val="005C7B09"/>
    <w:rsid w:val="00616A96"/>
    <w:rsid w:val="006170F6"/>
    <w:rsid w:val="00643C85"/>
    <w:rsid w:val="00661634"/>
    <w:rsid w:val="006C193A"/>
    <w:rsid w:val="006F0AC1"/>
    <w:rsid w:val="00703C9A"/>
    <w:rsid w:val="007409DA"/>
    <w:rsid w:val="00747FC3"/>
    <w:rsid w:val="00815ACE"/>
    <w:rsid w:val="008210BD"/>
    <w:rsid w:val="00832B6F"/>
    <w:rsid w:val="008513F7"/>
    <w:rsid w:val="00894AE8"/>
    <w:rsid w:val="008E017E"/>
    <w:rsid w:val="008E3A09"/>
    <w:rsid w:val="009035FD"/>
    <w:rsid w:val="00903880"/>
    <w:rsid w:val="00907FCC"/>
    <w:rsid w:val="0093198C"/>
    <w:rsid w:val="0093763E"/>
    <w:rsid w:val="00970AC0"/>
    <w:rsid w:val="009801CE"/>
    <w:rsid w:val="0099176A"/>
    <w:rsid w:val="00995B8E"/>
    <w:rsid w:val="009D22B6"/>
    <w:rsid w:val="009D5325"/>
    <w:rsid w:val="009E60DD"/>
    <w:rsid w:val="00A45B40"/>
    <w:rsid w:val="00A45E1B"/>
    <w:rsid w:val="00A84FC2"/>
    <w:rsid w:val="00AB112E"/>
    <w:rsid w:val="00AC54AD"/>
    <w:rsid w:val="00AE16B2"/>
    <w:rsid w:val="00B32E37"/>
    <w:rsid w:val="00B94BD3"/>
    <w:rsid w:val="00BC28AD"/>
    <w:rsid w:val="00C02FC6"/>
    <w:rsid w:val="00C052B8"/>
    <w:rsid w:val="00C158B8"/>
    <w:rsid w:val="00C2519D"/>
    <w:rsid w:val="00C3132A"/>
    <w:rsid w:val="00C45FD9"/>
    <w:rsid w:val="00C473F2"/>
    <w:rsid w:val="00C671DC"/>
    <w:rsid w:val="00C72B72"/>
    <w:rsid w:val="00CF2606"/>
    <w:rsid w:val="00CF6E86"/>
    <w:rsid w:val="00D26350"/>
    <w:rsid w:val="00D66B88"/>
    <w:rsid w:val="00D8561D"/>
    <w:rsid w:val="00DC3B6E"/>
    <w:rsid w:val="00E85FEB"/>
    <w:rsid w:val="00EA547B"/>
    <w:rsid w:val="00EB14CE"/>
    <w:rsid w:val="00EE165A"/>
    <w:rsid w:val="00F055CD"/>
    <w:rsid w:val="00F57130"/>
    <w:rsid w:val="00F84BF7"/>
    <w:rsid w:val="00F90E51"/>
    <w:rsid w:val="00F9407A"/>
    <w:rsid w:val="00FB4854"/>
    <w:rsid w:val="00FD3F6E"/>
    <w:rsid w:val="00FD65A2"/>
    <w:rsid w:val="04ED064B"/>
    <w:rsid w:val="07A64E8C"/>
    <w:rsid w:val="0E9735D5"/>
    <w:rsid w:val="0EBD1213"/>
    <w:rsid w:val="10914580"/>
    <w:rsid w:val="14180254"/>
    <w:rsid w:val="19D41982"/>
    <w:rsid w:val="1BA3160C"/>
    <w:rsid w:val="22721A61"/>
    <w:rsid w:val="253F05F7"/>
    <w:rsid w:val="28EF5CEF"/>
    <w:rsid w:val="2E494294"/>
    <w:rsid w:val="315B05EF"/>
    <w:rsid w:val="33315B32"/>
    <w:rsid w:val="3336059D"/>
    <w:rsid w:val="33E00819"/>
    <w:rsid w:val="369B20BC"/>
    <w:rsid w:val="3FE43E1D"/>
    <w:rsid w:val="40D23C76"/>
    <w:rsid w:val="42231596"/>
    <w:rsid w:val="4DC71966"/>
    <w:rsid w:val="506D39BB"/>
    <w:rsid w:val="51496B1C"/>
    <w:rsid w:val="53E64A95"/>
    <w:rsid w:val="56DE36A7"/>
    <w:rsid w:val="58254B7B"/>
    <w:rsid w:val="5A7341F3"/>
    <w:rsid w:val="62510F7A"/>
    <w:rsid w:val="6EC25BF9"/>
    <w:rsid w:val="6F595902"/>
    <w:rsid w:val="72BC1561"/>
    <w:rsid w:val="738B05FB"/>
    <w:rsid w:val="76170647"/>
    <w:rsid w:val="76FD3618"/>
    <w:rsid w:val="79E650F1"/>
    <w:rsid w:val="7D4D72C3"/>
    <w:rsid w:val="7F4A08A0"/>
    <w:rsid w:val="7F6C23AB"/>
  </w:rsids>
  <m:mathPr>
    <m:mathFont m:val="Cambria Math"/>
    <m:brkBin m:val="before"/>
    <m:brkBinSub m:val="--"/>
    <m:smallFrac m:val="1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7"/>
    <w:qFormat/>
    <w:uiPriority w:val="0"/>
    <w:pPr>
      <w:jc w:val="left"/>
    </w:pPr>
    <w:rPr>
      <w:szCs w:val="24"/>
    </w:rPr>
  </w:style>
  <w:style w:type="paragraph" w:styleId="3">
    <w:name w:val="Plain Text"/>
    <w:basedOn w:val="1"/>
    <w:link w:val="18"/>
    <w:qFormat/>
    <w:uiPriority w:val="0"/>
    <w:rPr>
      <w:rFonts w:ascii="宋体" w:hAnsi="Courier New" w:cs="Courier New"/>
      <w:szCs w:val="21"/>
    </w:rPr>
  </w:style>
  <w:style w:type="paragraph" w:styleId="4">
    <w:name w:val="Balloon Text"/>
    <w:basedOn w:val="1"/>
    <w:link w:val="19"/>
    <w:qFormat/>
    <w:uiPriority w:val="0"/>
    <w:rPr>
      <w:sz w:val="18"/>
      <w:szCs w:val="18"/>
    </w:rPr>
  </w:style>
  <w:style w:type="paragraph" w:styleId="5">
    <w:name w:val="footer"/>
    <w:basedOn w:val="1"/>
    <w:link w:val="2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21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pPr>
      <w:spacing w:beforeAutospacing="1" w:afterAutospacing="1"/>
      <w:jc w:val="left"/>
    </w:pPr>
    <w:rPr>
      <w:rFonts w:ascii="Calibri" w:hAnsi="Calibri"/>
      <w:kern w:val="0"/>
      <w:sz w:val="24"/>
      <w:szCs w:val="24"/>
    </w:rPr>
  </w:style>
  <w:style w:type="paragraph" w:styleId="8">
    <w:name w:val="annotation subject"/>
    <w:basedOn w:val="2"/>
    <w:next w:val="2"/>
    <w:link w:val="32"/>
    <w:semiHidden/>
    <w:unhideWhenUsed/>
    <w:qFormat/>
    <w:uiPriority w:val="0"/>
    <w:rPr>
      <w:rFonts w:ascii="Calibri" w:hAnsi="Calibri"/>
      <w:b/>
      <w:bCs/>
    </w:rPr>
  </w:style>
  <w:style w:type="table" w:styleId="10">
    <w:name w:val="Table Grid"/>
    <w:basedOn w:val="9"/>
    <w:qFormat/>
    <w:uiPriority w:val="0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qFormat/>
    <w:uiPriority w:val="0"/>
    <w:rPr>
      <w:b/>
      <w:bCs/>
    </w:rPr>
  </w:style>
  <w:style w:type="character" w:styleId="13">
    <w:name w:val="page number"/>
    <w:basedOn w:val="11"/>
    <w:qFormat/>
    <w:uiPriority w:val="0"/>
  </w:style>
  <w:style w:type="character" w:styleId="14">
    <w:name w:val="FollowedHyperlink"/>
    <w:semiHidden/>
    <w:unhideWhenUsed/>
    <w:qFormat/>
    <w:uiPriority w:val="99"/>
    <w:rPr>
      <w:color w:val="954F72"/>
      <w:u w:val="single"/>
    </w:rPr>
  </w:style>
  <w:style w:type="character" w:styleId="15">
    <w:name w:val="Hyperlink"/>
    <w:qFormat/>
    <w:uiPriority w:val="99"/>
    <w:rPr>
      <w:color w:val="0000FF"/>
      <w:u w:val="single"/>
    </w:rPr>
  </w:style>
  <w:style w:type="character" w:styleId="16">
    <w:name w:val="annotation reference"/>
    <w:qFormat/>
    <w:uiPriority w:val="0"/>
    <w:rPr>
      <w:sz w:val="21"/>
      <w:szCs w:val="21"/>
    </w:rPr>
  </w:style>
  <w:style w:type="character" w:customStyle="1" w:styleId="17">
    <w:name w:val="批注文字 字符1"/>
    <w:link w:val="2"/>
    <w:uiPriority w:val="0"/>
    <w:rPr>
      <w:kern w:val="2"/>
      <w:sz w:val="21"/>
      <w:szCs w:val="24"/>
    </w:rPr>
  </w:style>
  <w:style w:type="character" w:customStyle="1" w:styleId="18">
    <w:name w:val="纯文本 字符"/>
    <w:link w:val="3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19">
    <w:name w:val="批注框文本 字符"/>
    <w:link w:val="4"/>
    <w:uiPriority w:val="0"/>
    <w:rPr>
      <w:kern w:val="2"/>
      <w:sz w:val="18"/>
      <w:szCs w:val="18"/>
    </w:rPr>
  </w:style>
  <w:style w:type="character" w:customStyle="1" w:styleId="20">
    <w:name w:val="页脚 字符"/>
    <w:link w:val="5"/>
    <w:qFormat/>
    <w:uiPriority w:val="0"/>
    <w:rPr>
      <w:kern w:val="2"/>
      <w:sz w:val="18"/>
      <w:szCs w:val="22"/>
    </w:rPr>
  </w:style>
  <w:style w:type="character" w:customStyle="1" w:styleId="21">
    <w:name w:val="页眉 字符"/>
    <w:link w:val="6"/>
    <w:qFormat/>
    <w:uiPriority w:val="99"/>
    <w:rPr>
      <w:kern w:val="2"/>
      <w:sz w:val="18"/>
      <w:szCs w:val="22"/>
    </w:rPr>
  </w:style>
  <w:style w:type="character" w:customStyle="1" w:styleId="22">
    <w:name w:val="sub_title s0"/>
    <w:basedOn w:val="11"/>
    <w:qFormat/>
    <w:uiPriority w:val="0"/>
  </w:style>
  <w:style w:type="character" w:customStyle="1" w:styleId="23">
    <w:name w:val="页码1"/>
    <w:basedOn w:val="11"/>
    <w:qFormat/>
    <w:uiPriority w:val="0"/>
  </w:style>
  <w:style w:type="paragraph" w:customStyle="1" w:styleId="24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">
    <w:name w:val="Char Char Char Char Char Char Char Char Char Char Char Char Char Char Char Char Char Char Char"/>
    <w:basedOn w:val="1"/>
    <w:qFormat/>
    <w:uiPriority w:val="0"/>
    <w:pPr>
      <w:widowControl/>
      <w:spacing w:line="300" w:lineRule="auto"/>
      <w:ind w:firstLine="200" w:firstLineChars="200"/>
    </w:pPr>
  </w:style>
  <w:style w:type="paragraph" w:customStyle="1" w:styleId="26">
    <w:name w:val="Char3 Char"/>
    <w:basedOn w:val="1"/>
    <w:qFormat/>
    <w:uiPriority w:val="0"/>
    <w:pPr>
      <w:widowControl/>
      <w:spacing w:line="300" w:lineRule="auto"/>
      <w:ind w:firstLine="200" w:firstLineChars="200"/>
    </w:pPr>
  </w:style>
  <w:style w:type="paragraph" w:customStyle="1" w:styleId="27">
    <w:name w:val="列出段落1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28">
    <w:name w:val="p0"/>
    <w:basedOn w:val="1"/>
    <w:qFormat/>
    <w:uiPriority w:val="0"/>
    <w:pPr>
      <w:widowControl/>
    </w:pPr>
    <w:rPr>
      <w:rFonts w:ascii="Calibri" w:hAnsi="Calibri"/>
      <w:kern w:val="0"/>
      <w:szCs w:val="21"/>
    </w:rPr>
  </w:style>
  <w:style w:type="paragraph" w:customStyle="1" w:styleId="29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paragraph" w:customStyle="1" w:styleId="30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31">
    <w:name w:val="批注文字 字符"/>
    <w:qFormat/>
    <w:uiPriority w:val="0"/>
    <w:rPr>
      <w:rFonts w:ascii="Calibri" w:hAnsi="Calibri"/>
      <w:kern w:val="2"/>
      <w:sz w:val="21"/>
      <w:szCs w:val="24"/>
    </w:rPr>
  </w:style>
  <w:style w:type="character" w:customStyle="1" w:styleId="32">
    <w:name w:val="批注主题 字符"/>
    <w:link w:val="8"/>
    <w:semiHidden/>
    <w:qFormat/>
    <w:uiPriority w:val="0"/>
    <w:rPr>
      <w:rFonts w:ascii="Calibri" w:hAnsi="Calibri"/>
      <w:b/>
      <w:bCs/>
      <w:kern w:val="2"/>
      <w:sz w:val="21"/>
      <w:szCs w:val="24"/>
    </w:rPr>
  </w:style>
  <w:style w:type="paragraph" w:styleId="33">
    <w:name w:val="No Spacing"/>
    <w:qFormat/>
    <w:uiPriority w:val="1"/>
    <w:rPr>
      <w:rFonts w:ascii="Calibri" w:hAnsi="Calibri" w:eastAsia="Microsoft YaHei UI" w:cs="Times New Roman"/>
      <w:sz w:val="22"/>
      <w:szCs w:val="22"/>
      <w:lang w:val="en-US" w:eastAsia="zh-CN" w:bidi="ar-SA"/>
    </w:rPr>
  </w:style>
  <w:style w:type="paragraph" w:styleId="34">
    <w:name w:val="List Paragraph"/>
    <w:basedOn w:val="1"/>
    <w:qFormat/>
    <w:uiPriority w:val="99"/>
    <w:pPr>
      <w:ind w:firstLine="420" w:firstLineChars="200"/>
    </w:pPr>
    <w:rPr>
      <w:rFonts w:ascii="Calibri" w:hAnsi="Calibri"/>
      <w:szCs w:val="24"/>
    </w:rPr>
  </w:style>
  <w:style w:type="paragraph" w:customStyle="1" w:styleId="35">
    <w:name w:val="MsoPlainText"/>
    <w:basedOn w:val="1"/>
    <w:qFormat/>
    <w:uiPriority w:val="99"/>
    <w:pPr>
      <w:widowControl/>
      <w:jc w:val="left"/>
    </w:pPr>
    <w:rPr>
      <w:rFonts w:ascii="Cambria Math" w:hAnsi="宋体" w:cs="Cambria Math"/>
      <w:szCs w:val="21"/>
    </w:rPr>
  </w:style>
  <w:style w:type="paragraph" w:customStyle="1" w:styleId="36">
    <w:name w:val="正文_0"/>
    <w:qFormat/>
    <w:uiPriority w:val="0"/>
    <w:pPr>
      <w:widowControl w:val="0"/>
      <w:adjustRightInd w:val="0"/>
      <w:spacing w:line="312" w:lineRule="atLeast"/>
      <w:jc w:val="both"/>
    </w:pPr>
    <w:rPr>
      <w:rFonts w:ascii="Calibri" w:hAnsi="Calibri" w:eastAsia="宋体" w:cs="Times New Roman"/>
      <w:sz w:val="21"/>
      <w:lang w:val="en-US" w:eastAsia="zh-CN" w:bidi="ar-SA"/>
    </w:rPr>
  </w:style>
  <w:style w:type="paragraph" w:customStyle="1" w:styleId="37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9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0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1">
    <w:name w:val="正文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2">
    <w:name w:val="正文_4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3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5">
    <w:name w:val="正文_4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p15"/>
    <w:basedOn w:val="1"/>
    <w:qFormat/>
    <w:uiPriority w:val="0"/>
    <w:pPr>
      <w:tabs>
        <w:tab w:val="left" w:pos="720"/>
      </w:tabs>
      <w:autoSpaceDE w:val="0"/>
      <w:autoSpaceDN w:val="0"/>
      <w:adjustRightInd w:val="0"/>
      <w:spacing w:line="240" w:lineRule="atLeast"/>
      <w:jc w:val="left"/>
    </w:pPr>
    <w:rPr>
      <w:kern w:val="0"/>
      <w:sz w:val="24"/>
      <w:szCs w:val="20"/>
    </w:rPr>
  </w:style>
  <w:style w:type="paragraph" w:customStyle="1" w:styleId="47">
    <w:name w:val="Char3"/>
    <w:basedOn w:val="1"/>
    <w:qFormat/>
    <w:uiPriority w:val="0"/>
    <w:pPr>
      <w:widowControl/>
      <w:spacing w:line="300" w:lineRule="auto"/>
      <w:ind w:firstLine="200" w:firstLineChars="200"/>
    </w:pPr>
    <w:rPr>
      <w:szCs w:val="20"/>
    </w:rPr>
  </w:style>
  <w:style w:type="paragraph" w:customStyle="1" w:styleId="48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正文_0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正文_0_3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纯文本_0"/>
    <w:basedOn w:val="36"/>
    <w:link w:val="53"/>
    <w:qFormat/>
    <w:uiPriority w:val="0"/>
    <w:pPr>
      <w:adjustRightInd/>
      <w:spacing w:line="240" w:lineRule="auto"/>
    </w:pPr>
    <w:rPr>
      <w:rFonts w:ascii="宋体" w:hAnsi="Courier New" w:cs="Courier New"/>
      <w:kern w:val="2"/>
      <w:szCs w:val="21"/>
    </w:rPr>
  </w:style>
  <w:style w:type="character" w:customStyle="1" w:styleId="53">
    <w:name w:val="Char Char2"/>
    <w:link w:val="52"/>
    <w:qFormat/>
    <w:locked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54">
    <w:name w:val="标题1 Char"/>
    <w:qFormat/>
    <w:locked/>
    <w:uiPriority w:val="0"/>
    <w:rPr>
      <w:rFonts w:hint="eastAsia"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55">
    <w:name w:val="Char Char3"/>
    <w:qFormat/>
    <w:uiPriority w:val="0"/>
    <w:rPr>
      <w:rFonts w:hint="eastAsia"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56">
    <w:name w:val="纯文本 字符1"/>
    <w:semiHidden/>
    <w:qFormat/>
    <w:uiPriority w:val="99"/>
    <w:rPr>
      <w:rFonts w:hint="eastAsia" w:ascii="宋体" w:hAnsi="Courier New" w:eastAsia="宋体" w:cs="Courier New"/>
      <w:kern w:val="2"/>
      <w:sz w:val="21"/>
      <w:szCs w:val="24"/>
    </w:rPr>
  </w:style>
  <w:style w:type="character" w:customStyle="1" w:styleId="57">
    <w:name w:val="纯文本 Char1"/>
    <w:qFormat/>
    <w:uiPriority w:val="0"/>
    <w:rPr>
      <w:rFonts w:hint="eastAsia" w:ascii="宋体" w:hAnsi="Courier New" w:eastAsia="宋体" w:cs="Courier New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4" Type="http://schemas.openxmlformats.org/officeDocument/2006/relationships/image" Target="file:///D:\qq&#25991;&#20214;\712321467\Image\C2C\Image2\%257B75232B38-A165-1FB7-499C-2E1C792CACB5%257D.png" TargetMode="External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1"/>
    <customShpInfo spid="_x0000_s2052"/>
    <customShpInfo spid="_x0000_s2054"/>
    <customShpInfo spid="_x0000_s2060"/>
    <customShpInfo spid="_x0000_s2056"/>
    <customShpInfo spid="_x0000_s2057"/>
    <customShpInfo spid="_x0000_s2058"/>
    <customShpInfo spid="_x0000_s2059"/>
    <customShpInfo spid="_x0000_s1026"/>
    <customShpInfo spid="_x0000_s1027"/>
    <customShpInfo spid="_x0000_s103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3316</Words>
  <Characters>3525</Characters>
  <Lines>27</Lines>
  <Paragraphs>7</Paragraphs>
  <TotalTime>4</TotalTime>
  <ScaleCrop>false</ScaleCrop>
  <LinksUpToDate>false</LinksUpToDate>
  <CharactersWithSpaces>3721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学科网WORD文档</cp:category>
  <dcterms:created xsi:type="dcterms:W3CDTF">2021-06-07T01:31:00Z</dcterms:created>
  <dc:description>学科网(www.zxxk.com)--教育资源门户，提供试卷、教案、课件、论文、素材及各类教学资源下载，还有大量而丰富的教学相关资讯！</dc:description>
  <cp:keywords>试卷、教案、课件、论文、素材</cp:keywords>
  <dcterms:modified xsi:type="dcterms:W3CDTF">2022-06-09T14:23:02Z</dcterms:modified>
  <dc:subject>（解析版）2014年高考山东卷英语试题解析（精编版）.doc</dc:subject>
  <dc:title>（解析版）2014年高考山东卷英语试题解析（精编版）.doc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C2A5CDD55B104134A5FCF90DD7288150</vt:lpwstr>
  </property>
</Properties>
</file>