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2310"/>
          <w:tab w:val="left" w:pos="4620"/>
          <w:tab w:val="left" w:pos="6930"/>
        </w:tabs>
        <w:spacing w:line="36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11849100</wp:posOffset>
            </wp:positionH>
            <wp:positionV relativeFrom="topMargin">
              <wp:posOffset>10642600</wp:posOffset>
            </wp:positionV>
            <wp:extent cx="330200" cy="495300"/>
            <wp:effectExtent l="0" t="0" r="5080" b="7620"/>
            <wp:wrapNone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2"/>
          <w:szCs w:val="32"/>
        </w:rPr>
        <w:t>广东省</w:t>
      </w:r>
      <w:r>
        <w:rPr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11760200</wp:posOffset>
            </wp:positionH>
            <wp:positionV relativeFrom="page">
              <wp:posOffset>10769600</wp:posOffset>
            </wp:positionV>
            <wp:extent cx="317500" cy="342900"/>
            <wp:effectExtent l="0" t="0" r="635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t>202</w:t>
      </w:r>
      <w:r>
        <w:rPr>
          <w:rFonts w:hint="eastAsia"/>
          <w:b/>
          <w:sz w:val="32"/>
          <w:szCs w:val="32"/>
        </w:rPr>
        <w:t>2年普通高中学业水平选择性考试</w:t>
      </w:r>
    </w:p>
    <w:p>
      <w:pPr>
        <w:tabs>
          <w:tab w:val="left" w:pos="2310"/>
          <w:tab w:val="left" w:pos="4620"/>
          <w:tab w:val="left" w:pos="6930"/>
        </w:tabs>
        <w:spacing w:line="36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历 史</w:t>
      </w:r>
    </w:p>
    <w:p>
      <w:pPr>
        <w:tabs>
          <w:tab w:val="left" w:pos="2310"/>
          <w:tab w:val="left" w:pos="4620"/>
          <w:tab w:val="left" w:pos="6930"/>
        </w:tabs>
        <w:spacing w:line="360" w:lineRule="auto"/>
        <w:jc w:val="center"/>
        <w:rPr>
          <w:b/>
          <w:sz w:val="32"/>
          <w:szCs w:val="32"/>
        </w:rPr>
      </w:pP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1．考古材料是研究历史的重要依据。下列选项中，材料与结论之间逻辑关系正确的是（ </w:t>
      </w:r>
      <w:r>
        <w:rPr>
          <w:rFonts w:ascii="宋体" w:hAnsi="宋体"/>
          <w:szCs w:val="21"/>
        </w:rPr>
        <w:t xml:space="preserve">   </w:t>
      </w:r>
      <w:r>
        <w:rPr>
          <w:rFonts w:hint="eastAsia" w:ascii="宋体" w:hAnsi="宋体"/>
          <w:szCs w:val="21"/>
        </w:rPr>
        <w:t>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5799"/>
        <w:gridCol w:w="33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>
            <w:pPr>
              <w:adjustRightInd w:val="0"/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5799" w:type="dxa"/>
          </w:tcPr>
          <w:p>
            <w:pPr>
              <w:adjustRightInd w:val="0"/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材料</w:t>
            </w:r>
          </w:p>
        </w:tc>
        <w:tc>
          <w:tcPr>
            <w:tcW w:w="3323" w:type="dxa"/>
          </w:tcPr>
          <w:p>
            <w:pPr>
              <w:adjustRightInd w:val="0"/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>
            <w:pPr>
              <w:adjustRightInd w:val="0"/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</w:p>
        </w:tc>
        <w:tc>
          <w:tcPr>
            <w:tcW w:w="5799" w:type="dxa"/>
          </w:tcPr>
          <w:p>
            <w:pPr>
              <w:adjustRightInd w:val="0"/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内蒙古克什克腾旗出土商朝的青铜器</w:t>
            </w:r>
          </w:p>
        </w:tc>
        <w:tc>
          <w:tcPr>
            <w:tcW w:w="3323" w:type="dxa"/>
          </w:tcPr>
          <w:p>
            <w:pPr>
              <w:adjustRightInd w:val="0"/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商朝的统治范围到达内蒙古地区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>
            <w:pPr>
              <w:adjustRightInd w:val="0"/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</w:t>
            </w:r>
          </w:p>
        </w:tc>
        <w:tc>
          <w:tcPr>
            <w:tcW w:w="5799" w:type="dxa"/>
          </w:tcPr>
          <w:p>
            <w:pPr>
              <w:adjustRightInd w:val="0"/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山西晋国都邑遗址出土春秋早期的铁器残片</w:t>
            </w:r>
          </w:p>
        </w:tc>
        <w:tc>
          <w:tcPr>
            <w:tcW w:w="3323" w:type="dxa"/>
          </w:tcPr>
          <w:p>
            <w:pPr>
              <w:adjustRightInd w:val="0"/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春秋早期已经使用铁器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>
            <w:pPr>
              <w:adjustRightInd w:val="0"/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C</w:t>
            </w:r>
          </w:p>
        </w:tc>
        <w:tc>
          <w:tcPr>
            <w:tcW w:w="5799" w:type="dxa"/>
          </w:tcPr>
          <w:p>
            <w:pPr>
              <w:adjustRightInd w:val="0"/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湖北大冶铜矿冶遗址出土东周时代的陶片</w:t>
            </w:r>
          </w:p>
        </w:tc>
        <w:tc>
          <w:tcPr>
            <w:tcW w:w="3323" w:type="dxa"/>
          </w:tcPr>
          <w:p>
            <w:pPr>
              <w:adjustRightInd w:val="0"/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大冶铜矿的开采时间不早于东周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>
            <w:pPr>
              <w:adjustRightInd w:val="0"/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</w:p>
        </w:tc>
        <w:tc>
          <w:tcPr>
            <w:tcW w:w="5799" w:type="dxa"/>
          </w:tcPr>
          <w:p>
            <w:pPr>
              <w:adjustRightInd w:val="0"/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西安秦始皇陵兵马俑坑出上铁镞（箭头）</w:t>
            </w:r>
          </w:p>
        </w:tc>
        <w:tc>
          <w:tcPr>
            <w:tcW w:w="3323" w:type="dxa"/>
          </w:tcPr>
          <w:p>
            <w:pPr>
              <w:adjustRightInd w:val="0"/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秦朝军队主要使用铁制兵器</w:t>
            </w:r>
          </w:p>
        </w:tc>
      </w:tr>
    </w:tbl>
    <w:p>
      <w:pPr>
        <w:adjustRightInd w:val="0"/>
        <w:spacing w:line="360" w:lineRule="auto"/>
        <w:rPr>
          <w:rFonts w:ascii="宋体" w:hAnsi="宋体"/>
          <w:szCs w:val="21"/>
        </w:rPr>
      </w:pP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2．“奉朝请”是两汉朝廷给予退休大臣和列侯、宗室、外戚的特殊待遇，被授予者特许参加朝会，地位也随之提高。东汉中叶以后，王、侯多不就国，而是以“奉朝请”的名义留驻京师，封国大权操于国相，这客观上（ </w:t>
      </w:r>
      <w:r>
        <w:rPr>
          <w:rFonts w:ascii="宋体" w:hAnsi="宋体"/>
          <w:szCs w:val="21"/>
        </w:rPr>
        <w:t xml:space="preserve">   </w:t>
      </w:r>
      <w:r>
        <w:rPr>
          <w:rFonts w:hint="eastAsia" w:ascii="宋体" w:hAnsi="宋体"/>
          <w:szCs w:val="21"/>
        </w:rPr>
        <w:t>）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A．有助于遏制地方豪强势力的扩张     B．埋下了东汉末年军阀割据的隐患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C．为外戚干政提供了便利的条件 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 xml:space="preserve">     D．有利于朝廷对封国的直接控制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3</w:t>
      </w:r>
      <w:r>
        <w:rPr>
          <w:rFonts w:hint="eastAsia" w:ascii="宋体" w:hAnsi="宋体"/>
          <w:szCs w:val="21"/>
        </w:rPr>
        <w:t xml:space="preserve">．图1为南北朝时期的北齐到隋唐政府机构变化示意图，这一变化（ </w:t>
      </w:r>
      <w:r>
        <w:rPr>
          <w:rFonts w:ascii="宋体" w:hAnsi="宋体"/>
          <w:szCs w:val="21"/>
        </w:rPr>
        <w:t xml:space="preserve">   </w:t>
      </w:r>
      <w:r>
        <w:rPr>
          <w:rFonts w:hint="eastAsia" w:ascii="宋体" w:hAnsi="宋体"/>
          <w:szCs w:val="21"/>
        </w:rPr>
        <w:t>）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drawing>
          <wp:inline distT="0" distB="0" distL="0" distR="0">
            <wp:extent cx="2828290" cy="251396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571" cy="2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A．加强了中枢决策权   </w:t>
      </w:r>
      <w:r>
        <w:rPr>
          <w:rFonts w:ascii="宋体" w:hAnsi="宋体"/>
          <w:szCs w:val="21"/>
        </w:rPr>
        <w:t xml:space="preserve">    </w:t>
      </w:r>
      <w:r>
        <w:rPr>
          <w:rFonts w:hint="eastAsia" w:ascii="宋体" w:hAnsi="宋体"/>
          <w:szCs w:val="21"/>
        </w:rPr>
        <w:t xml:space="preserve">  B．避免了相权被分割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C．降低了政令的执行效率     D．使中央机构分工更明确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4．魏晋以来佛教、道教广泛传播，宋人李觏认为原因在于“儒失其手，教化坠于地”；张载认为佛道追求的彼岸是虚幻的，与“吾儒”水火不容。由此可知，李觏、张载主张（ </w:t>
      </w:r>
      <w:r>
        <w:rPr>
          <w:rFonts w:ascii="宋体" w:hAnsi="宋体"/>
          <w:szCs w:val="21"/>
        </w:rPr>
        <w:t xml:space="preserve">   </w:t>
      </w:r>
      <w:r>
        <w:rPr>
          <w:rFonts w:hint="eastAsia" w:ascii="宋体" w:hAnsi="宋体"/>
          <w:szCs w:val="21"/>
        </w:rPr>
        <w:t>）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A．儒法并用以维护君权     B．立足考据以重建学风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C．复兴儒学以回应挑战     D．杂糅佛道以构建理学</w:t>
      </w:r>
    </w:p>
    <w:p>
      <w:pPr>
        <w:tabs>
          <w:tab w:val="left" w:pos="2310"/>
          <w:tab w:val="left" w:pos="4620"/>
          <w:tab w:val="left" w:pos="6930"/>
        </w:tabs>
        <w:spacing w:line="360" w:lineRule="auto"/>
        <w:jc w:val="center"/>
        <w:rPr>
          <w:b/>
          <w:sz w:val="32"/>
          <w:szCs w:val="32"/>
        </w:rPr>
      </w:pP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5．清代从广州出口的瓷器中，除了江西、浙江的名窑产品外，还有广东、福建专门烧制的贸易瓷。广州等地有的瓷窑还聘请来自欧洲的画师，负责在瓷坯上绘制欧风图像。这种现象反映当时（ </w:t>
      </w:r>
      <w:r>
        <w:rPr>
          <w:rFonts w:ascii="宋体" w:hAnsi="宋体"/>
          <w:szCs w:val="21"/>
        </w:rPr>
        <w:t xml:space="preserve">   </w:t>
      </w:r>
      <w:r>
        <w:rPr>
          <w:rFonts w:hint="eastAsia" w:ascii="宋体" w:hAnsi="宋体"/>
          <w:szCs w:val="21"/>
        </w:rPr>
        <w:t>）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A．广州处于中外交流的前沿     B．出口瓷器产自官营手工作坊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C．西方艺术在中国颇受欢迎     D．重农抑商政策受到明显削弱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6．</w:t>
      </w:r>
    </w:p>
    <w:p>
      <w:pPr>
        <w:adjustRightInd w:val="0"/>
        <w:spacing w:line="360" w:lineRule="auto"/>
        <w:jc w:val="center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表1</w:t>
      </w:r>
      <w:r>
        <w:rPr>
          <w:rFonts w:ascii="楷体" w:hAnsi="楷体" w:eastAsia="楷体"/>
          <w:szCs w:val="21"/>
        </w:rPr>
        <w:t xml:space="preserve">    </w:t>
      </w:r>
      <w:r>
        <w:rPr>
          <w:rFonts w:hint="eastAsia" w:ascii="楷体" w:hAnsi="楷体" w:eastAsia="楷体"/>
          <w:szCs w:val="21"/>
        </w:rPr>
        <w:t>1889年张之洞与李鸿章的争论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85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adjustRightInd w:val="0"/>
              <w:spacing w:line="360" w:lineRule="auto"/>
              <w:rPr>
                <w:rFonts w:ascii="楷体" w:hAnsi="楷体" w:eastAsia="楷体"/>
                <w:szCs w:val="21"/>
              </w:rPr>
            </w:pPr>
          </w:p>
        </w:tc>
        <w:tc>
          <w:tcPr>
            <w:tcW w:w="8555" w:type="dxa"/>
          </w:tcPr>
          <w:p>
            <w:pPr>
              <w:adjustRightInd w:val="0"/>
              <w:spacing w:line="360" w:lineRule="auto"/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主张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3" w:type="dxa"/>
          </w:tcPr>
          <w:p>
            <w:pPr>
              <w:adjustRightInd w:val="0"/>
              <w:spacing w:line="360" w:lineRule="auto"/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张之洞</w:t>
            </w:r>
          </w:p>
        </w:tc>
        <w:tc>
          <w:tcPr>
            <w:tcW w:w="8555" w:type="dxa"/>
          </w:tcPr>
          <w:p>
            <w:pPr>
              <w:adjustRightInd w:val="0"/>
              <w:spacing w:line="360" w:lineRule="auto"/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储铁宜急，勘路宜缓……前六七年积款积铁，后三四年兴工修造（铁路）……岂有地球之上独中华之铁皆是弃物？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adjustRightInd w:val="0"/>
              <w:spacing w:line="360" w:lineRule="auto"/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李鸿章</w:t>
            </w:r>
          </w:p>
        </w:tc>
        <w:tc>
          <w:tcPr>
            <w:tcW w:w="8555" w:type="dxa"/>
          </w:tcPr>
          <w:p>
            <w:pPr>
              <w:spacing w:line="360" w:lineRule="auto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  <w:szCs w:val="21"/>
              </w:rPr>
              <w:t>筹划开矿，炼成铁条（钢轨），器款甚巨，岂能各省同开？……日本铁路日增，至今工料皆用土产，惟钢轨等项仍购西洋。</w:t>
            </w:r>
          </w:p>
        </w:tc>
      </w:tr>
    </w:tbl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二人争论的问题是（ </w:t>
      </w:r>
      <w:r>
        <w:rPr>
          <w:rFonts w:ascii="宋体" w:hAnsi="宋体"/>
          <w:szCs w:val="21"/>
        </w:rPr>
        <w:t xml:space="preserve">   </w:t>
      </w:r>
      <w:r>
        <w:rPr>
          <w:rFonts w:hint="eastAsia" w:ascii="宋体" w:hAnsi="宋体"/>
          <w:szCs w:val="21"/>
        </w:rPr>
        <w:t>）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A．洋务运动要不要借鉴明治维新     B．兴办炼铁业可否举借外债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C．军事工业和民用工业孰重孰轻     D．修筑铁路与炼铁孰先孰后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7．清末《游学译编》上刊登的《劝同乡父老遣子弟航洋游学书》云：“向之极可慕恋之科举的虚荣者，今已为蕉梦矣。而出洋学成，量与出身，己见明谕，宦达之路、利禄之路、学问之路、名誉之路，胥于是乎在。”这反映了当时（ </w:t>
      </w:r>
      <w:r>
        <w:rPr>
          <w:rFonts w:ascii="宋体" w:hAnsi="宋体"/>
          <w:szCs w:val="21"/>
        </w:rPr>
        <w:t xml:space="preserve">   </w:t>
      </w:r>
      <w:r>
        <w:rPr>
          <w:rFonts w:hint="eastAsia" w:ascii="宋体" w:hAnsi="宋体"/>
          <w:szCs w:val="21"/>
        </w:rPr>
        <w:t>）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A．出洋留学受到社会的广泛支持     B．落第士人成为官派留学生主要来源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C．新政改革加快了社会结构变动     D．科举停废改变了国人的中西体用观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8．1918年，挪威作家易卜生的名作《娜拉》在中国出版，主人公娜拉不甘心做“丈夫的傀儡”而离家出走的行为被称赞为体现了“女性的自觉”。后来鲁迅发表《娜拉走后怎样》，则作如下比喻：“因为如果是一匹小鸟，则笼子里固然不自由，而一出笼门，外面便又有鹰，有猫，以及别的什么东西之类……也诚然是无路可以走。”以下解释正确的是（ </w:t>
      </w:r>
      <w:r>
        <w:rPr>
          <w:rFonts w:ascii="宋体" w:hAnsi="宋体"/>
          <w:szCs w:val="21"/>
        </w:rPr>
        <w:t xml:space="preserve">   </w:t>
      </w:r>
      <w:r>
        <w:rPr>
          <w:rFonts w:hint="eastAsia" w:ascii="宋体" w:hAnsi="宋体"/>
          <w:szCs w:val="21"/>
        </w:rPr>
        <w:t>）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A．“小鸟”代表尚未觉醒的女性     B．“笼子”是指落后的经济形态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C．“无路”源于君主专制的压迫     D．“鹰”等是指社会上的旧势力</w:t>
      </w:r>
    </w:p>
    <w:p>
      <w:pPr>
        <w:adjustRightInd w:val="0"/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二、非选择题：共52分，第17-19题为必考题，考生都必须作答。第20-2</w:t>
      </w:r>
      <w:r>
        <w:rPr>
          <w:rFonts w:ascii="宋体" w:hAnsi="宋体"/>
          <w:b/>
          <w:sz w:val="24"/>
        </w:rPr>
        <w:t>1</w:t>
      </w:r>
      <w:r>
        <w:rPr>
          <w:rFonts w:hint="eastAsia" w:ascii="宋体" w:hAnsi="宋体"/>
          <w:b/>
          <w:sz w:val="24"/>
        </w:rPr>
        <w:t>题为选考题。考生根据要求作答。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21．[选修3：20世纪的战争与和平]阅读材料并结合所学知识，完成下列要求。（12分）</w:t>
      </w:r>
    </w:p>
    <w:p>
      <w:pPr>
        <w:adjustRightInd w:val="0"/>
        <w:spacing w:line="360" w:lineRule="auto"/>
        <w:ind w:firstLine="420" w:firstLineChars="200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材料</w:t>
      </w:r>
    </w:p>
    <w:p>
      <w:pPr>
        <w:adjustRightInd w:val="0"/>
        <w:spacing w:line="360" w:lineRule="auto"/>
        <w:ind w:firstLine="420" w:firstLineChars="200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二战之前保守党长期在英国执政，相当多的重要成员都属于极为富有的阶层，内阁大臣们也多来自工业和商业大家族。保守党人主张纳粹德国应当得到支持，认为它是对抗布尔什维克主义向西蔓延的堡垒。在保守党执政下的英国，伦敦的各大银行给纳粹德国提供了大量商业信贷，英德贸易使德国获得相当可观的英镑外汇。由此，德国重新武装具有了雄厚的资金支持。实际上第一次世界大战之后，相当多的英国银行家和商人在同德国的生意中赚取了丰厚利润；对他们来说，通过与德国维持良好关系获取私人利益的重要性要大于国家利益。1939年4月，苏联建议成立英法苏三国联盟，民意测验表明84%的英国人赞成该倡议，保守党政府却坚决地拒绝了。</w:t>
      </w:r>
    </w:p>
    <w:p>
      <w:pPr>
        <w:adjustRightInd w:val="0"/>
        <w:spacing w:line="360" w:lineRule="auto"/>
        <w:ind w:firstLine="420" w:firstLineChars="200"/>
        <w:jc w:val="right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——摘编自（英）桑德拉·哈尔珀琳《现代欧洲的战争与社会变迁》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（1）概括二战爆发之前英国保守党政府对纳粹德国的政策，并简述其后果。（8分）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（2）指出影响英国保守党政府对德政策的因素。（4分）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22．[选修4：中外历史人物评说]阅读材料并结合所学知识，完成下列要求。（12分）</w:t>
      </w:r>
    </w:p>
    <w:p>
      <w:pPr>
        <w:adjustRightInd w:val="0"/>
        <w:spacing w:line="360" w:lineRule="auto"/>
        <w:ind w:firstLine="420" w:firstLineChars="200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材料</w:t>
      </w:r>
    </w:p>
    <w:p>
      <w:pPr>
        <w:adjustRightInd w:val="0"/>
        <w:spacing w:line="360" w:lineRule="auto"/>
        <w:ind w:firstLine="420" w:firstLineChars="200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徐建寅（1845-1901），科学家徐寿之子，从小研习“格致之学”，怀抱科学救国理想。早年效力于翻译西方科学书籍，“筚路蓝缕，以启山林”。1874年，研制成功硝酸，产品广泛应用于火药制造。1875年，被任命为山东机器局总办，营建兵工厂，“躬自创造，未尝延用西人”。1879年，受命负责到欧洲考察造舰、兵工，“留心访询”，订购舰只。在德国订造的两艘铁甲船后来成为北洋舰队的主力“镇远”舰和“定远”舰。在欧洲期间，还悉心考察近代工业技术和管理制度，所撰《欧游杂录》详细记录了多种当时世界上最先进的制造工艺和设备，并绘制了许多草图。这部书是近代科学技术发展史上的一份珍贵资料。八国联军侵华战争爆发后，外国停止供应火药，他创办火药厂，亲自试制无烟火药，“日手杵臼，亲自研炼”，很快获得成功。后试验室不幸发生爆炸，他献出了宝贵生命。</w:t>
      </w:r>
    </w:p>
    <w:p>
      <w:pPr>
        <w:adjustRightInd w:val="0"/>
        <w:spacing w:line="360" w:lineRule="auto"/>
        <w:ind w:firstLine="420" w:firstLineChars="200"/>
        <w:jc w:val="right"/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——摘编自钟叔河《走向世界：近代中国知识分子考察西方的历史》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（1）概括徐建寅对中国早期现代化的历史贡献。（6分）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（2）简述詹天佑、徐建寅等中国近代科学家的共同精神品质。（6分）</w:t>
      </w:r>
    </w:p>
    <w:p/>
    <w:p/>
    <w:p/>
    <w:p/>
    <w:p/>
    <w:p/>
    <w:p/>
    <w:p/>
    <w:p/>
    <w:p>
      <w:pPr>
        <w:spacing w:line="360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11379200</wp:posOffset>
            </wp:positionH>
            <wp:positionV relativeFrom="topMargin">
              <wp:posOffset>12255500</wp:posOffset>
            </wp:positionV>
            <wp:extent cx="266700" cy="469900"/>
            <wp:effectExtent l="0" t="0" r="0" b="6350"/>
            <wp:wrapNone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2022年广东省高考真题历史试题</w:t>
      </w:r>
    </w:p>
    <w:p>
      <w:pPr>
        <w:spacing w:line="360" w:lineRule="auto"/>
        <w:jc w:val="center"/>
        <w:textAlignment w:val="center"/>
        <w:rPr>
          <w:rFonts w:hint="eastAsia" w:ascii="宋体" w:hAnsi="宋体" w:cs="宋体"/>
          <w:b/>
          <w:color w:val="auto"/>
          <w:sz w:val="32"/>
          <w:lang w:val="en-US" w:eastAsia="zh-CN"/>
        </w:rPr>
      </w:pPr>
      <w:r>
        <w:rPr>
          <w:rFonts w:hint="eastAsia" w:ascii="宋体" w:hAnsi="宋体" w:cs="宋体"/>
          <w:b/>
          <w:color w:val="auto"/>
          <w:sz w:val="32"/>
          <w:lang w:val="en-US" w:eastAsia="zh-CN"/>
        </w:rPr>
        <w:t>参考答案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一、选择题</w:t>
      </w:r>
    </w:p>
    <w:p>
      <w:pPr>
        <w:spacing w:line="360" w:lineRule="auto"/>
        <w:jc w:val="both"/>
        <w:textAlignment w:val="center"/>
        <w:rPr>
          <w:rFonts w:hint="default" w:ascii="宋体" w:hAnsi="宋体" w:cs="宋体"/>
          <w:b w:val="0"/>
          <w:bCs/>
          <w:color w:val="auto"/>
          <w:sz w:val="24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  <w:t>1、B</w:t>
      </w:r>
    </w:p>
    <w:p>
      <w:pPr>
        <w:spacing w:line="360" w:lineRule="auto"/>
        <w:jc w:val="both"/>
        <w:textAlignment w:val="center"/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  <w:t>2、B</w:t>
      </w:r>
    </w:p>
    <w:p>
      <w:pPr>
        <w:spacing w:line="360" w:lineRule="auto"/>
        <w:jc w:val="both"/>
        <w:textAlignment w:val="center"/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  <w:t>3、D</w:t>
      </w:r>
    </w:p>
    <w:p>
      <w:pPr>
        <w:spacing w:line="360" w:lineRule="auto"/>
        <w:jc w:val="both"/>
        <w:textAlignment w:val="center"/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  <w:t>4、C</w:t>
      </w:r>
    </w:p>
    <w:p>
      <w:pPr>
        <w:spacing w:line="360" w:lineRule="auto"/>
        <w:jc w:val="both"/>
        <w:textAlignment w:val="center"/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  <w:t>5、A</w:t>
      </w:r>
    </w:p>
    <w:p>
      <w:pPr>
        <w:spacing w:line="360" w:lineRule="auto"/>
        <w:jc w:val="both"/>
        <w:textAlignment w:val="center"/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  <w:t>6、D</w:t>
      </w:r>
    </w:p>
    <w:p>
      <w:pPr>
        <w:spacing w:line="360" w:lineRule="auto"/>
        <w:jc w:val="both"/>
        <w:textAlignment w:val="center"/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  <w:t>7、D</w:t>
      </w:r>
    </w:p>
    <w:p>
      <w:pPr>
        <w:spacing w:line="360" w:lineRule="auto"/>
        <w:jc w:val="both"/>
        <w:textAlignment w:val="center"/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  <w:t>8、D</w:t>
      </w:r>
    </w:p>
    <w:p>
      <w:pPr>
        <w:spacing w:line="360" w:lineRule="auto"/>
        <w:jc w:val="both"/>
        <w:textAlignment w:val="center"/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hint="eastAsia"/>
          <w:color w:val="000000"/>
          <w:lang w:val="en-US" w:eastAsia="zh-CN"/>
        </w:rPr>
        <w:t>9、</w:t>
      </w:r>
      <w:r>
        <w:rPr>
          <w:color w:val="000000"/>
        </w:rPr>
        <w:t xml:space="preserve">（1）政策：支持纳粹德国，将其视为对抗布尔什维克主义的堡垒；支持银行给纳粹德国提供大量商业信贷，鼓励英德贸易。后果：方便纳粹德国赢得良好的国际环境；使德国重新武装具有了雄厚的资金支持，加速纳粹侵略势力的崛起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（2）因素：保守党代表极富有的工商业大家族的利益；保守党敌视苏联布尔什维克主义；很多英国银行家和商人将私人利益置于国家利益之上。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  <w:t>10、</w:t>
      </w:r>
      <w:r>
        <w:rPr>
          <w:color w:val="000000"/>
        </w:rPr>
        <w:t xml:space="preserve">（1）翻译西书，传播西方科学知识，有利于社会启蒙，推动科技教育近代化；研制硝酸，研究和制造现代火药，推动科技研究近代化；营建兵工厂，创办火药厂，推动产业近代化；考察近代工业技术和管理制度，记录先进制造工艺和设备，推动生产方式和管理方式的近代化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（2）家国情怀（或爱国主义）；勇于实践；奋斗献身；求真务实；开拓创新。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  <w:t>11、</w:t>
      </w:r>
      <w:r>
        <w:rPr>
          <w:color w:val="000000"/>
        </w:rPr>
        <w:t>略</w:t>
      </w:r>
    </w:p>
    <w:p>
      <w:pPr>
        <w:spacing w:line="360" w:lineRule="auto"/>
        <w:jc w:val="both"/>
        <w:textAlignment w:val="center"/>
        <w:rPr>
          <w:rFonts w:hint="default" w:ascii="宋体" w:hAnsi="宋体" w:eastAsia="宋体" w:cs="宋体"/>
          <w:b w:val="0"/>
          <w:bCs/>
          <w:color w:val="auto"/>
          <w:sz w:val="24"/>
          <w:szCs w:val="21"/>
          <w:lang w:val="en-US" w:eastAsia="zh-CN"/>
        </w:rPr>
      </w:pPr>
    </w:p>
    <w:p>
      <w:pPr>
        <w:sectPr>
          <w:headerReference r:id="rId3" w:type="default"/>
          <w:footerReference r:id="rId4" w:type="default"/>
          <w:pgSz w:w="11906" w:h="16838"/>
          <w:pgMar w:top="1304" w:right="964" w:bottom="1304" w:left="964" w:header="153" w:footer="0" w:gutter="0"/>
          <w:cols w:space="720" w:num="1"/>
          <w:docGrid w:type="lines" w:linePitch="312" w:charSpace="0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zNTRhYWIxM2NjYzBkNTBmMDZmNDZlYWM1NDg5NjgifQ=="/>
  </w:docVars>
  <w:rsids>
    <w:rsidRoot w:val="00AE7668"/>
    <w:rsid w:val="000C1876"/>
    <w:rsid w:val="00345B89"/>
    <w:rsid w:val="003F3D1A"/>
    <w:rsid w:val="004151FC"/>
    <w:rsid w:val="00491699"/>
    <w:rsid w:val="00704C8B"/>
    <w:rsid w:val="00866A25"/>
    <w:rsid w:val="00873034"/>
    <w:rsid w:val="008F583C"/>
    <w:rsid w:val="00A52380"/>
    <w:rsid w:val="00AE7668"/>
    <w:rsid w:val="00C02FC6"/>
    <w:rsid w:val="00D5375C"/>
    <w:rsid w:val="280B1ACA"/>
    <w:rsid w:val="6E1D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36"/>
    <w:qFormat/>
    <w:uiPriority w:val="0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3">
    <w:name w:val="Plain Text"/>
    <w:basedOn w:val="1"/>
    <w:link w:val="37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4">
    <w:name w:val="Balloon Text"/>
    <w:basedOn w:val="1"/>
    <w:link w:val="43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link w:val="38"/>
    <w:qFormat/>
    <w:uiPriority w:val="0"/>
    <w:pPr>
      <w:widowControl/>
      <w:spacing w:before="30" w:after="30" w:line="300" w:lineRule="auto"/>
      <w:jc w:val="left"/>
    </w:pPr>
    <w:rPr>
      <w:rFonts w:ascii="宋体" w:hAnsi="宋体" w:cs="宋体"/>
      <w:kern w:val="0"/>
      <w:sz w:val="24"/>
    </w:rPr>
  </w:style>
  <w:style w:type="paragraph" w:styleId="8">
    <w:name w:val="Title"/>
    <w:basedOn w:val="1"/>
    <w:next w:val="1"/>
    <w:link w:val="35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28"/>
      <w:szCs w:val="32"/>
    </w:rPr>
  </w:style>
  <w:style w:type="table" w:styleId="10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qFormat/>
    <w:uiPriority w:val="0"/>
    <w:rPr>
      <w:b/>
      <w:bCs/>
    </w:rPr>
  </w:style>
  <w:style w:type="paragraph" w:customStyle="1" w:styleId="1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">
    <w:name w:val="纯文本_0"/>
    <w:basedOn w:val="1"/>
    <w:link w:val="15"/>
    <w:qFormat/>
    <w:uiPriority w:val="0"/>
    <w:rPr>
      <w:rFonts w:ascii="宋体" w:hAnsi="Courier New" w:cs="Courier New"/>
      <w:kern w:val="0"/>
      <w:sz w:val="20"/>
      <w:szCs w:val="21"/>
    </w:rPr>
  </w:style>
  <w:style w:type="character" w:customStyle="1" w:styleId="15">
    <w:name w:val="标题1 Char1"/>
    <w:link w:val="14"/>
    <w:locked/>
    <w:uiPriority w:val="0"/>
    <w:rPr>
      <w:rFonts w:ascii="宋体" w:hAnsi="Courier New" w:cs="Courier New"/>
      <w:szCs w:val="21"/>
    </w:rPr>
  </w:style>
  <w:style w:type="paragraph" w:customStyle="1" w:styleId="16">
    <w:name w:val="普通(网站)_0"/>
    <w:basedOn w:val="13"/>
    <w:link w:val="17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17">
    <w:name w:val="普通(网站)_0 Char"/>
    <w:link w:val="16"/>
    <w:qFormat/>
    <w:locked/>
    <w:uiPriority w:val="0"/>
    <w:rPr>
      <w:rFonts w:ascii="宋体" w:hAnsi="宋体"/>
      <w:sz w:val="24"/>
      <w:szCs w:val="24"/>
    </w:rPr>
  </w:style>
  <w:style w:type="paragraph" w:customStyle="1" w:styleId="18">
    <w:name w:val="正文_0_0"/>
    <w:link w:val="1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9">
    <w:name w:val="正文_0 Char"/>
    <w:link w:val="18"/>
    <w:qFormat/>
    <w:uiPriority w:val="0"/>
    <w:rPr>
      <w:kern w:val="2"/>
      <w:sz w:val="21"/>
      <w:szCs w:val="22"/>
    </w:rPr>
  </w:style>
  <w:style w:type="paragraph" w:customStyle="1" w:styleId="20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">
    <w:name w:val="无间隔1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2">
    <w:name w:val="DefaultParagraph Char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23">
    <w:name w:val="副标题样式"/>
    <w:basedOn w:val="1"/>
    <w:link w:val="24"/>
    <w:qFormat/>
    <w:uiPriority w:val="0"/>
    <w:pPr>
      <w:spacing w:line="360" w:lineRule="auto"/>
      <w:ind w:left="420" w:leftChars="200" w:right="210" w:rightChars="100"/>
      <w:jc w:val="center"/>
    </w:pPr>
    <w:rPr>
      <w:rFonts w:ascii="宋体" w:hAnsi="宋体" w:eastAsia="黑体"/>
      <w:b/>
      <w:sz w:val="30"/>
      <w:szCs w:val="30"/>
    </w:rPr>
  </w:style>
  <w:style w:type="character" w:customStyle="1" w:styleId="24">
    <w:name w:val="副标题样式 字符"/>
    <w:link w:val="23"/>
    <w:qFormat/>
    <w:uiPriority w:val="0"/>
    <w:rPr>
      <w:rFonts w:ascii="宋体" w:hAnsi="宋体" w:eastAsia="黑体"/>
      <w:b/>
      <w:kern w:val="2"/>
      <w:sz w:val="30"/>
      <w:szCs w:val="30"/>
    </w:rPr>
  </w:style>
  <w:style w:type="paragraph" w:customStyle="1" w:styleId="25">
    <w:name w:val="_Style 89"/>
    <w:basedOn w:val="1"/>
    <w:next w:val="26"/>
    <w:qFormat/>
    <w:uiPriority w:val="34"/>
    <w:pPr>
      <w:ind w:firstLine="420" w:firstLineChars="200"/>
    </w:pPr>
    <w:rPr>
      <w:szCs w:val="22"/>
    </w:rPr>
  </w:style>
  <w:style w:type="paragraph" w:styleId="26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27">
    <w:name w:val="正文样式"/>
    <w:basedOn w:val="1"/>
    <w:link w:val="28"/>
    <w:qFormat/>
    <w:uiPriority w:val="0"/>
    <w:pPr>
      <w:spacing w:line="360" w:lineRule="auto"/>
      <w:ind w:left="420" w:leftChars="200" w:right="210" w:rightChars="100"/>
    </w:pPr>
    <w:rPr>
      <w:rFonts w:ascii="宋体" w:hAnsi="宋体"/>
    </w:rPr>
  </w:style>
  <w:style w:type="character" w:customStyle="1" w:styleId="28">
    <w:name w:val="正文样式 字符"/>
    <w:link w:val="27"/>
    <w:qFormat/>
    <w:uiPriority w:val="0"/>
    <w:rPr>
      <w:rFonts w:ascii="宋体" w:hAnsi="宋体"/>
      <w:kern w:val="2"/>
      <w:sz w:val="21"/>
      <w:szCs w:val="24"/>
    </w:rPr>
  </w:style>
  <w:style w:type="paragraph" w:customStyle="1" w:styleId="29">
    <w:name w:val="标题样式"/>
    <w:basedOn w:val="27"/>
    <w:link w:val="30"/>
    <w:qFormat/>
    <w:uiPriority w:val="0"/>
    <w:pPr>
      <w:jc w:val="center"/>
    </w:pPr>
    <w:rPr>
      <w:rFonts w:eastAsia="黑体"/>
      <w:b/>
      <w:sz w:val="36"/>
      <w:szCs w:val="36"/>
    </w:rPr>
  </w:style>
  <w:style w:type="character" w:customStyle="1" w:styleId="30">
    <w:name w:val="标题样式 字符"/>
    <w:link w:val="29"/>
    <w:qFormat/>
    <w:uiPriority w:val="0"/>
    <w:rPr>
      <w:rFonts w:ascii="宋体" w:hAnsi="宋体" w:eastAsia="黑体"/>
      <w:b/>
      <w:kern w:val="2"/>
      <w:sz w:val="36"/>
      <w:szCs w:val="36"/>
    </w:rPr>
  </w:style>
  <w:style w:type="paragraph" w:customStyle="1" w:styleId="31">
    <w:name w:val="答案标题样式"/>
    <w:basedOn w:val="23"/>
    <w:link w:val="32"/>
    <w:qFormat/>
    <w:uiPriority w:val="0"/>
    <w:rPr>
      <w:color w:val="FF0000"/>
    </w:rPr>
  </w:style>
  <w:style w:type="character" w:customStyle="1" w:styleId="32">
    <w:name w:val="答案标题样式 字符"/>
    <w:link w:val="31"/>
    <w:qFormat/>
    <w:uiPriority w:val="0"/>
    <w:rPr>
      <w:rFonts w:ascii="宋体" w:hAnsi="宋体" w:eastAsia="黑体"/>
      <w:b/>
      <w:color w:val="FF0000"/>
      <w:kern w:val="2"/>
      <w:sz w:val="30"/>
      <w:szCs w:val="30"/>
    </w:rPr>
  </w:style>
  <w:style w:type="paragraph" w:customStyle="1" w:styleId="33">
    <w:name w:val="楷体"/>
    <w:basedOn w:val="27"/>
    <w:link w:val="34"/>
    <w:qFormat/>
    <w:uiPriority w:val="0"/>
    <w:pPr>
      <w:ind w:firstLine="480" w:firstLineChars="200"/>
      <w:jc w:val="left"/>
    </w:pPr>
    <w:rPr>
      <w:rFonts w:ascii="楷体" w:hAnsi="楷体" w:eastAsia="楷体"/>
      <w:sz w:val="24"/>
    </w:rPr>
  </w:style>
  <w:style w:type="character" w:customStyle="1" w:styleId="34">
    <w:name w:val="楷体 字符"/>
    <w:link w:val="33"/>
    <w:qFormat/>
    <w:uiPriority w:val="0"/>
    <w:rPr>
      <w:rFonts w:ascii="楷体" w:hAnsi="楷体" w:eastAsia="楷体"/>
      <w:kern w:val="2"/>
      <w:sz w:val="24"/>
      <w:szCs w:val="24"/>
    </w:rPr>
  </w:style>
  <w:style w:type="character" w:customStyle="1" w:styleId="35">
    <w:name w:val="标题 字符"/>
    <w:link w:val="8"/>
    <w:qFormat/>
    <w:uiPriority w:val="0"/>
    <w:rPr>
      <w:rFonts w:ascii="Cambria" w:hAnsi="Cambria"/>
      <w:b/>
      <w:bCs/>
      <w:kern w:val="2"/>
      <w:sz w:val="28"/>
      <w:szCs w:val="32"/>
    </w:rPr>
  </w:style>
  <w:style w:type="character" w:customStyle="1" w:styleId="36">
    <w:name w:val="正文文本 字符"/>
    <w:link w:val="2"/>
    <w:qFormat/>
    <w:uiPriority w:val="0"/>
    <w:rPr>
      <w:rFonts w:ascii="宋体" w:hAnsi="Times New Roman"/>
      <w:sz w:val="18"/>
      <w:szCs w:val="18"/>
      <w:shd w:val="clear" w:color="auto" w:fill="FFFFFF"/>
    </w:rPr>
  </w:style>
  <w:style w:type="character" w:customStyle="1" w:styleId="37">
    <w:name w:val="纯文本 字符"/>
    <w:link w:val="3"/>
    <w:qFormat/>
    <w:uiPriority w:val="0"/>
    <w:rPr>
      <w:rFonts w:ascii="宋体" w:hAnsi="Courier New" w:cs="Courier New"/>
      <w:szCs w:val="21"/>
    </w:rPr>
  </w:style>
  <w:style w:type="character" w:customStyle="1" w:styleId="38">
    <w:name w:val="普通(网站) 字符"/>
    <w:link w:val="7"/>
    <w:qFormat/>
    <w:uiPriority w:val="0"/>
    <w:rPr>
      <w:rFonts w:ascii="宋体" w:hAnsi="宋体" w:cs="宋体"/>
      <w:sz w:val="24"/>
      <w:szCs w:val="24"/>
    </w:rPr>
  </w:style>
  <w:style w:type="paragraph" w:styleId="39">
    <w:name w:val="No Spacing"/>
    <w:link w:val="40"/>
    <w:qFormat/>
    <w:uiPriority w:val="1"/>
    <w:rPr>
      <w:rFonts w:ascii="Times New Roman" w:hAnsi="Times New Roman" w:eastAsia="宋体" w:cs="Times New Roman"/>
      <w:sz w:val="22"/>
      <w:szCs w:val="22"/>
      <w:lang w:val="en-US" w:eastAsia="zh-CN" w:bidi="ar-SA"/>
    </w:rPr>
  </w:style>
  <w:style w:type="character" w:customStyle="1" w:styleId="40">
    <w:name w:val="无间隔 字符"/>
    <w:link w:val="39"/>
    <w:qFormat/>
    <w:uiPriority w:val="1"/>
    <w:rPr>
      <w:rFonts w:ascii="Times New Roman" w:hAnsi="Times New Roman"/>
      <w:sz w:val="22"/>
      <w:szCs w:val="22"/>
    </w:rPr>
  </w:style>
  <w:style w:type="character" w:customStyle="1" w:styleId="41">
    <w:name w:val="页眉 字符"/>
    <w:basedOn w:val="11"/>
    <w:link w:val="6"/>
    <w:qFormat/>
    <w:uiPriority w:val="99"/>
    <w:rPr>
      <w:kern w:val="2"/>
      <w:sz w:val="18"/>
      <w:szCs w:val="18"/>
    </w:rPr>
  </w:style>
  <w:style w:type="character" w:customStyle="1" w:styleId="42">
    <w:name w:val="页脚 字符"/>
    <w:basedOn w:val="11"/>
    <w:link w:val="5"/>
    <w:qFormat/>
    <w:uiPriority w:val="99"/>
    <w:rPr>
      <w:kern w:val="2"/>
      <w:sz w:val="18"/>
      <w:szCs w:val="18"/>
    </w:rPr>
  </w:style>
  <w:style w:type="character" w:customStyle="1" w:styleId="43">
    <w:name w:val="批注框文本 字符"/>
    <w:basedOn w:val="11"/>
    <w:link w:val="4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hdphoto" Target="media/image5.wdp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2590</Words>
  <Characters>2640</Characters>
  <Lines>17</Lines>
  <Paragraphs>4</Paragraphs>
  <TotalTime>2</TotalTime>
  <ScaleCrop>false</ScaleCrop>
  <LinksUpToDate>false</LinksUpToDate>
  <CharactersWithSpaces>2761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2022-06-09T00:53:00Z</dcterms:created>
  <dc:creator>DELL</dc:creator>
  <cp:lastModifiedBy>king   hero</cp:lastModifiedBy>
  <dcterms:modified xsi:type="dcterms:W3CDTF">2022-06-11T10:26:32Z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C6EC1E907E37407690FBD2E09FFB3134</vt:lpwstr>
  </property>
</Properties>
</file>