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textAlignment w:val="center"/>
        <w:rPr>
          <w:rFonts w:ascii="宋体" w:hAnsi="宋体" w:eastAsia="宋体" w:cs="宋体"/>
          <w:b/>
          <w:color w:val="auto"/>
          <w:sz w:val="32"/>
        </w:rPr>
      </w:pPr>
      <w:r>
        <w:rPr>
          <w:rFonts w:ascii="宋体" w:hAnsi="宋体" w:eastAsia="宋体" w:cs="宋体"/>
          <w:b/>
          <w:color w:val="auto"/>
          <w:sz w:val="32"/>
        </w:rPr>
        <w:drawing>
          <wp:anchor distT="0" distB="0" distL="114300" distR="114300" simplePos="0" relativeHeight="251659264" behindDoc="0" locked="0" layoutInCell="1" allowOverlap="1">
            <wp:simplePos x="0" y="0"/>
            <wp:positionH relativeFrom="page">
              <wp:posOffset>11290300</wp:posOffset>
            </wp:positionH>
            <wp:positionV relativeFrom="topMargin">
              <wp:posOffset>12230100</wp:posOffset>
            </wp:positionV>
            <wp:extent cx="406400" cy="2667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图片 100016"/>
                    <pic:cNvPicPr>
                      <a:picLocks noChangeAspect="1"/>
                    </pic:cNvPicPr>
                  </pic:nvPicPr>
                  <pic:blipFill>
                    <a:blip r:embed="rId6"/>
                    <a:stretch>
                      <a:fillRect/>
                    </a:stretch>
                  </pic:blipFill>
                  <pic:spPr>
                    <a:xfrm>
                      <a:off x="0" y="0"/>
                      <a:ext cx="406400" cy="266700"/>
                    </a:xfrm>
                    <a:prstGeom prst="rect">
                      <a:avLst/>
                    </a:prstGeom>
                  </pic:spPr>
                </pic:pic>
              </a:graphicData>
            </a:graphic>
          </wp:anchor>
        </w:drawing>
      </w:r>
      <w:r>
        <w:rPr>
          <w:rFonts w:ascii="宋体" w:hAnsi="宋体" w:eastAsia="宋体" w:cs="宋体"/>
          <w:b/>
          <w:color w:val="auto"/>
          <w:sz w:val="32"/>
        </w:rPr>
        <w:drawing>
          <wp:anchor distT="0" distB="0" distL="114300" distR="114300" simplePos="0" relativeHeight="251660288" behindDoc="0" locked="0" layoutInCell="1" allowOverlap="1">
            <wp:simplePos x="0" y="0"/>
            <wp:positionH relativeFrom="page">
              <wp:posOffset>11747500</wp:posOffset>
            </wp:positionH>
            <wp:positionV relativeFrom="topMargin">
              <wp:posOffset>11087100</wp:posOffset>
            </wp:positionV>
            <wp:extent cx="431800" cy="304800"/>
            <wp:effectExtent l="0" t="0" r="6350" b="0"/>
            <wp:wrapNone/>
            <wp:docPr id="100025" name="图片 100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pic:cNvPicPr>
                      <a:picLocks noChangeAspect="1"/>
                    </pic:cNvPicPr>
                  </pic:nvPicPr>
                  <pic:blipFill>
                    <a:blip r:embed="rId7"/>
                    <a:stretch>
                      <a:fillRect/>
                    </a:stretch>
                  </pic:blipFill>
                  <pic:spPr>
                    <a:xfrm>
                      <a:off x="0" y="0"/>
                      <a:ext cx="431800" cy="304800"/>
                    </a:xfrm>
                    <a:prstGeom prst="rect">
                      <a:avLst/>
                    </a:prstGeom>
                  </pic:spPr>
                </pic:pic>
              </a:graphicData>
            </a:graphic>
          </wp:anchor>
        </w:drawing>
      </w:r>
      <w:r>
        <w:rPr>
          <w:rFonts w:ascii="宋体" w:hAnsi="宋体" w:eastAsia="宋体" w:cs="宋体"/>
          <w:b/>
          <w:color w:val="auto"/>
          <w:sz w:val="32"/>
        </w:rPr>
        <w:t>湖南省2022年普通高中学业水平选择性考试</w:t>
      </w:r>
    </w:p>
    <w:p>
      <w:pPr>
        <w:spacing w:line="360" w:lineRule="auto"/>
        <w:jc w:val="center"/>
        <w:textAlignment w:val="center"/>
        <w:rPr>
          <w:rFonts w:hint="default" w:ascii="宋体" w:hAnsi="宋体" w:eastAsia="宋体" w:cs="宋体"/>
          <w:b/>
          <w:color w:val="auto"/>
          <w:sz w:val="32"/>
          <w:lang w:val="en-US" w:eastAsia="zh-CN"/>
        </w:rPr>
      </w:pPr>
      <w:r>
        <w:rPr>
          <w:rFonts w:ascii="宋体" w:hAnsi="宋体" w:eastAsia="宋体" w:cs="宋体"/>
          <w:b/>
          <w:color w:val="auto"/>
          <w:sz w:val="32"/>
        </w:rPr>
        <w:t>思想政治</w:t>
      </w:r>
      <w:r>
        <w:rPr>
          <w:rFonts w:hint="eastAsia" w:ascii="宋体" w:hAnsi="宋体" w:cs="宋体"/>
          <w:b/>
          <w:color w:val="auto"/>
          <w:sz w:val="32"/>
          <w:lang w:val="en-US" w:eastAsia="zh-CN"/>
        </w:rPr>
        <w:t>参考答案</w:t>
      </w:r>
    </w:p>
    <w:p>
      <w:pPr>
        <w:spacing w:line="360" w:lineRule="auto"/>
        <w:jc w:val="left"/>
        <w:textAlignment w:val="center"/>
        <w:rPr>
          <w:rFonts w:ascii="宋体" w:hAnsi="宋体" w:eastAsia="宋体" w:cs="宋体"/>
          <w:b/>
          <w:color w:val="auto"/>
          <w:sz w:val="24"/>
        </w:rPr>
      </w:pPr>
    </w:p>
    <w:p>
      <w:pPr>
        <w:spacing w:line="360" w:lineRule="auto"/>
        <w:jc w:val="left"/>
        <w:textAlignment w:val="center"/>
        <w:rPr>
          <w:rFonts w:ascii="宋体" w:hAnsi="宋体" w:eastAsia="宋体" w:cs="宋体"/>
          <w:b/>
          <w:color w:val="auto"/>
          <w:sz w:val="24"/>
        </w:rPr>
      </w:pPr>
      <w:bookmarkStart w:id="0" w:name="_GoBack"/>
      <w:bookmarkEnd w:id="0"/>
      <w:r>
        <w:rPr>
          <w:rFonts w:ascii="宋体" w:hAnsi="宋体" w:eastAsia="宋体" w:cs="宋体"/>
          <w:b/>
          <w:color w:val="auto"/>
          <w:sz w:val="24"/>
        </w:rPr>
        <w:t>一、选择题：本题共16小题，每小题3分，共48分。</w:t>
      </w:r>
    </w:p>
    <w:p>
      <w:pPr>
        <w:spacing w:line="360" w:lineRule="auto"/>
        <w:textAlignment w:val="center"/>
        <w:rPr>
          <w:color w:val="000000"/>
        </w:rPr>
      </w:pPr>
      <w:r>
        <w:rPr>
          <w:color w:val="auto"/>
        </w:rPr>
        <w:t xml:space="preserve">1. </w:t>
      </w:r>
      <w:r>
        <w:rPr>
          <w:color w:val="000000"/>
        </w:rPr>
        <w:t>C</w:t>
      </w:r>
      <w:r>
        <w:rPr>
          <w:rFonts w:hint="eastAsia"/>
          <w:color w:val="000000"/>
          <w:lang w:val="en-US" w:eastAsia="zh-CN"/>
        </w:rPr>
        <w:t xml:space="preserve">  </w:t>
      </w:r>
      <w:r>
        <w:rPr>
          <w:color w:val="000000"/>
        </w:rPr>
        <w:t>2. A</w:t>
      </w:r>
      <w:r>
        <w:rPr>
          <w:rFonts w:hint="eastAsia"/>
          <w:color w:val="000000"/>
          <w:lang w:val="en-US" w:eastAsia="zh-CN"/>
        </w:rPr>
        <w:t xml:space="preserve">  </w:t>
      </w:r>
      <w:r>
        <w:rPr>
          <w:color w:val="000000"/>
        </w:rPr>
        <w:t>3. B</w:t>
      </w:r>
      <w:r>
        <w:rPr>
          <w:rFonts w:hint="eastAsia"/>
          <w:color w:val="000000"/>
          <w:lang w:val="en-US" w:eastAsia="zh-CN"/>
        </w:rPr>
        <w:t xml:space="preserve">  </w:t>
      </w:r>
      <w:r>
        <w:rPr>
          <w:color w:val="000000"/>
        </w:rPr>
        <w:t>4. D</w:t>
      </w:r>
      <w:r>
        <w:rPr>
          <w:rFonts w:hint="eastAsia"/>
          <w:color w:val="000000"/>
          <w:lang w:val="en-US" w:eastAsia="zh-CN"/>
        </w:rPr>
        <w:t xml:space="preserve">  </w:t>
      </w:r>
      <w:r>
        <w:rPr>
          <w:color w:val="000000"/>
        </w:rPr>
        <w:t>5. C</w:t>
      </w:r>
      <w:r>
        <w:rPr>
          <w:rFonts w:hint="eastAsia"/>
          <w:color w:val="000000"/>
          <w:lang w:val="en-US" w:eastAsia="zh-CN"/>
        </w:rPr>
        <w:t xml:space="preserve">  </w:t>
      </w:r>
      <w:r>
        <w:rPr>
          <w:color w:val="000000"/>
        </w:rPr>
        <w:t>6. C</w:t>
      </w:r>
      <w:r>
        <w:rPr>
          <w:rFonts w:hint="eastAsia"/>
          <w:color w:val="000000"/>
          <w:lang w:val="en-US" w:eastAsia="zh-CN"/>
        </w:rPr>
        <w:t xml:space="preserve">  </w:t>
      </w:r>
      <w:r>
        <w:rPr>
          <w:color w:val="000000"/>
        </w:rPr>
        <w:t>7. D</w:t>
      </w:r>
      <w:r>
        <w:rPr>
          <w:rFonts w:hint="eastAsia"/>
          <w:color w:val="000000"/>
          <w:lang w:val="en-US" w:eastAsia="zh-CN"/>
        </w:rPr>
        <w:t xml:space="preserve">  </w:t>
      </w:r>
      <w:r>
        <w:rPr>
          <w:color w:val="000000"/>
        </w:rPr>
        <w:t>8. D</w:t>
      </w:r>
      <w:r>
        <w:rPr>
          <w:rFonts w:hint="eastAsia"/>
          <w:color w:val="000000"/>
          <w:lang w:val="en-US" w:eastAsia="zh-CN"/>
        </w:rPr>
        <w:t xml:space="preserve">  </w:t>
      </w:r>
      <w:r>
        <w:rPr>
          <w:color w:val="000000"/>
        </w:rPr>
        <w:t>9. D</w:t>
      </w:r>
      <w:r>
        <w:rPr>
          <w:rFonts w:hint="eastAsia"/>
          <w:color w:val="000000"/>
          <w:lang w:val="en-US" w:eastAsia="zh-CN"/>
        </w:rPr>
        <w:t xml:space="preserve">  </w:t>
      </w:r>
      <w:r>
        <w:rPr>
          <w:color w:val="000000"/>
        </w:rPr>
        <w:t>10. C</w:t>
      </w:r>
      <w:r>
        <w:rPr>
          <w:rFonts w:hint="eastAsia"/>
          <w:color w:val="000000"/>
          <w:lang w:val="en-US" w:eastAsia="zh-CN"/>
        </w:rPr>
        <w:t xml:space="preserve">  </w:t>
      </w:r>
      <w:r>
        <w:rPr>
          <w:color w:val="000000"/>
        </w:rPr>
        <w:t>11. D</w:t>
      </w:r>
      <w:r>
        <w:rPr>
          <w:rFonts w:hint="eastAsia"/>
          <w:color w:val="000000"/>
          <w:lang w:val="en-US" w:eastAsia="zh-CN"/>
        </w:rPr>
        <w:t xml:space="preserve">  </w:t>
      </w:r>
      <w:r>
        <w:rPr>
          <w:color w:val="000000"/>
        </w:rPr>
        <w:t>12. A</w:t>
      </w:r>
      <w:r>
        <w:rPr>
          <w:rFonts w:hint="eastAsia"/>
          <w:color w:val="000000"/>
          <w:lang w:val="en-US" w:eastAsia="zh-CN"/>
        </w:rPr>
        <w:t xml:space="preserve">  </w:t>
      </w:r>
      <w:r>
        <w:rPr>
          <w:color w:val="000000"/>
        </w:rPr>
        <w:t>13. B</w:t>
      </w:r>
      <w:r>
        <w:rPr>
          <w:rFonts w:hint="eastAsia"/>
          <w:color w:val="000000"/>
          <w:lang w:val="en-US" w:eastAsia="zh-CN"/>
        </w:rPr>
        <w:t xml:space="preserve">  </w:t>
      </w:r>
      <w:r>
        <w:rPr>
          <w:color w:val="000000"/>
        </w:rPr>
        <w:t>14. C</w:t>
      </w:r>
      <w:r>
        <w:rPr>
          <w:rFonts w:hint="eastAsia"/>
          <w:color w:val="000000"/>
          <w:lang w:val="en-US" w:eastAsia="zh-CN"/>
        </w:rPr>
        <w:t xml:space="preserve">  </w:t>
      </w:r>
      <w:r>
        <w:rPr>
          <w:color w:val="000000"/>
        </w:rPr>
        <w:t>15. C</w:t>
      </w:r>
      <w:r>
        <w:rPr>
          <w:rFonts w:hint="eastAsia"/>
          <w:color w:val="000000"/>
          <w:lang w:val="en-US" w:eastAsia="zh-CN"/>
        </w:rPr>
        <w:t xml:space="preserve">  </w:t>
      </w:r>
      <w:r>
        <w:rPr>
          <w:color w:val="000000"/>
        </w:rPr>
        <w:t>16. A</w:t>
      </w:r>
    </w:p>
    <w:p>
      <w:pPr>
        <w:spacing w:line="360" w:lineRule="auto"/>
        <w:jc w:val="left"/>
        <w:textAlignment w:val="center"/>
        <w:rPr>
          <w:rFonts w:ascii="宋体" w:hAnsi="宋体" w:eastAsia="宋体" w:cs="宋体"/>
          <w:b/>
          <w:color w:val="000000"/>
          <w:sz w:val="24"/>
        </w:rPr>
      </w:pPr>
    </w:p>
    <w:p>
      <w:pPr>
        <w:spacing w:line="360" w:lineRule="auto"/>
        <w:jc w:val="left"/>
        <w:textAlignment w:val="center"/>
        <w:rPr>
          <w:rFonts w:ascii="宋体" w:hAnsi="宋体" w:eastAsia="宋体" w:cs="宋体"/>
          <w:b/>
          <w:color w:val="000000"/>
          <w:sz w:val="24"/>
        </w:rPr>
      </w:pPr>
      <w:r>
        <w:rPr>
          <w:rFonts w:ascii="宋体" w:hAnsi="宋体" w:eastAsia="宋体" w:cs="宋体"/>
          <w:b/>
          <w:color w:val="000000"/>
          <w:sz w:val="24"/>
        </w:rPr>
        <w:t>二、非选择题：共52分</w:t>
      </w:r>
      <w:r>
        <w:rPr>
          <w:rFonts w:ascii="宋体" w:hAnsi="宋体" w:eastAsia="宋体" w:cs="宋体"/>
          <w:b/>
          <w:color w:val="auto"/>
          <w:sz w:val="24"/>
        </w:rPr>
        <w:t>。</w:t>
      </w:r>
    </w:p>
    <w:p>
      <w:pPr>
        <w:spacing w:line="360" w:lineRule="auto"/>
        <w:textAlignment w:val="center"/>
        <w:rPr>
          <w:color w:val="000000"/>
        </w:rPr>
      </w:pPr>
      <w:r>
        <w:rPr>
          <w:color w:val="000000"/>
        </w:rPr>
        <w:t>17. （1）2001-2007年我国居民的消费率在下降； 2007-2012年我国居民的消费率比较平稳； 2012-2020年我国居民的消费率有所上升，但增长缓慢；当国家人均GDP在3000—10000美元时，我国居民消费率远低于发达国家，这说明我国居民消费水平较低，消费能力较弱，消费结构有待优化。</w:t>
      </w:r>
      <w:r>
        <w:rPr>
          <w:color w:val="000000"/>
        </w:rPr>
        <w:br w:type="textWrapping"/>
      </w:r>
      <w:r>
        <w:rPr>
          <w:color w:val="000000"/>
        </w:rPr>
        <w:t xml:space="preserve">    </w:t>
      </w:r>
    </w:p>
    <w:p>
      <w:pPr>
        <w:spacing w:line="360" w:lineRule="auto"/>
        <w:jc w:val="left"/>
        <w:textAlignment w:val="center"/>
        <w:rPr>
          <w:color w:val="000000"/>
        </w:rPr>
      </w:pPr>
      <w:r>
        <w:rPr>
          <w:color w:val="000000"/>
        </w:rPr>
        <w:t>（2）①实施积极的财政政策，进一步扩大税费减免政策的适用主体范围，降低企业的制度性经营成本，以促进其投资性其消费；</w:t>
      </w:r>
      <w:r>
        <w:rPr>
          <w:rFonts w:ascii="宋体" w:hAnsi="宋体" w:eastAsia="宋体" w:cs="宋体"/>
          <w:color w:val="000000"/>
        </w:rPr>
        <w:br w:type="textWrapping"/>
      </w:r>
      <w:r>
        <w:rPr>
          <w:rFonts w:ascii="宋体" w:hAnsi="宋体" w:eastAsia="宋体" w:cs="宋体"/>
          <w:color w:val="000000"/>
        </w:rPr>
        <w:t>②通过财政专项补贴，支持社会力量启动某养老项目，完善社会基本公共服务，带动区域内相关养老配套产业发展，满足居民的消费需求。</w:t>
      </w:r>
      <w:r>
        <w:rPr>
          <w:rFonts w:ascii="宋体" w:hAnsi="宋体" w:eastAsia="宋体" w:cs="宋体"/>
          <w:color w:val="000000"/>
        </w:rPr>
        <w:br w:type="textWrapping"/>
      </w:r>
      <w:r>
        <w:rPr>
          <w:rFonts w:ascii="宋体" w:hAnsi="宋体" w:eastAsia="宋体" w:cs="宋体"/>
          <w:color w:val="000000"/>
        </w:rPr>
        <w:t>③通过发放消费券和消费红包，带动社会资本，开展促消费活动，以减轻居民消费成本，刺激居民消费。</w:t>
      </w:r>
      <w:r>
        <w:rPr>
          <w:rFonts w:ascii="宋体" w:hAnsi="宋体" w:eastAsia="宋体" w:cs="宋体"/>
          <w:color w:val="000000"/>
        </w:rPr>
        <w:br w:type="textWrapping"/>
      </w:r>
    </w:p>
    <w:p>
      <w:pPr>
        <w:spacing w:line="360" w:lineRule="auto"/>
        <w:textAlignment w:val="center"/>
        <w:rPr>
          <w:color w:val="000000"/>
        </w:rPr>
      </w:pPr>
      <w:r>
        <w:rPr>
          <w:color w:val="000000"/>
        </w:rPr>
        <w:t>18. ①中国特色社会主义制度的最大优势是中国共产党领导，中国共产党坚持科学执政、民主执政。党的历史上第一次将党的全国代表大会相关工作面向全党全社会公开征求意见，这是一次重大的创新举措，彰显中国共产党在密切党群关系的道路上又更进一步。</w:t>
      </w:r>
      <w:r>
        <w:rPr>
          <w:color w:val="000000"/>
        </w:rPr>
        <w:br w:type="textWrapping"/>
      </w:r>
      <w:r>
        <w:rPr>
          <w:color w:val="000000"/>
        </w:rPr>
        <w:t>②我国是人民民主专政的社会主义国家，人民是国家的主人，开展党的二十大相关工作网络征求意见，充分彰显了以习近平同志为核心的党中央发扬民主、集思广益的优良作风，是我们党坚持以人民为中心、尊重人民主体地位、走好群众路线的重要体现。</w:t>
      </w:r>
      <w:r>
        <w:rPr>
          <w:color w:val="000000"/>
        </w:rPr>
        <w:br w:type="textWrapping"/>
      </w:r>
      <w:r>
        <w:rPr>
          <w:color w:val="000000"/>
        </w:rPr>
        <w:t>③广大人民群众可通过各种渠道提出意见建议，这是推进全过程人民民主的生动实践，是适应互联网时代新要求、推进国家治理体系和治理能力现代化的有益探索。</w:t>
      </w:r>
      <w:r>
        <w:rPr>
          <w:color w:val="000000"/>
        </w:rPr>
        <w:br w:type="textWrapping"/>
      </w:r>
      <w:r>
        <w:rPr>
          <w:color w:val="000000"/>
        </w:rPr>
        <w:t>④党的二十大相关工作开展网络征求意见实现了党的领导、人民当家作主、依法治国三者有机统一，将中国民主推上了一个新的高度。</w:t>
      </w:r>
    </w:p>
    <w:p>
      <w:pPr>
        <w:spacing w:line="360" w:lineRule="auto"/>
        <w:jc w:val="left"/>
        <w:textAlignment w:val="center"/>
        <w:rPr>
          <w:color w:val="000000"/>
        </w:rPr>
      </w:pPr>
    </w:p>
    <w:p>
      <w:pPr>
        <w:spacing w:line="360" w:lineRule="auto"/>
        <w:textAlignment w:val="center"/>
        <w:rPr>
          <w:color w:val="000000"/>
        </w:rPr>
      </w:pPr>
      <w:r>
        <w:rPr>
          <w:color w:val="000000"/>
        </w:rPr>
        <w:t>19. ①联系具有客观性，要从事物固有的联系中把握事物，切忌主观随意性。人与自然是有机整体，长江拥有独特的生态系统，是我国重要的生态宝库，历史上对该区域过度、无序、劫掠开发导致长江生态环境严重恶化，告诉我们要尊重自然，从人与自然的固有联系中认识和改造自然，坚持人与自然和谐共生。②人对事物的联系并不是无能为力的，人们可以根据事物固有的联系，改变事物的状态，调整原有的联系，建立新的联系。新时代，我们只有坚持绿色发展理念，在修复长江生态环境中彰显新担当、努力作为，才能确保“一江清水向东流”，让生态环境持续向好。</w:t>
      </w:r>
    </w:p>
    <w:p>
      <w:pPr>
        <w:spacing w:line="360" w:lineRule="auto"/>
        <w:jc w:val="left"/>
        <w:textAlignment w:val="center"/>
        <w:rPr>
          <w:color w:val="000000"/>
        </w:rPr>
      </w:pPr>
    </w:p>
    <w:p>
      <w:pPr>
        <w:spacing w:line="360" w:lineRule="auto"/>
        <w:textAlignment w:val="center"/>
        <w:rPr>
          <w:color w:val="000000"/>
        </w:rPr>
      </w:pPr>
      <w:r>
        <w:rPr>
          <w:color w:val="000000"/>
        </w:rPr>
        <w:t xml:space="preserve">20. （1）① 传统文化有双重作用，对今天人们的思想观念、生活方式和中国的发展道路具有深刻影响。正确态度是取其精华，去其糟粕，批判继承，古为今用，我们要弘扬优秀传统文化，从中汲取砥砺奋进的精神力量，激发全民族文化创造活力，增强文化自信和文化自觉，提升我国的文化软实力②传统文化具有鲜明的民族性，传统文化是民族文化发展的根基，是维系民族生存和发展的精神纽带，今天仍能激起人们强烈的民族认同感和民族自信心。传承发展中华优秀传统文化有利于弘扬和培育中华民族精神，但同时要面向世界、博采众长，以我为主，为我所用。③传统文化具有相对稳定性，传统文化在世代相传中保留着基本特征，同时，它的具体内涵又能够因时而变。必须在继承的基础上发展和创新，在发展的过程中继承，立足实践，批判地继承发展好传统文化，不断推陈出新，革故鼎新，成为自觉的文化传承者和享用者，实现中华民族伟大复兴。④反对全盘否定传统文化的历史虚无主义与全盘肯定的守旧主义。    </w:t>
      </w:r>
    </w:p>
    <w:p>
      <w:pPr>
        <w:spacing w:line="360" w:lineRule="auto"/>
        <w:textAlignment w:val="center"/>
        <w:rPr>
          <w:color w:val="000000"/>
        </w:rPr>
      </w:pPr>
      <w:r>
        <w:rPr>
          <w:color w:val="000000"/>
        </w:rPr>
        <w:t>（2）第一、“尝味道”：</w:t>
      </w:r>
      <w:r>
        <w:rPr>
          <w:color w:val="000000"/>
        </w:rPr>
        <w:br w:type="textWrapping"/>
      </w:r>
      <w:r>
        <w:rPr>
          <w:color w:val="000000"/>
        </w:rPr>
        <w:t>推广的目的：品舌尖上的美食，领略源远流长的湖湘传统饮食文化；了解美食和传统习俗、传统节日。</w:t>
      </w:r>
      <w:r>
        <w:rPr>
          <w:color w:val="000000"/>
        </w:rPr>
        <w:br w:type="textWrapping"/>
      </w:r>
      <w:r>
        <w:rPr>
          <w:color w:val="000000"/>
        </w:rPr>
        <w:t>推广形式：从当地政府、文化企业、市民角度思考。如网络点餐、印制精美推介手册、城市志愿者服务。</w:t>
      </w:r>
      <w:r>
        <w:rPr>
          <w:color w:val="000000"/>
        </w:rPr>
        <w:br w:type="textWrapping"/>
      </w:r>
      <w:r>
        <w:rPr>
          <w:color w:val="000000"/>
        </w:rPr>
        <w:t>第二、“品文学”：</w:t>
      </w:r>
      <w:r>
        <w:rPr>
          <w:color w:val="000000"/>
        </w:rPr>
        <w:br w:type="textWrapping"/>
      </w:r>
      <w:r>
        <w:rPr>
          <w:color w:val="000000"/>
        </w:rPr>
        <w:t>推广的目的：领略源远流长博大精深的湖湘传统文化；培养文化自信心和文化自豪感。</w:t>
      </w:r>
      <w:r>
        <w:rPr>
          <w:color w:val="000000"/>
        </w:rPr>
        <w:br w:type="textWrapping"/>
      </w:r>
      <w:r>
        <w:rPr>
          <w:color w:val="000000"/>
        </w:rPr>
        <w:t>推广形式：从当地政府、文化企业、市民角度思考。如借力科技、网络创新传统文化、推动文化传播手段创新 、印制精美文化手册、组织开展读书宣传活动。</w:t>
      </w:r>
      <w:r>
        <w:rPr>
          <w:color w:val="000000"/>
        </w:rPr>
        <w:br w:type="textWrapping"/>
      </w:r>
      <w:r>
        <w:rPr>
          <w:color w:val="000000"/>
        </w:rPr>
        <w:t>第三、“观民俗”：</w:t>
      </w:r>
      <w:r>
        <w:rPr>
          <w:color w:val="000000"/>
        </w:rPr>
        <w:br w:type="textWrapping"/>
      </w:r>
      <w:r>
        <w:rPr>
          <w:color w:val="000000"/>
        </w:rPr>
        <w:t>推广的目的：观传统民俗文化，领略博大精深的湖湘优秀传统文化的多姿多彩和创造力；了解传统习俗和传统节日。</w:t>
      </w:r>
      <w:r>
        <w:rPr>
          <w:color w:val="000000"/>
        </w:rPr>
        <w:br w:type="textWrapping"/>
      </w:r>
      <w:r>
        <w:rPr>
          <w:color w:val="000000"/>
        </w:rPr>
        <w:t>推广形式：从当地政府、文化企业、市民角度思考。如网络、科技手段推广民俗文化、印制精美推介手册、城市志愿者服务等。</w:t>
      </w:r>
    </w:p>
    <w:p>
      <w:pPr>
        <w:sectPr>
          <w:headerReference r:id="rId3" w:type="default"/>
          <w:footerReference r:id="rId4" w:type="default"/>
          <w:pgSz w:w="11906" w:h="16838"/>
          <w:pgMar w:top="1440" w:right="1800" w:bottom="1440" w:left="1800" w:header="708" w:footer="708" w:gutter="0"/>
          <w:cols w:space="708" w:num="1"/>
        </w:sectPr>
      </w:pP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cs="Times New Roman"/>
        <w:kern w:val="0"/>
        <w:sz w:val="2"/>
        <w:szCs w:val="2"/>
      </w:rPr>
    </w:pPr>
    <w:r>
      <w:rPr>
        <w:color w:val="FFFFFF"/>
        <w:sz w:val="2"/>
        <w:szCs w:val="2"/>
      </w:rPr>
      <w:pict>
        <v:shape id="PowerPlusWaterMarkObject1453549720" o:spid="_x0000_s2053" o:spt="136" alt="学科网 zxxk.com" type="#_x0000_t136" style="position:absolute;left:0pt;margin-left:158.95pt;margin-top:407.9pt;height:2.85pt;width:2.85pt;mso-position-horizontal-relative:margin;mso-position-vertical-relative:margin;z-index:-251657216;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图片 5" o:spid="_x0000_s2054" o:spt="75" alt="学科网 zxxk.com" type="#_x0000_t75" style="position:absolute;left:0pt;margin-left:64.05pt;margin-top:-20.75pt;height:0.05pt;width:0.05pt;z-index:251662336;mso-width-relative:page;mso-height-relative:page;" filled="f" o:preferrelative="t" stroked="f" coordsize="21600,21600">
          <v:path/>
          <v:fill on="f" focussize="0,0"/>
          <v:stroke on="f" joinstyle="miter"/>
          <v:imagedata r:id="rId1" o:title=""/>
          <o:lock v:ext="edit" aspectratio="t"/>
        </v:shape>
      </w:pict>
    </w:r>
    <w:r>
      <w:rPr>
        <w:rFonts w:hint="eastAsia" w:cs="Times New Roman"/>
        <w:color w:val="FFFFFF"/>
        <w:kern w:val="0"/>
        <w:sz w:val="2"/>
        <w:szCs w:val="2"/>
      </w:rPr>
      <w:t>学科网（北京）股份有限公司</w:t>
    </w:r>
  </w:p>
  <w:p>
    <w:pPr>
      <w:tabs>
        <w:tab w:val="center" w:pos="4153"/>
        <w:tab w:val="right" w:pos="8306"/>
      </w:tabs>
      <w:snapToGrid w:val="0"/>
      <w:jc w:val="left"/>
      <w:rPr>
        <w:rFonts w:cs="Times New Roman"/>
        <w:kern w:val="0"/>
        <w:sz w:val="2"/>
        <w:szCs w:val="2"/>
      </w:rPr>
    </w:pPr>
    <w:r>
      <w:rPr>
        <w:color w:val="FFFFFF"/>
        <w:sz w:val="2"/>
        <w:szCs w:val="2"/>
      </w:rPr>
      <w:pict>
        <v:shape id="_x0000_s2055" o:spid="_x0000_s2055" o:spt="136" alt="学科网 zxxk.com" type="#_x0000_t136" style="position:absolute;left:0pt;margin-left:158.95pt;margin-top:407.9pt;height:2.85pt;width:2.85pt;mso-position-horizontal-relative:margin;mso-position-vertical-relative:margin;rotation:20643840f;z-index:-251656192;mso-width-relative:page;mso-height-relative:page;" filled="t" stroked="f" coordsize="21600,21600" o:allowincell="f">
          <v:path/>
          <v:fill on="t" opacity="32768f" focussize="0,0"/>
          <v:stroke on="f"/>
          <v:imagedata o:title=""/>
          <o:lock v:ext="edit"/>
          <v:textpath on="t" fitshape="t" fitpath="t" trim="f" xscale="f" string="zxxk.com" style="font-family:宋体;font-size:8pt;v-same-letter-heights:f;v-text-align:center;"/>
        </v:shape>
      </w:pict>
    </w:r>
    <w:r>
      <w:rPr>
        <w:color w:val="FFFFFF"/>
        <w:sz w:val="2"/>
        <w:szCs w:val="2"/>
      </w:rPr>
      <w:pict>
        <v:shape id="_x0000_s2056" o:spid="_x0000_s2056" o:spt="75" alt="学科网 zxxk.com" type="#_x0000_t75" style="position:absolute;left:0pt;margin-left:64.05pt;margin-top:-20.75pt;height:0.05pt;width:0.05pt;z-index:251664384;mso-width-relative:page;mso-height-relative:page;" filled="f" o:preferrelative="t" stroked="f" coordsize="21600,21600">
          <v:path/>
          <v:fill on="f" focussize="0,0"/>
          <v:stroke on="f" joinstyle="miter"/>
          <v:imagedata r:id="rId2" r:href="rId3" o:title=""/>
          <o:lock v:ext="edit" aspectratio="t"/>
        </v:shape>
      </w:pict>
    </w:r>
    <w:r>
      <w:rPr>
        <w:rFonts w:hint="eastAsia" w:cs="Times New Roman"/>
        <w:color w:val="FFFFFF"/>
        <w:kern w:val="0"/>
        <w:sz w:val="2"/>
        <w:szCs w:val="2"/>
      </w:rPr>
      <w:t>学科网（北京）股份有限公司</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default" w:eastAsia="宋体" w:cs="Times New Roman"/>
        <w:kern w:val="0"/>
        <w:sz w:val="2"/>
        <w:szCs w:val="2"/>
        <w:lang w:val="en-US" w:eastAsia="zh-CN"/>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r>
      <w:pict>
        <v:shape id="_x0000_s2051" o:spid="_x0000_s2051" o:spt="75" alt="学科网 zxxk.com" type="#_x0000_t75" style="position:absolute;left:0pt;margin-left:351pt;margin-top:8.45pt;height:0.75pt;width:0.75pt;z-index:251663360;mso-width-relative:page;mso-height-relative:page;" filled="f" o:preferrelative="t" stroked="f" coordsize="21600,21600">
          <v:path/>
          <v:fill on="f" focussize="0,0"/>
          <v:stroke on="f" joinstyle="miter"/>
          <v:imagedata r:id="rId2" r:href="rId3" o:title=""/>
          <o:lock v:ext="edit"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2UzMTZkYjU5YzZlZWUwMTZjZDUxNGE1OWEyNmU1MmY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74E0F"/>
    <w:rsid w:val="00982128"/>
    <w:rsid w:val="009A27BF"/>
    <w:rsid w:val="009B5666"/>
    <w:rsid w:val="009C4252"/>
    <w:rsid w:val="009E203F"/>
    <w:rsid w:val="00A07DF2"/>
    <w:rsid w:val="00A405DB"/>
    <w:rsid w:val="00A536B0"/>
    <w:rsid w:val="00AD6B6A"/>
    <w:rsid w:val="00B80D67"/>
    <w:rsid w:val="00B8100F"/>
    <w:rsid w:val="00B96924"/>
    <w:rsid w:val="00BA1A55"/>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0200793B"/>
    <w:rsid w:val="0224362A"/>
    <w:rsid w:val="0543026B"/>
    <w:rsid w:val="0752089D"/>
    <w:rsid w:val="08275C22"/>
    <w:rsid w:val="0AC459AA"/>
    <w:rsid w:val="0F3975B3"/>
    <w:rsid w:val="1A077661"/>
    <w:rsid w:val="1D792624"/>
    <w:rsid w:val="2100161F"/>
    <w:rsid w:val="2DE81100"/>
    <w:rsid w:val="32F6606D"/>
    <w:rsid w:val="38274566"/>
    <w:rsid w:val="44384C94"/>
    <w:rsid w:val="48A2701D"/>
    <w:rsid w:val="7CDB56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qFormat/>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Char"/>
    <w:basedOn w:val="5"/>
    <w:link w:val="3"/>
    <w:qFormat/>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257B75232B38-A165-1FB7-499C-2E1C792CACB5%25257D.png" TargetMode="External"/><Relationship Id="rId2" Type="http://schemas.openxmlformats.org/officeDocument/2006/relationships/image" Target="media/image2.pn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257B75232B38-A165-1FB7-499C-2E1C792CACB5%25257D.png" TargetMode="External"/><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2049"/>
    <customShpInfo spid="_x0000_s2051"/>
    <customShpInfo spid="_x0000_s2053"/>
    <customShpInfo spid="_x0000_s2054"/>
    <customShpInfo spid="_x0000_s2055"/>
    <customShpInfo spid="_x0000_s205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292971F0-FB63-4391-9891-E286252968EA}">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20</Pages>
  <Words>13649</Words>
  <Characters>14066</Characters>
  <Lines>0</Lines>
  <Paragraphs>0</Paragraphs>
  <TotalTime>0</TotalTime>
  <ScaleCrop>false</ScaleCrop>
  <LinksUpToDate>false</LinksUpToDate>
  <CharactersWithSpaces>14275</CharactersWithSpaces>
  <Application>WPS Office_11.8.2.10972_F1E327BC-269C-435d-A152-05C5408002CA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2022-06-11T11:48:00Z</dcterms:created>
  <dc:creator>学科网试题生产平台</dc:creator>
  <dc:description>2998837780447232</dc:description>
  <cp:lastModifiedBy>Administrator</cp:lastModifiedBy>
  <dcterms:modified xsi:type="dcterms:W3CDTF">2022-07-19T05:05:18Z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2052-11.8.2.10972</vt:lpwstr>
  </property>
  <property fmtid="{D5CDD505-2E9C-101B-9397-08002B2CF9AE}" pid="7" name="ICV">
    <vt:lpwstr>72C9520BA1B342889963CD3696F57321</vt:lpwstr>
  </property>
</Properties>
</file>