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ascii="宋体" w:hAnsi="宋体" w:eastAsia="宋体" w:cs="宋体"/>
          <w:b/>
          <w:color w:val="auto"/>
          <w:sz w:val="32"/>
        </w:rPr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12636500</wp:posOffset>
            </wp:positionH>
            <wp:positionV relativeFrom="topMargin">
              <wp:posOffset>10782300</wp:posOffset>
            </wp:positionV>
            <wp:extent cx="457200" cy="457200"/>
            <wp:effectExtent l="0" t="0" r="0" b="0"/>
            <wp:wrapNone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10414000</wp:posOffset>
            </wp:positionH>
            <wp:positionV relativeFrom="topMargin">
              <wp:posOffset>11582400</wp:posOffset>
            </wp:positionV>
            <wp:extent cx="279400" cy="431800"/>
            <wp:effectExtent l="0" t="0" r="6350" b="635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山东省2022年普通高中学业水平等级考试</w:t>
      </w:r>
    </w:p>
    <w:p>
      <w:pPr>
        <w:spacing w:line="360" w:lineRule="auto"/>
        <w:jc w:val="center"/>
        <w:textAlignment w:val="center"/>
        <w:rPr>
          <w:rFonts w:hint="eastAsia" w:ascii="宋体" w:hAnsi="宋体" w:cs="宋体"/>
          <w:b/>
          <w:color w:val="auto"/>
          <w:sz w:val="32"/>
          <w:lang w:val="en-US" w:eastAsia="zh-CN"/>
        </w:rPr>
      </w:pPr>
      <w:r>
        <w:rPr>
          <w:rFonts w:ascii="宋体" w:hAnsi="宋体" w:eastAsia="宋体" w:cs="宋体"/>
          <w:b/>
          <w:color w:val="auto"/>
          <w:sz w:val="32"/>
        </w:rPr>
        <w:t>思想政治</w:t>
      </w: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10731500</wp:posOffset>
            </wp:positionH>
            <wp:positionV relativeFrom="topMargin">
              <wp:posOffset>12090400</wp:posOffset>
            </wp:positionV>
            <wp:extent cx="330200" cy="355600"/>
            <wp:effectExtent l="0" t="0" r="12700" b="6350"/>
            <wp:wrapNone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图片 1000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b/>
          <w:color w:val="auto"/>
          <w:sz w:val="32"/>
          <w:lang w:val="en-US" w:eastAsia="zh-CN"/>
        </w:rPr>
        <w:t>参考答案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t>一、选择题：本题共15小题，每小题3分，共45分。每小题只有一个选项符合题目要求。</w:t>
      </w:r>
    </w:p>
    <w:p>
      <w:pPr>
        <w:spacing w:line="360" w:lineRule="auto"/>
        <w:jc w:val="both"/>
        <w:textAlignment w:val="center"/>
        <w:rPr>
          <w:rFonts w:hint="eastAsia"/>
          <w:color w:val="auto"/>
          <w:lang w:val="en-US" w:eastAsia="zh-CN"/>
        </w:rPr>
      </w:pPr>
      <w:r>
        <w:rPr>
          <w:color w:val="auto"/>
        </w:rPr>
        <w:t xml:space="preserve">1. </w:t>
      </w:r>
      <w:r>
        <w:rPr>
          <w:rFonts w:hint="eastAsia"/>
          <w:color w:val="auto"/>
          <w:lang w:val="en-US" w:eastAsia="zh-CN"/>
        </w:rPr>
        <w:t>C</w:t>
      </w:r>
    </w:p>
    <w:p>
      <w:pPr>
        <w:spacing w:line="360" w:lineRule="auto"/>
        <w:jc w:val="both"/>
        <w:textAlignment w:val="center"/>
        <w:rPr>
          <w:rFonts w:hint="eastAsia"/>
          <w:color w:val="000000"/>
          <w:lang w:val="en-US" w:eastAsia="zh-CN"/>
        </w:rPr>
      </w:pPr>
      <w:r>
        <w:rPr>
          <w:color w:val="000000"/>
        </w:rPr>
        <w:t xml:space="preserve">2. </w:t>
      </w:r>
      <w:r>
        <w:rPr>
          <w:rFonts w:hint="eastAsia"/>
          <w:color w:val="000000"/>
          <w:lang w:val="en-US" w:eastAsia="zh-CN"/>
        </w:rPr>
        <w:t>D</w:t>
      </w:r>
    </w:p>
    <w:p>
      <w:pPr>
        <w:spacing w:line="360" w:lineRule="auto"/>
        <w:jc w:val="both"/>
        <w:textAlignment w:val="center"/>
        <w:rPr>
          <w:rFonts w:hint="eastAsia"/>
          <w:color w:val="000000"/>
          <w:lang w:val="en-US" w:eastAsia="zh-CN"/>
        </w:rPr>
      </w:pPr>
      <w:r>
        <w:rPr>
          <w:color w:val="000000"/>
        </w:rPr>
        <w:t xml:space="preserve">3. </w:t>
      </w:r>
      <w:r>
        <w:rPr>
          <w:rFonts w:hint="eastAsia"/>
          <w:color w:val="000000"/>
          <w:lang w:val="en-US" w:eastAsia="zh-CN"/>
        </w:rPr>
        <w:t>A</w:t>
      </w:r>
    </w:p>
    <w:p>
      <w:pPr>
        <w:spacing w:line="360" w:lineRule="auto"/>
        <w:jc w:val="both"/>
        <w:textAlignment w:val="center"/>
        <w:rPr>
          <w:rFonts w:hint="eastAsia"/>
          <w:color w:val="000000"/>
          <w:lang w:val="en-US" w:eastAsia="zh-CN"/>
        </w:rPr>
      </w:pPr>
      <w:r>
        <w:rPr>
          <w:color w:val="000000"/>
        </w:rPr>
        <w:t xml:space="preserve">4. </w:t>
      </w:r>
      <w:r>
        <w:rPr>
          <w:rFonts w:hint="eastAsia"/>
          <w:color w:val="000000"/>
          <w:lang w:val="en-US" w:eastAsia="zh-CN"/>
        </w:rPr>
        <w:t>B</w:t>
      </w:r>
    </w:p>
    <w:p>
      <w:pPr>
        <w:spacing w:line="360" w:lineRule="auto"/>
        <w:jc w:val="both"/>
        <w:textAlignment w:val="center"/>
        <w:rPr>
          <w:rFonts w:hint="eastAsia"/>
          <w:color w:val="000000"/>
          <w:lang w:val="en-US" w:eastAsia="zh-CN"/>
        </w:rPr>
      </w:pPr>
      <w:r>
        <w:rPr>
          <w:color w:val="000000"/>
        </w:rPr>
        <w:t xml:space="preserve">5. </w:t>
      </w:r>
      <w:r>
        <w:rPr>
          <w:rFonts w:hint="eastAsia"/>
          <w:color w:val="000000"/>
          <w:lang w:val="en-US" w:eastAsia="zh-CN"/>
        </w:rPr>
        <w:t>A</w:t>
      </w:r>
    </w:p>
    <w:p>
      <w:pPr>
        <w:spacing w:line="360" w:lineRule="auto"/>
        <w:jc w:val="both"/>
        <w:textAlignment w:val="center"/>
        <w:rPr>
          <w:rFonts w:hint="eastAsia"/>
          <w:color w:val="000000"/>
          <w:lang w:val="en-US" w:eastAsia="zh-CN"/>
        </w:rPr>
      </w:pPr>
      <w:r>
        <w:rPr>
          <w:color w:val="000000"/>
        </w:rPr>
        <w:t xml:space="preserve">6. </w:t>
      </w:r>
      <w:r>
        <w:rPr>
          <w:rFonts w:hint="eastAsia"/>
          <w:color w:val="000000"/>
          <w:lang w:val="en-US" w:eastAsia="zh-CN"/>
        </w:rPr>
        <w:t>A</w:t>
      </w:r>
    </w:p>
    <w:p>
      <w:pPr>
        <w:spacing w:line="360" w:lineRule="auto"/>
        <w:jc w:val="both"/>
        <w:textAlignment w:val="center"/>
        <w:rPr>
          <w:rFonts w:hint="eastAsia"/>
          <w:color w:val="000000"/>
          <w:lang w:val="en-US" w:eastAsia="zh-CN"/>
        </w:rPr>
      </w:pPr>
      <w:r>
        <w:rPr>
          <w:color w:val="000000"/>
        </w:rPr>
        <w:t xml:space="preserve">7. </w:t>
      </w:r>
      <w:r>
        <w:rPr>
          <w:rFonts w:hint="eastAsia"/>
          <w:color w:val="000000"/>
          <w:lang w:val="en-US" w:eastAsia="zh-CN"/>
        </w:rPr>
        <w:t>D</w:t>
      </w:r>
    </w:p>
    <w:p>
      <w:pPr>
        <w:spacing w:line="360" w:lineRule="auto"/>
        <w:jc w:val="both"/>
        <w:textAlignment w:val="center"/>
        <w:rPr>
          <w:rFonts w:hint="eastAsia"/>
          <w:color w:val="000000"/>
          <w:lang w:val="en-US" w:eastAsia="zh-CN"/>
        </w:rPr>
      </w:pPr>
      <w:r>
        <w:rPr>
          <w:color w:val="000000"/>
        </w:rPr>
        <w:t xml:space="preserve">8. </w:t>
      </w:r>
      <w:r>
        <w:rPr>
          <w:rFonts w:hint="eastAsia"/>
          <w:color w:val="000000"/>
          <w:lang w:val="en-US" w:eastAsia="zh-CN"/>
        </w:rPr>
        <w:t>B</w:t>
      </w:r>
    </w:p>
    <w:p>
      <w:pPr>
        <w:spacing w:line="360" w:lineRule="auto"/>
        <w:jc w:val="both"/>
        <w:textAlignment w:val="center"/>
        <w:rPr>
          <w:rFonts w:hint="eastAsia"/>
          <w:color w:val="000000"/>
          <w:lang w:val="en-US" w:eastAsia="zh-CN"/>
        </w:rPr>
      </w:pPr>
      <w:r>
        <w:rPr>
          <w:color w:val="000000"/>
        </w:rPr>
        <w:t xml:space="preserve">9. </w:t>
      </w:r>
      <w:r>
        <w:rPr>
          <w:rFonts w:hint="eastAsia"/>
          <w:color w:val="000000"/>
          <w:lang w:val="en-US" w:eastAsia="zh-CN"/>
        </w:rPr>
        <w:t>C</w:t>
      </w:r>
    </w:p>
    <w:p>
      <w:pPr>
        <w:spacing w:line="360" w:lineRule="auto"/>
        <w:jc w:val="both"/>
        <w:textAlignment w:val="center"/>
        <w:rPr>
          <w:rFonts w:hint="eastAsia"/>
          <w:color w:val="000000"/>
          <w:lang w:val="en-US" w:eastAsia="zh-CN"/>
        </w:rPr>
      </w:pPr>
      <w:r>
        <w:rPr>
          <w:color w:val="000000"/>
        </w:rPr>
        <w:t xml:space="preserve">10. </w:t>
      </w:r>
      <w:r>
        <w:rPr>
          <w:rFonts w:hint="eastAsia"/>
          <w:color w:val="000000"/>
          <w:lang w:val="en-US" w:eastAsia="zh-CN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11. B</w:t>
      </w:r>
    </w:p>
    <w:p>
      <w:pPr>
        <w:spacing w:line="360" w:lineRule="auto"/>
        <w:jc w:val="both"/>
        <w:textAlignment w:val="center"/>
        <w:rPr>
          <w:rFonts w:hint="eastAsia"/>
          <w:color w:val="000000"/>
          <w:lang w:val="en-US" w:eastAsia="zh-CN"/>
        </w:rPr>
      </w:pPr>
      <w:r>
        <w:rPr>
          <w:color w:val="000000"/>
        </w:rPr>
        <w:t>12.</w:t>
      </w:r>
      <w:r>
        <w:rPr>
          <w:rFonts w:hint="eastAsia"/>
          <w:color w:val="000000"/>
          <w:lang w:val="en-US" w:eastAsia="zh-CN"/>
        </w:rPr>
        <w:t xml:space="preserve"> D</w:t>
      </w:r>
    </w:p>
    <w:p>
      <w:pPr>
        <w:spacing w:line="360" w:lineRule="auto"/>
        <w:jc w:val="both"/>
        <w:textAlignment w:val="center"/>
        <w:rPr>
          <w:rFonts w:hint="eastAsia"/>
          <w:color w:val="000000"/>
          <w:lang w:val="en-US" w:eastAsia="zh-CN"/>
        </w:rPr>
      </w:pPr>
      <w:r>
        <w:rPr>
          <w:color w:val="000000"/>
        </w:rPr>
        <w:t xml:space="preserve">13. </w:t>
      </w:r>
      <w:r>
        <w:rPr>
          <w:rFonts w:hint="eastAsia"/>
          <w:color w:val="000000"/>
          <w:lang w:val="en-US" w:eastAsia="zh-CN"/>
        </w:rPr>
        <w:t>C</w:t>
      </w:r>
    </w:p>
    <w:p>
      <w:pPr>
        <w:spacing w:line="360" w:lineRule="auto"/>
        <w:jc w:val="both"/>
        <w:textAlignment w:val="center"/>
        <w:rPr>
          <w:rFonts w:hint="eastAsia"/>
          <w:color w:val="000000"/>
          <w:lang w:val="en-US" w:eastAsia="zh-CN"/>
        </w:rPr>
      </w:pPr>
      <w:r>
        <w:rPr>
          <w:color w:val="000000"/>
        </w:rPr>
        <w:t xml:space="preserve">14. </w:t>
      </w:r>
      <w:r>
        <w:rPr>
          <w:rFonts w:hint="eastAsia"/>
          <w:color w:val="000000"/>
          <w:lang w:val="en-US" w:eastAsia="zh-CN"/>
        </w:rPr>
        <w:t>A</w:t>
      </w:r>
    </w:p>
    <w:p>
      <w:pPr>
        <w:spacing w:line="360" w:lineRule="auto"/>
        <w:jc w:val="both"/>
        <w:textAlignment w:val="center"/>
        <w:rPr>
          <w:rFonts w:hint="eastAsia"/>
          <w:color w:val="000000"/>
          <w:lang w:val="en-US" w:eastAsia="zh-CN"/>
        </w:rPr>
      </w:pPr>
      <w:r>
        <w:rPr>
          <w:color w:val="000000"/>
        </w:rPr>
        <w:t xml:space="preserve">15. </w:t>
      </w:r>
      <w:r>
        <w:rPr>
          <w:rFonts w:hint="eastAsia"/>
          <w:color w:val="000000"/>
          <w:lang w:val="en-US" w:eastAsia="zh-CN"/>
        </w:rPr>
        <w:t>B</w:t>
      </w:r>
    </w:p>
    <w:p>
      <w:pPr>
        <w:spacing w:line="360" w:lineRule="auto"/>
        <w:jc w:val="both"/>
        <w:textAlignment w:val="center"/>
        <w:rPr>
          <w:rFonts w:hint="eastAsia"/>
          <w:color w:val="00000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二、非选择题：本题共4小题，共55分。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16. ①党要坚持科学执政，发挥好总揽全局、协调各方的领导核心作用，遵循自然规律、统筹规划，制定合理的路线、方针、政策，领导和支持各国家机关开展好保护生物多样性的有关工作。</w:t>
      </w:r>
      <w:r>
        <w:rPr>
          <w:color w:val="000000"/>
        </w:rPr>
        <w:br w:type="textWrapping"/>
      </w:r>
      <w:r>
        <w:rPr>
          <w:color w:val="000000"/>
        </w:rPr>
        <w:t>②人大要行使立法权，完善相关法律法规，为保护生物多样性提供法律保障；要行使好监督权，监督相关法律的实施，推动相关工作落到实处。</w:t>
      </w:r>
      <w:r>
        <w:rPr>
          <w:color w:val="000000"/>
        </w:rPr>
        <w:br w:type="textWrapping"/>
      </w:r>
      <w:r>
        <w:rPr>
          <w:color w:val="000000"/>
        </w:rPr>
        <w:t>③政府要履行宏观调控、环境保护等基本职能，处理好保护和发展矛盾等问题，推进严格执法，坚持规范执法、公正执法、文明执法，提升保护生物多样性综合治理能力。</w:t>
      </w:r>
      <w:r>
        <w:rPr>
          <w:color w:val="000000"/>
        </w:rPr>
        <w:br w:type="textWrapping"/>
      </w:r>
      <w:r>
        <w:rPr>
          <w:color w:val="000000"/>
        </w:rPr>
        <w:t>④坚持以人民为中心，坚持人民主体地位，心系民众对美好生活的向往，实现保护环境、发展经济、创造就业、消除贫困等多面共赢，增强人民的获得感、幸福感。</w:t>
      </w:r>
      <w:r>
        <w:rPr>
          <w:color w:val="000000"/>
        </w:rPr>
        <w:br w:type="textWrapping"/>
      </w:r>
      <w:r>
        <w:rPr>
          <w:color w:val="000000"/>
        </w:rPr>
        <w:t>⑤坚持党的领导、人民当家做主、依法治国的有机统一。武夷山坚持问题导向，聚焦体制机制改革，先行先试，破立结合，形成了依法治园、优化整合、局地协同等一批符合实际、行之有效的经验做法。</w:t>
      </w:r>
      <w:r>
        <w:rPr>
          <w:color w:val="000000"/>
        </w:rPr>
        <w:br w:type="textWrapping"/>
      </w:r>
      <w:r>
        <w:rPr>
          <w:color w:val="000000"/>
        </w:rPr>
        <w:t>17. ① 经济全球化大背景下，随着国际市场需求恢复，粗钢价格飙升，我国粗钢出口量明显增长。这样可以更好利用全球资源和市场，推动钢铁行业发展。② 铁矿石是生产粗钢的重要原材料之一，我国铁矿石的对外依存度非常之高，而且缺乏定价权。近年来，进口铁矿石价格飙升，推高粗钢产量的成本、利润空间大幅度减少。钢铁行业不应盲目扩大粗钢产量并增加出口。③ 钢铁行业的碳排放问题日益引起人们的关注，2021年我国钢铁行业碳排量占全国碳排放总量的15%左右，是制造业门类中碳排量最大的行业。④ 为推动我国经济高质量发展，钢铁行业不能盲目扩张，走高耗能、高污染、低附加值的老路，必须贯彻新发展理念，深化供给侧结构性改革，重点是促进产能过剩有效化解，促进产业优化重组；推动钢铁行业的开放朝着优化结构、拓展深度、提高效益方向转变。⑤ 应着眼于长远发展，制定正确的经营战略，提高自主创新能力，依靠技术进步、科学管理等手段，形成自己的竞争优势；唯有如此，钢铁行业才能真正走出产能过剩、利润下降的困境。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18. （1）</w:t>
      </w:r>
      <w:r>
        <w:rPr>
          <w:rFonts w:ascii="宋体" w:hAnsi="宋体" w:eastAsia="宋体" w:cs="宋体"/>
          <w:color w:val="000000"/>
        </w:rPr>
        <w:t>甲乙推理的结论均是正确的。</w:t>
      </w:r>
      <w:r>
        <w:rPr>
          <w:color w:val="000000"/>
        </w:rPr>
        <w:br w:type="textWrapping"/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充分条件假言判断所断定的前件和后件的关系是：前件真，后件就一定真。反过来看，后件假，前件就一定假。根据这种逻辑性质进行充分条件假言推理时，如果肯定了假言判断的前件，结论就可以肯定假言判断的后件。乙认为：只要制造嗓声干扰他人正常生活，就应受到警告处罚，甲制造噪声干扰他人正常生活，所以甲应受到警告处罚。这是充分条件假言推理，遵循了肯定前件必然肯定后件的逻辑规则。</w:t>
      </w:r>
      <w:r>
        <w:rPr>
          <w:color w:val="000000"/>
        </w:rPr>
        <w:br w:type="textWrapping"/>
      </w: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必要条件假言判断所断定的前件和后件的关系是：前件假，后件就一定假。反过来看，后件真，前件就一定真。依据这种逻辑性质进行必要条件假言推理时，如果否定了假言判断的前件，结论就可以否定假言判断的后件</w:t>
      </w:r>
      <w:r>
        <w:rPr>
          <w:rFonts w:ascii="Times New Roman" w:hAnsi="Times New Roman" w:eastAsia="Times New Roman" w:cs="Times New Roman"/>
          <w:color w:val="000000"/>
        </w:rPr>
        <w:t>;</w:t>
      </w:r>
      <w:r>
        <w:rPr>
          <w:rFonts w:ascii="宋体" w:hAnsi="宋体" w:eastAsia="宋体" w:cs="宋体"/>
          <w:color w:val="000000"/>
        </w:rPr>
        <w:t>如果肯定了假言判断的后件，结论就可以肯定假言判断的前件。甲认为：只有违反关于社会生活噪声污染防治的法律规定，才应受到警告处罚，自己没有违反关于社会生活噪声污染防治的法律规定，所以不应受到警告处罚。这是必要条件假言推理，遵循了否定前件必然否定后件的逻辑规则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依据民法典，自然人享有生命权、身体权、健康权、姓名权、肖像权、名誉权、荣誉权、隐私权等人格权。邻居丙在个人微博上发帖公布了自己与甲交涉全过程的录音，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曝光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了甲所在单位网站上公布的其姓名、照片和联系电话，并在照片中甲的额头上加了贬损性文字，侵犯了甲的名誉权与肖像权。丙公布的甲的姓名及联系电话为甲的公司所公布的信息，为公众可以知晓的信息，并未侵犯甲的隐私权。</w:t>
      </w:r>
      <w:r>
        <w:rPr>
          <w:color w:val="000000"/>
        </w:rPr>
        <w:br w:type="textWrapping"/>
      </w: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民法强调对权利的保护，而权利通常意味着人们有按照自己的意愿实施某一行为的自由，但是，民事主体行使民事权利时不能超过正当的界限。并且不得损害国家利益、社会公共利益或者他人合法权益。法律规定相邻关系，对于保护相邻不动产权利人的合法权益，稳定社会秩序，具有重要的意义。甲无视小区规约，制造噪声干扰邻居生活的行为构成侵权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（3）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法律保护民事主体的各项人身权和财产权。行为人侵害他人的民事权利，应当依法承担侵权责任。侵权责任承担方式包括：停止侵害，排除妨碍，消除危险，返还财产，恢复原状，赔偿损失，赔礼道歉，消除影响、恢复名誉。法律规定惩罚性赔偿的，依照其规定。</w:t>
      </w:r>
      <w:r>
        <w:rPr>
          <w:color w:val="000000"/>
        </w:rPr>
        <w:br w:type="textWrapping"/>
      </w: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不动产的相邻权利人应当按照有利生产、方便生活、团结互助、公平合理的原则，正确处理相邻关系。相邻关系一方在为自己便利行使权利时，也应当照顾到相邻方的利益。</w:t>
      </w:r>
      <w:r>
        <w:rPr>
          <w:color w:val="000000"/>
        </w:rPr>
        <w:br w:type="textWrapping"/>
      </w:r>
      <w:r>
        <w:rPr>
          <w:rFonts w:ascii="Times New Roman" w:hAnsi="Times New Roman" w:eastAsia="Times New Roman" w:cs="Times New Roman"/>
          <w:color w:val="000000"/>
        </w:rPr>
        <w:t>③</w:t>
      </w:r>
      <w:r>
        <w:rPr>
          <w:rFonts w:ascii="宋体" w:hAnsi="宋体" w:eastAsia="宋体" w:cs="宋体"/>
          <w:color w:val="000000"/>
        </w:rPr>
        <w:t>公民可以通过多种途径维护自身权益。发生纠纷时，人们往往先自行协商，通过和解达成合意，解决纠纷。无法和解时，人们还可通过调解、仲裁或者诉讼等方式解决纠纷。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19. （1）马克思主义传入中国，是中华民族由衰微走向重振的重要转折点。中国共产党自成立以来，就以马克思主义为指导思想，不断推进马克思主义中国化，将马克思主义基本原理同中国具体实际相结合，促进中华优秀传统文化创造性转化和创新性发展，激发民族自信心和自豪感，促进民族团结，维护国家的安全和统一，铸牢中华民族的共同体意识。不断丰富中华民族精神，为中国发展提供强大精神动力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整体与部分辩证统一。整体居于主导地位，统率着部分，具有部分所不具有的功能。要求我们树立全局观念，立足整体，实现整体的最优目标。新时代青年干事创业要立足更新起点、着眼更大格局、谋求更高定位。整体与部分相互联系，部分的功能及其变化会影响整体的功能，关键部分的功能及其变化甚至对整体的功能起决定作用。要求我们重视部分的作用，用局部的发展推动整体的发展。新时代青年干事创业要主动吃苦、敢于吃苦，到问题集中、矛盾复杂的岗位上去经风雨、见世面、壮筋骨、长才干，直面和破解工作中的困难和挑战，干出实实在在的成绩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对中国人来说，全面建成小康社会，既是国家发展巨变的雄壮交响，也是人民笑颜绽放的鲜活故事。它书写在消除绝对贫困的人间奇迹里，书写在世界上规模最大的社会保障体系中，书写在不断增多的蓝天、不断延伸的绿道、不断改善的居住环境里，书写在让人民生活“一年更比一年好”的不变追求里。回望过往的奋斗路，我们以全面建成小康社会的世纪伟业，把光荣与梦想写在了历史深处；眺望前方的奋进路，我们还要全面建成社会主义现代化强国，继续在人类的伟大时间历史中创造中华民族的伟大历史时间。历史照亮未来，征程未有穷期。站在“两个一百年”奋斗目标的历史交汇点，我们身后是波澜壮阔的历史，我们面前是喷薄而出的曙光！</w:t>
      </w:r>
    </w:p>
    <w:p>
      <w:pPr>
        <w:spacing w:line="360" w:lineRule="auto"/>
        <w:jc w:val="both"/>
        <w:textAlignment w:val="center"/>
        <w:rPr>
          <w:rFonts w:hint="eastAsia"/>
          <w:color w:val="000000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708" w:footer="708" w:gutter="0"/>
          <w:cols w:space="708" w:num="1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微信公众号：大才酷</w:t>
    </w:r>
    <w:bookmarkStart w:id="0" w:name="_GoBack"/>
    <w:bookmarkEnd w:id="0"/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969226A"/>
    <w:rsid w:val="11E93F48"/>
    <w:rsid w:val="17465999"/>
    <w:rsid w:val="225D1E84"/>
    <w:rsid w:val="2434021C"/>
    <w:rsid w:val="2D32459D"/>
    <w:rsid w:val="2ED6274B"/>
    <w:rsid w:val="38274566"/>
    <w:rsid w:val="3D10449D"/>
    <w:rsid w:val="3F4168C2"/>
    <w:rsid w:val="3F4C0E94"/>
    <w:rsid w:val="48291D1E"/>
    <w:rsid w:val="4D5D3C89"/>
    <w:rsid w:val="4FB235F0"/>
    <w:rsid w:val="4FB8672C"/>
    <w:rsid w:val="52320A18"/>
    <w:rsid w:val="546649A9"/>
    <w:rsid w:val="5E4A0E97"/>
    <w:rsid w:val="608D1200"/>
    <w:rsid w:val="651346D9"/>
    <w:rsid w:val="65B65064"/>
    <w:rsid w:val="67444DA8"/>
    <w:rsid w:val="69431305"/>
    <w:rsid w:val="69AA611C"/>
    <w:rsid w:val="6B1C221B"/>
    <w:rsid w:val="6C2E112B"/>
    <w:rsid w:val="706B361B"/>
    <w:rsid w:val="71235CA4"/>
    <w:rsid w:val="724E4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7B75232B38-A165-1FB7-499C-2E1C792CACB5%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7B75232B38-A165-1FB7-499C-2E1C792CACB5%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4</Pages>
  <Words>2679</Words>
  <Characters>2719</Characters>
  <Lines>0</Lines>
  <Paragraphs>0</Paragraphs>
  <TotalTime>0</TotalTime>
  <ScaleCrop>false</ScaleCrop>
  <LinksUpToDate>false</LinksUpToDate>
  <CharactersWithSpaces>2759</CharactersWithSpaces>
  <Application>WPS Office_11.8.2.10972_F1E327BC-269C-435d-A152-05C5408002CA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2022-06-09T19:55:00Z</dcterms:created>
  <dc:creator>学科网试题生产平台</dc:creator>
  <dc:description>2997489553883136</dc:description>
  <cp:lastModifiedBy>Administrator</cp:lastModifiedBy>
  <dcterms:modified xsi:type="dcterms:W3CDTF">2022-07-19T05:09:21Z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2052-11.8.2.10972</vt:lpwstr>
  </property>
  <property fmtid="{D5CDD505-2E9C-101B-9397-08002B2CF9AE}" pid="7" name="ICV">
    <vt:lpwstr>4D83F832A3E947B9A6EF644566B8669F</vt:lpwstr>
  </property>
</Properties>
</file>