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BBE0B" w14:textId="7FBF3673" w:rsidR="00831C18" w:rsidRDefault="00807BD1" w:rsidP="00C11C6B">
      <w:pPr>
        <w:jc w:val="center"/>
        <w:textAlignment w:val="center"/>
        <w:rPr>
          <w:rFonts w:ascii="宋体" w:hAnsi="宋体" w:cs="宋体" w:hint="eastAsia"/>
          <w:b/>
          <w:sz w:val="30"/>
        </w:rPr>
      </w:pPr>
      <w:r>
        <w:rPr>
          <w:rFonts w:ascii="宋体" w:hAnsi="宋体" w:cs="宋体"/>
          <w:b/>
          <w:sz w:val="30"/>
        </w:rPr>
        <w:t>2024年新课标卷文综地理</w:t>
      </w:r>
    </w:p>
    <w:p w14:paraId="537D6A36" w14:textId="77777777" w:rsidR="00831C18" w:rsidRDefault="00831C18" w:rsidP="00C11C6B">
      <w:pPr>
        <w:jc w:val="center"/>
        <w:textAlignment w:val="center"/>
        <w:rPr>
          <w:rFonts w:ascii="黑体" w:eastAsia="黑体" w:hAnsi="黑体" w:cs="黑体"/>
          <w:b/>
          <w:sz w:val="30"/>
        </w:rPr>
      </w:pPr>
    </w:p>
    <w:p w14:paraId="0D608D63" w14:textId="77777777" w:rsidR="00831C18" w:rsidRDefault="00807BD1" w:rsidP="00C11C6B">
      <w:pPr>
        <w:jc w:val="left"/>
        <w:textAlignment w:val="center"/>
        <w:rPr>
          <w:rFonts w:ascii="宋体" w:hAnsi="宋体" w:cs="宋体"/>
          <w:b/>
        </w:rPr>
      </w:pPr>
      <w:r>
        <w:rPr>
          <w:rFonts w:ascii="宋体" w:hAnsi="宋体" w:cs="宋体"/>
          <w:b/>
        </w:rPr>
        <w:t>一、单选题</w:t>
      </w:r>
    </w:p>
    <w:p w14:paraId="4C1CB46E" w14:textId="77777777" w:rsidR="00831C18" w:rsidRDefault="00807BD1" w:rsidP="00C11C6B">
      <w:pPr>
        <w:ind w:firstLine="560"/>
        <w:jc w:val="left"/>
        <w:textAlignment w:val="center"/>
      </w:pPr>
      <w:r>
        <w:rPr>
          <w:rFonts w:ascii="楷体" w:eastAsia="楷体" w:hAnsi="楷体" w:cs="楷体"/>
        </w:rPr>
        <w:t>湖南省永顺县双凤村是一个典型的土家族村寨，地处武陵山区腹地，村寨中一条小溪蜿蜒流淌，潺潺水声伴随着弯弯青石板路和依山而建的土家转角吊脚楼，勾勒出一幅土家山寨的美丽画卷，被誉为中国</w:t>
      </w:r>
      <w:r>
        <w:t>“</w:t>
      </w:r>
      <w:r>
        <w:rPr>
          <w:rFonts w:ascii="楷体" w:eastAsia="楷体" w:hAnsi="楷体" w:cs="楷体"/>
        </w:rPr>
        <w:t>土家第一村</w:t>
      </w:r>
      <w:r>
        <w:t>”</w:t>
      </w:r>
      <w:r>
        <w:rPr>
          <w:rFonts w:ascii="楷体" w:eastAsia="楷体" w:hAnsi="楷体" w:cs="楷体"/>
        </w:rPr>
        <w:t>。左图示意双凤村地建筑分布，右图示意在建的转角吊脚楼。据此完成下面小题。</w:t>
      </w:r>
    </w:p>
    <w:p w14:paraId="0442B2E9" w14:textId="77777777" w:rsidR="00831C18" w:rsidRDefault="00807BD1" w:rsidP="00C11C6B">
      <w:pPr>
        <w:textAlignment w:val="center"/>
      </w:pPr>
      <w:r>
        <w:rPr>
          <w:rFonts w:eastAsia="Times New Roman"/>
          <w:noProof/>
          <w:kern w:val="0"/>
          <w:sz w:val="24"/>
          <w:szCs w:val="24"/>
        </w:rPr>
        <w:drawing>
          <wp:inline distT="0" distB="0" distL="114300" distR="114300" wp14:anchorId="1741354E" wp14:editId="3BA6B380">
            <wp:extent cx="5276215" cy="1687195"/>
            <wp:effectExtent l="0" t="0" r="635" b="8255"/>
            <wp:docPr id="100003" name="图片 100003" descr="@@@250c3331-7b3c-49f9-be7e-32206fea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0c3331-7b3c-49f9-be7e-32206fea0601"/>
                    <pic:cNvPicPr>
                      <a:picLocks noChangeAspect="1"/>
                    </pic:cNvPicPr>
                  </pic:nvPicPr>
                  <pic:blipFill>
                    <a:blip r:embed="rId8"/>
                    <a:stretch>
                      <a:fillRect/>
                    </a:stretch>
                  </pic:blipFill>
                  <pic:spPr>
                    <a:xfrm>
                      <a:off x="0" y="0"/>
                      <a:ext cx="5276800" cy="1687349"/>
                    </a:xfrm>
                    <a:prstGeom prst="rect">
                      <a:avLst/>
                    </a:prstGeom>
                  </pic:spPr>
                </pic:pic>
              </a:graphicData>
            </a:graphic>
          </wp:inline>
        </w:drawing>
      </w:r>
    </w:p>
    <w:p w14:paraId="0DD64B0C" w14:textId="77777777" w:rsidR="00831C18" w:rsidRDefault="00807BD1" w:rsidP="00C11C6B">
      <w:pPr>
        <w:jc w:val="left"/>
        <w:textAlignment w:val="center"/>
      </w:pPr>
      <w:r>
        <w:t>1</w:t>
      </w:r>
      <w:r>
        <w:t>．双凤村传统民居的空间分布特点是（</w:t>
      </w:r>
      <w:r>
        <w:rPr>
          <w:rFonts w:eastAsia="Times New Roman"/>
          <w:kern w:val="0"/>
          <w:sz w:val="24"/>
          <w:szCs w:val="24"/>
        </w:rPr>
        <w:t>   </w:t>
      </w:r>
      <w:r>
        <w:t>）</w:t>
      </w:r>
    </w:p>
    <w:p w14:paraId="7109B9E3" w14:textId="77777777" w:rsidR="00831C18" w:rsidRDefault="00807BD1" w:rsidP="00C11C6B">
      <w:pPr>
        <w:tabs>
          <w:tab w:val="left" w:pos="2078"/>
          <w:tab w:val="left" w:pos="4156"/>
          <w:tab w:val="left" w:pos="6234"/>
        </w:tabs>
        <w:ind w:left="300"/>
        <w:jc w:val="left"/>
        <w:textAlignment w:val="center"/>
      </w:pPr>
      <w:r>
        <w:t>A</w:t>
      </w:r>
      <w:r>
        <w:t>．沿等高线分布</w:t>
      </w:r>
      <w:r>
        <w:tab/>
        <w:t>B</w:t>
      </w:r>
      <w:r>
        <w:t>．沿溪流分布</w:t>
      </w:r>
      <w:r>
        <w:tab/>
        <w:t>C</w:t>
      </w:r>
      <w:r>
        <w:t>．围绕公共建筑分布</w:t>
      </w:r>
      <w:r>
        <w:tab/>
        <w:t>D</w:t>
      </w:r>
      <w:r>
        <w:t>．沿公路分布</w:t>
      </w:r>
    </w:p>
    <w:p w14:paraId="1D2D31F4" w14:textId="77777777" w:rsidR="00831C18" w:rsidRDefault="00807BD1" w:rsidP="00C11C6B">
      <w:pPr>
        <w:jc w:val="left"/>
        <w:textAlignment w:val="center"/>
      </w:pPr>
      <w:r>
        <w:t>2</w:t>
      </w:r>
      <w:r>
        <w:t>．双凤村传统民居的转角设计主要是为了（</w:t>
      </w:r>
      <w:r>
        <w:rPr>
          <w:rFonts w:eastAsia="Times New Roman"/>
          <w:kern w:val="0"/>
          <w:sz w:val="24"/>
          <w:szCs w:val="24"/>
        </w:rPr>
        <w:t>   </w:t>
      </w:r>
      <w:r>
        <w:t>）</w:t>
      </w:r>
    </w:p>
    <w:p w14:paraId="69E2141C" w14:textId="77777777" w:rsidR="00831C18" w:rsidRDefault="00807BD1" w:rsidP="00C11C6B">
      <w:pPr>
        <w:tabs>
          <w:tab w:val="left" w:pos="2078"/>
          <w:tab w:val="left" w:pos="4156"/>
          <w:tab w:val="left" w:pos="6234"/>
        </w:tabs>
        <w:ind w:left="300"/>
        <w:jc w:val="left"/>
        <w:textAlignment w:val="center"/>
      </w:pPr>
      <w:r>
        <w:t>A</w:t>
      </w:r>
      <w:r>
        <w:t>．适应潮湿环境</w:t>
      </w:r>
      <w:r>
        <w:tab/>
        <w:t>B</w:t>
      </w:r>
      <w:r>
        <w:t>．便于就地取材</w:t>
      </w:r>
      <w:r>
        <w:tab/>
        <w:t>C</w:t>
      </w:r>
      <w:r>
        <w:t>．充分利用空间</w:t>
      </w:r>
      <w:r>
        <w:tab/>
        <w:t>D</w:t>
      </w:r>
      <w:r>
        <w:t>．追求视觉美观</w:t>
      </w:r>
    </w:p>
    <w:p w14:paraId="212A7866" w14:textId="77777777" w:rsidR="00831C18" w:rsidRDefault="00807BD1" w:rsidP="00C11C6B">
      <w:pPr>
        <w:jc w:val="left"/>
        <w:textAlignment w:val="center"/>
      </w:pPr>
      <w:r>
        <w:t>3</w:t>
      </w:r>
      <w:r>
        <w:t>．摆手堂（含土王祠）、风雨桥为双凤村村民进行公共活动和交流提供场所，这体现了乡村公共空间的（</w:t>
      </w:r>
      <w:r>
        <w:rPr>
          <w:rFonts w:eastAsia="Times New Roman"/>
          <w:kern w:val="0"/>
          <w:sz w:val="24"/>
          <w:szCs w:val="24"/>
        </w:rPr>
        <w:t>   </w:t>
      </w:r>
      <w:r>
        <w:t>）</w:t>
      </w:r>
    </w:p>
    <w:p w14:paraId="7559AF0D" w14:textId="77777777" w:rsidR="00831C18" w:rsidRDefault="00807BD1" w:rsidP="00C11C6B">
      <w:pPr>
        <w:jc w:val="left"/>
        <w:textAlignment w:val="center"/>
      </w:pPr>
      <w:r>
        <w:t>①</w:t>
      </w:r>
      <w:r>
        <w:t>均衡性</w:t>
      </w:r>
      <w:r>
        <w:rPr>
          <w:rFonts w:eastAsia="Times New Roman"/>
          <w:kern w:val="0"/>
          <w:sz w:val="24"/>
          <w:szCs w:val="24"/>
        </w:rPr>
        <w:t>    </w:t>
      </w:r>
      <w:r>
        <w:t>②</w:t>
      </w:r>
      <w:r>
        <w:t>经济性</w:t>
      </w:r>
      <w:r>
        <w:rPr>
          <w:rFonts w:eastAsia="Times New Roman"/>
          <w:kern w:val="0"/>
          <w:sz w:val="24"/>
          <w:szCs w:val="24"/>
        </w:rPr>
        <w:t>    </w:t>
      </w:r>
      <w:r>
        <w:t>③</w:t>
      </w:r>
      <w:r>
        <w:t>公益性</w:t>
      </w:r>
      <w:r>
        <w:rPr>
          <w:rFonts w:eastAsia="Times New Roman"/>
          <w:kern w:val="0"/>
          <w:sz w:val="24"/>
          <w:szCs w:val="24"/>
        </w:rPr>
        <w:t>    </w:t>
      </w:r>
      <w:r>
        <w:t>④</w:t>
      </w:r>
      <w:r>
        <w:t>文化性</w:t>
      </w:r>
    </w:p>
    <w:p w14:paraId="0C9D894D" w14:textId="77777777" w:rsidR="00831C18" w:rsidRDefault="00807BD1" w:rsidP="00C11C6B">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2A900F4" w14:textId="77777777" w:rsidR="00831C18" w:rsidRDefault="00831C18" w:rsidP="00C11C6B">
      <w:pPr>
        <w:tabs>
          <w:tab w:val="left" w:pos="2078"/>
          <w:tab w:val="left" w:pos="4156"/>
          <w:tab w:val="left" w:pos="6234"/>
        </w:tabs>
        <w:ind w:left="300"/>
        <w:jc w:val="left"/>
        <w:textAlignment w:val="center"/>
      </w:pPr>
    </w:p>
    <w:p w14:paraId="78964A08" w14:textId="77777777" w:rsidR="00831C18" w:rsidRDefault="00807BD1" w:rsidP="00C11C6B">
      <w:pPr>
        <w:ind w:firstLine="560"/>
        <w:jc w:val="left"/>
        <w:textAlignment w:val="center"/>
      </w:pPr>
      <w:r>
        <w:rPr>
          <w:rFonts w:ascii="楷体" w:eastAsia="楷体" w:hAnsi="楷体" w:cs="楷体"/>
        </w:rPr>
        <w:t>容积率是城市建设用地地块上总建筑面积与地块面积的比值，一般来说，工业园区中楼层越多，容积率越高，如图示意某城市工业园区规划的功能分区，其中，各产业园容积率按照适合生产的最大容许程度取值，以提高土地利用效率。生活居住区曾有以高层建筑为主的高容积率和以中高层建筑为主的低容积率两个规划方案，政府部门最后采纳了低容积率方案。据此完成下面小题。</w:t>
      </w:r>
    </w:p>
    <w:p w14:paraId="38A31A5B" w14:textId="77777777" w:rsidR="00831C18" w:rsidRDefault="00807BD1" w:rsidP="00C11C6B">
      <w:pPr>
        <w:textAlignment w:val="center"/>
      </w:pPr>
      <w:r>
        <w:rPr>
          <w:rFonts w:eastAsia="Times New Roman"/>
          <w:noProof/>
          <w:kern w:val="0"/>
          <w:sz w:val="24"/>
          <w:szCs w:val="24"/>
        </w:rPr>
        <w:drawing>
          <wp:inline distT="0" distB="0" distL="114300" distR="114300" wp14:anchorId="0540F7E4" wp14:editId="287296C2">
            <wp:extent cx="2543175" cy="2181225"/>
            <wp:effectExtent l="0" t="0" r="9525" b="9525"/>
            <wp:docPr id="100005" name="图片 100005" descr="@@@9af7475a-0856-45f7-b271-c90eadae7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af7475a-0856-45f7-b271-c90eadae7302"/>
                    <pic:cNvPicPr>
                      <a:picLocks noChangeAspect="1"/>
                    </pic:cNvPicPr>
                  </pic:nvPicPr>
                  <pic:blipFill>
                    <a:blip r:embed="rId9"/>
                    <a:stretch>
                      <a:fillRect/>
                    </a:stretch>
                  </pic:blipFill>
                  <pic:spPr>
                    <a:xfrm>
                      <a:off x="0" y="0"/>
                      <a:ext cx="2543175" cy="2181225"/>
                    </a:xfrm>
                    <a:prstGeom prst="rect">
                      <a:avLst/>
                    </a:prstGeom>
                  </pic:spPr>
                </pic:pic>
              </a:graphicData>
            </a:graphic>
          </wp:inline>
        </w:drawing>
      </w:r>
    </w:p>
    <w:p w14:paraId="6436DBDD" w14:textId="77777777" w:rsidR="00831C18" w:rsidRDefault="00807BD1" w:rsidP="00C11C6B">
      <w:pPr>
        <w:jc w:val="left"/>
        <w:textAlignment w:val="center"/>
      </w:pPr>
      <w:r>
        <w:t>4</w:t>
      </w:r>
      <w:r>
        <w:t>．如图所示的各产业园中，规划容积率最高和最低的可能是（</w:t>
      </w:r>
      <w:r>
        <w:rPr>
          <w:rFonts w:eastAsia="Times New Roman"/>
          <w:kern w:val="0"/>
          <w:sz w:val="24"/>
          <w:szCs w:val="24"/>
        </w:rPr>
        <w:t>   </w:t>
      </w:r>
      <w:r>
        <w:t>）</w:t>
      </w:r>
    </w:p>
    <w:p w14:paraId="279DA014" w14:textId="77777777" w:rsidR="00831C18" w:rsidRDefault="00807BD1" w:rsidP="00C11C6B">
      <w:pPr>
        <w:tabs>
          <w:tab w:val="left" w:pos="2078"/>
          <w:tab w:val="left" w:pos="4156"/>
          <w:tab w:val="left" w:pos="6234"/>
        </w:tabs>
        <w:ind w:left="300"/>
        <w:jc w:val="left"/>
        <w:textAlignment w:val="center"/>
      </w:pPr>
      <w:r>
        <w:t>A</w:t>
      </w:r>
      <w:r>
        <w:t>．</w:t>
      </w:r>
      <w:r>
        <w:t>Ⅲ</w:t>
      </w:r>
      <w:r>
        <w:t>和</w:t>
      </w:r>
      <w:r>
        <w:t>I</w:t>
      </w:r>
      <w:r>
        <w:tab/>
        <w:t>B</w:t>
      </w:r>
      <w:r>
        <w:t>．</w:t>
      </w:r>
      <w:r>
        <w:t>IV</w:t>
      </w:r>
      <w:r>
        <w:t>和</w:t>
      </w:r>
      <w:r>
        <w:t>I</w:t>
      </w:r>
      <w:r>
        <w:tab/>
        <w:t>C</w:t>
      </w:r>
      <w:r>
        <w:t>．</w:t>
      </w:r>
      <w:r>
        <w:t>II</w:t>
      </w:r>
      <w:r>
        <w:t>和</w:t>
      </w:r>
      <w:r>
        <w:t>III</w:t>
      </w:r>
      <w:r>
        <w:tab/>
        <w:t>D</w:t>
      </w:r>
      <w:r>
        <w:t>．</w:t>
      </w:r>
      <w:r>
        <w:t>IV</w:t>
      </w:r>
      <w:r>
        <w:t>和</w:t>
      </w:r>
      <w:r>
        <w:t>II</w:t>
      </w:r>
    </w:p>
    <w:p w14:paraId="6512DD3B" w14:textId="77777777" w:rsidR="00831C18" w:rsidRDefault="00807BD1" w:rsidP="00C11C6B">
      <w:pPr>
        <w:jc w:val="left"/>
        <w:textAlignment w:val="center"/>
      </w:pPr>
      <w:r>
        <w:t>5</w:t>
      </w:r>
      <w:r>
        <w:t>．推测政府部门采纳生活居住区低容积率方案的目的是（</w:t>
      </w:r>
      <w:r>
        <w:rPr>
          <w:rFonts w:eastAsia="Times New Roman"/>
          <w:kern w:val="0"/>
          <w:sz w:val="24"/>
          <w:szCs w:val="24"/>
        </w:rPr>
        <w:t>   </w:t>
      </w:r>
      <w:r>
        <w:t>）</w:t>
      </w:r>
    </w:p>
    <w:p w14:paraId="1FBE0298" w14:textId="77777777" w:rsidR="00831C18" w:rsidRDefault="00807BD1" w:rsidP="00C11C6B">
      <w:pPr>
        <w:jc w:val="left"/>
        <w:textAlignment w:val="center"/>
      </w:pPr>
      <w:r>
        <w:t>①</w:t>
      </w:r>
      <w:r>
        <w:t>打造舒适生活空间</w:t>
      </w:r>
      <w:r>
        <w:rPr>
          <w:rFonts w:eastAsia="Times New Roman"/>
          <w:kern w:val="0"/>
          <w:sz w:val="24"/>
          <w:szCs w:val="24"/>
        </w:rPr>
        <w:t>    </w:t>
      </w:r>
      <w:r>
        <w:t>②</w:t>
      </w:r>
      <w:r>
        <w:t>提升建筑物质量</w:t>
      </w:r>
    </w:p>
    <w:p w14:paraId="577632BF" w14:textId="77777777" w:rsidR="00831C18" w:rsidRDefault="00807BD1" w:rsidP="00C11C6B">
      <w:pPr>
        <w:jc w:val="left"/>
        <w:textAlignment w:val="center"/>
      </w:pPr>
      <w:r>
        <w:t>③</w:t>
      </w:r>
      <w:r>
        <w:t>与城区建筑相协调</w:t>
      </w:r>
      <w:r>
        <w:rPr>
          <w:rFonts w:eastAsia="Times New Roman"/>
          <w:kern w:val="0"/>
          <w:sz w:val="24"/>
          <w:szCs w:val="24"/>
        </w:rPr>
        <w:t>    </w:t>
      </w:r>
      <w:r>
        <w:t>④</w:t>
      </w:r>
      <w:r>
        <w:t>提高土地出让价格</w:t>
      </w:r>
    </w:p>
    <w:p w14:paraId="6C85A5B2" w14:textId="77777777" w:rsidR="00831C18" w:rsidRDefault="00807BD1" w:rsidP="00C11C6B">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5E329579" w14:textId="77777777" w:rsidR="00831C18" w:rsidRDefault="00831C18" w:rsidP="00C11C6B">
      <w:pPr>
        <w:tabs>
          <w:tab w:val="left" w:pos="2078"/>
          <w:tab w:val="left" w:pos="4156"/>
          <w:tab w:val="left" w:pos="6234"/>
        </w:tabs>
        <w:ind w:left="300"/>
        <w:jc w:val="left"/>
        <w:textAlignment w:val="center"/>
      </w:pPr>
    </w:p>
    <w:p w14:paraId="559D2DE1" w14:textId="77777777" w:rsidR="00831C18" w:rsidRDefault="00831C18" w:rsidP="00C11C6B">
      <w:pPr>
        <w:jc w:val="center"/>
        <w:textAlignment w:val="center"/>
        <w:rPr>
          <w:rFonts w:ascii="黑体" w:eastAsia="黑体" w:hAnsi="黑体" w:cs="黑体"/>
          <w:b/>
          <w:sz w:val="30"/>
        </w:rPr>
      </w:pPr>
    </w:p>
    <w:p w14:paraId="09F5F24C" w14:textId="77777777" w:rsidR="00831C18" w:rsidRDefault="00807BD1" w:rsidP="00C11C6B">
      <w:pPr>
        <w:jc w:val="left"/>
        <w:textAlignment w:val="center"/>
        <w:rPr>
          <w:rFonts w:ascii="宋体" w:hAnsi="宋体" w:cs="宋体"/>
          <w:b/>
        </w:rPr>
      </w:pPr>
      <w:r>
        <w:rPr>
          <w:rFonts w:ascii="宋体" w:hAnsi="宋体" w:cs="宋体"/>
          <w:b/>
        </w:rPr>
        <w:t>二、综合题</w:t>
      </w:r>
    </w:p>
    <w:p w14:paraId="3B5D141E" w14:textId="77777777" w:rsidR="00831C18" w:rsidRDefault="00807BD1" w:rsidP="00C11C6B">
      <w:pPr>
        <w:jc w:val="left"/>
        <w:textAlignment w:val="center"/>
      </w:pPr>
      <w:r>
        <w:t>6</w:t>
      </w:r>
      <w:r>
        <w:t>．阅读图文材料，完成下列要求。</w:t>
      </w:r>
    </w:p>
    <w:p w14:paraId="7CD999D0" w14:textId="77777777" w:rsidR="00831C18" w:rsidRDefault="00807BD1" w:rsidP="00C11C6B">
      <w:pPr>
        <w:ind w:firstLine="560"/>
        <w:jc w:val="left"/>
        <w:textAlignment w:val="center"/>
      </w:pPr>
      <w:r>
        <w:rPr>
          <w:rFonts w:ascii="楷体" w:eastAsia="楷体" w:hAnsi="楷体" w:cs="楷体"/>
        </w:rPr>
        <w:t>东京都市圈包括东京中心城区及外围地区。</w:t>
      </w:r>
      <w:r>
        <w:t>20</w:t>
      </w:r>
      <w:r>
        <w:rPr>
          <w:rFonts w:ascii="楷体" w:eastAsia="楷体" w:hAnsi="楷体" w:cs="楷体"/>
        </w:rPr>
        <w:t>世纪</w:t>
      </w:r>
      <w:r>
        <w:t>70</w:t>
      </w:r>
      <w:r>
        <w:rPr>
          <w:rFonts w:ascii="楷体" w:eastAsia="楷体" w:hAnsi="楷体" w:cs="楷体"/>
        </w:rPr>
        <w:t>年代以后，日本政府推行疏解政策，城市功能和人口从东京中心城区向外围地区分散。</w:t>
      </w:r>
      <w:r>
        <w:t>2000</w:t>
      </w:r>
      <w:r>
        <w:rPr>
          <w:rFonts w:ascii="楷体" w:eastAsia="楷体" w:hAnsi="楷体" w:cs="楷体"/>
        </w:rPr>
        <w:t>年，颁布相关法规，进一步促使大型商业设施（大型购物中心和网购物流中心等）在东京都市圈外围地区开设，然而由于经济长期低迷，东京中心城区的活力下降。为了扭转这种趋势，东京通过改善基础设施、减少土地利用限制等措施，促进大型购物中心在中心城区再集聚，如图示意</w:t>
      </w:r>
      <w:r>
        <w:t>2019</w:t>
      </w:r>
      <w:r>
        <w:rPr>
          <w:rFonts w:ascii="楷体" w:eastAsia="楷体" w:hAnsi="楷体" w:cs="楷体"/>
        </w:rPr>
        <w:t>年东京都市圈大型商业设施的分布。</w:t>
      </w:r>
    </w:p>
    <w:p w14:paraId="42EEB560" w14:textId="77777777" w:rsidR="00831C18" w:rsidRDefault="00807BD1" w:rsidP="00C11C6B">
      <w:pPr>
        <w:textAlignment w:val="center"/>
      </w:pPr>
      <w:r>
        <w:rPr>
          <w:rFonts w:eastAsia="Times New Roman"/>
          <w:noProof/>
          <w:kern w:val="0"/>
          <w:sz w:val="24"/>
          <w:szCs w:val="24"/>
        </w:rPr>
        <w:drawing>
          <wp:inline distT="0" distB="0" distL="114300" distR="114300" wp14:anchorId="4F0E5B67" wp14:editId="74D570D5">
            <wp:extent cx="3914775" cy="2466975"/>
            <wp:effectExtent l="0" t="0" r="9525" b="9525"/>
            <wp:docPr id="100007" name="图片 100007" descr="@@@4ccca2c0-be7b-4142-8a52-67da38163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ccca2c0-be7b-4142-8a52-67da38163b15"/>
                    <pic:cNvPicPr>
                      <a:picLocks noChangeAspect="1"/>
                    </pic:cNvPicPr>
                  </pic:nvPicPr>
                  <pic:blipFill>
                    <a:blip r:embed="rId10"/>
                    <a:stretch>
                      <a:fillRect/>
                    </a:stretch>
                  </pic:blipFill>
                  <pic:spPr>
                    <a:xfrm>
                      <a:off x="0" y="0"/>
                      <a:ext cx="3914775" cy="2466975"/>
                    </a:xfrm>
                    <a:prstGeom prst="rect">
                      <a:avLst/>
                    </a:prstGeom>
                  </pic:spPr>
                </pic:pic>
              </a:graphicData>
            </a:graphic>
          </wp:inline>
        </w:drawing>
      </w:r>
    </w:p>
    <w:p w14:paraId="5AB1049B" w14:textId="77777777" w:rsidR="00831C18" w:rsidRDefault="00807BD1" w:rsidP="00C11C6B">
      <w:pPr>
        <w:jc w:val="left"/>
        <w:textAlignment w:val="center"/>
      </w:pPr>
      <w:r>
        <w:t>(1)</w:t>
      </w:r>
      <w:r>
        <w:t>指出</w:t>
      </w:r>
      <w:r>
        <w:t>2000</w:t>
      </w:r>
      <w:r>
        <w:t>年前后东京都市圈大型购物中心分布的变化特点。</w:t>
      </w:r>
    </w:p>
    <w:p w14:paraId="540A9B41" w14:textId="77777777" w:rsidR="00831C18" w:rsidRDefault="00807BD1" w:rsidP="00C11C6B">
      <w:pPr>
        <w:jc w:val="left"/>
        <w:textAlignment w:val="center"/>
      </w:pPr>
      <w:r>
        <w:t>(2)</w:t>
      </w:r>
      <w:r>
        <w:t>说明交通布局对东京都市圈大型购物中心分布的有利影响。</w:t>
      </w:r>
    </w:p>
    <w:p w14:paraId="35F2EA80" w14:textId="77777777" w:rsidR="00831C18" w:rsidRDefault="00807BD1" w:rsidP="00C11C6B">
      <w:pPr>
        <w:jc w:val="left"/>
        <w:textAlignment w:val="center"/>
      </w:pPr>
      <w:r>
        <w:t>(3)</w:t>
      </w:r>
      <w:r>
        <w:t>指出东京都市圈网购物流中心的分布特点，并说明原因。</w:t>
      </w:r>
    </w:p>
    <w:p w14:paraId="431AFAD4" w14:textId="77777777" w:rsidR="00831C18" w:rsidRDefault="00807BD1" w:rsidP="00C11C6B">
      <w:pPr>
        <w:jc w:val="left"/>
        <w:textAlignment w:val="center"/>
      </w:pPr>
      <w:r>
        <w:t>(4)</w:t>
      </w:r>
      <w:r>
        <w:t>说明大型购物中心向东京中心城区再集聚的有利条件。</w:t>
      </w:r>
    </w:p>
    <w:p w14:paraId="7D15780B" w14:textId="77777777" w:rsidR="00831C18" w:rsidRDefault="00807BD1" w:rsidP="00C11C6B">
      <w:pPr>
        <w:jc w:val="left"/>
        <w:textAlignment w:val="center"/>
      </w:pPr>
      <w:r>
        <w:t>7</w:t>
      </w:r>
      <w:r>
        <w:t>．阅读图文材料，完成下列要求。</w:t>
      </w:r>
    </w:p>
    <w:p w14:paraId="3BAB46D1" w14:textId="77777777" w:rsidR="00831C18" w:rsidRDefault="00807BD1" w:rsidP="00C11C6B">
      <w:pPr>
        <w:ind w:firstLine="560"/>
        <w:jc w:val="left"/>
        <w:textAlignment w:val="center"/>
      </w:pPr>
      <w:r>
        <w:rPr>
          <w:rFonts w:ascii="楷体" w:eastAsia="楷体" w:hAnsi="楷体" w:cs="楷体"/>
        </w:rPr>
        <w:t>在寒冷地区的高（台）地上，流水少量汇于局部洼地，同时带来氮磷等营养元素供洼地内湿（水）生植物生长。这些洼地中植物死亡残体分解缓慢且不彻底，以泥炭形式积累，形成典型泥炭湿地（图</w:t>
      </w:r>
      <w:r>
        <w:t>a</w:t>
      </w:r>
      <w:r>
        <w:rPr>
          <w:rFonts w:ascii="楷体" w:eastAsia="楷体" w:hAnsi="楷体" w:cs="楷体"/>
        </w:rPr>
        <w:t>），当泥炭堆积高于周围区域时，水流方向发生变化，湿地水中氮磷等营养元素缺乏，只能生长藓类等耐贫营养生物，积累成过湿的垫状泥炭藓层，形成雨养型泥炭湿地（图</w:t>
      </w:r>
      <w:r>
        <w:t>b</w:t>
      </w:r>
      <w:r>
        <w:rPr>
          <w:rFonts w:ascii="楷体" w:eastAsia="楷体" w:hAnsi="楷体" w:cs="楷体"/>
        </w:rPr>
        <w:t>）。</w:t>
      </w:r>
    </w:p>
    <w:p w14:paraId="34C88D7A" w14:textId="77777777" w:rsidR="00831C18" w:rsidRDefault="00807BD1" w:rsidP="00C11C6B">
      <w:pPr>
        <w:textAlignment w:val="center"/>
      </w:pPr>
      <w:r>
        <w:rPr>
          <w:rFonts w:eastAsia="Times New Roman"/>
          <w:noProof/>
          <w:kern w:val="0"/>
          <w:sz w:val="24"/>
          <w:szCs w:val="24"/>
        </w:rPr>
        <w:drawing>
          <wp:inline distT="0" distB="0" distL="114300" distR="114300" wp14:anchorId="3B56833B" wp14:editId="00F53EFC">
            <wp:extent cx="3600450" cy="1371600"/>
            <wp:effectExtent l="0" t="0" r="0" b="0"/>
            <wp:docPr id="100009" name="图片 100009" descr="@@@4abbf76e-66da-447c-a2d9-26375db8c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abbf76e-66da-447c-a2d9-26375db8c669"/>
                    <pic:cNvPicPr>
                      <a:picLocks noChangeAspect="1"/>
                    </pic:cNvPicPr>
                  </pic:nvPicPr>
                  <pic:blipFill>
                    <a:blip r:embed="rId11"/>
                    <a:stretch>
                      <a:fillRect/>
                    </a:stretch>
                  </pic:blipFill>
                  <pic:spPr>
                    <a:xfrm>
                      <a:off x="0" y="0"/>
                      <a:ext cx="3600450" cy="1371600"/>
                    </a:xfrm>
                    <a:prstGeom prst="rect">
                      <a:avLst/>
                    </a:prstGeom>
                  </pic:spPr>
                </pic:pic>
              </a:graphicData>
            </a:graphic>
          </wp:inline>
        </w:drawing>
      </w:r>
    </w:p>
    <w:p w14:paraId="0CE85B16" w14:textId="77777777" w:rsidR="00831C18" w:rsidRDefault="00807BD1" w:rsidP="00C11C6B">
      <w:pPr>
        <w:jc w:val="left"/>
        <w:textAlignment w:val="center"/>
      </w:pPr>
      <w:r>
        <w:t>(1)</w:t>
      </w:r>
      <w:r>
        <w:t>分析寒冷的气候在泥炭湿地发育中的作用。</w:t>
      </w:r>
    </w:p>
    <w:p w14:paraId="48FB25B2" w14:textId="77777777" w:rsidR="00831C18" w:rsidRDefault="00807BD1" w:rsidP="00C11C6B">
      <w:pPr>
        <w:jc w:val="left"/>
        <w:textAlignment w:val="center"/>
      </w:pPr>
      <w:r>
        <w:t>(2)</w:t>
      </w:r>
      <w:r>
        <w:t>简述典型泥炭湿地和雨养型泥炭湿地水流方向与生物量的差异。</w:t>
      </w:r>
    </w:p>
    <w:p w14:paraId="65E1FB2C" w14:textId="77777777" w:rsidR="00831C18" w:rsidRDefault="00807BD1" w:rsidP="00C11C6B">
      <w:pPr>
        <w:jc w:val="left"/>
        <w:textAlignment w:val="center"/>
      </w:pPr>
      <w:r>
        <w:t>(3)</w:t>
      </w:r>
      <w:r>
        <w:t>指出雨养型泥炭湿地发育的地形条件。</w:t>
      </w:r>
    </w:p>
    <w:p w14:paraId="296DBB33" w14:textId="77777777" w:rsidR="00831C18" w:rsidRDefault="00807BD1" w:rsidP="00C11C6B">
      <w:pPr>
        <w:jc w:val="left"/>
        <w:textAlignment w:val="center"/>
      </w:pPr>
      <w:r>
        <w:t>(4)</w:t>
      </w:r>
      <w:r>
        <w:t>说明雨养型泥炭湿地发育过程中，水中营养元素逐步减少的原因。</w:t>
      </w:r>
    </w:p>
    <w:p w14:paraId="71B362CC" w14:textId="77777777" w:rsidR="00831C18" w:rsidRDefault="00807BD1" w:rsidP="00C11C6B">
      <w:pPr>
        <w:jc w:val="left"/>
        <w:textAlignment w:val="center"/>
      </w:pPr>
      <w:r>
        <w:t>(5)</w:t>
      </w:r>
      <w:r>
        <w:t>分析垫状泥炭藓层高于周边地面但仍能处于过湿状态的原因。</w:t>
      </w:r>
    </w:p>
    <w:p w14:paraId="09E2330F" w14:textId="77777777" w:rsidR="00831C18" w:rsidRDefault="00831C18" w:rsidP="00C11C6B">
      <w:pPr>
        <w:jc w:val="left"/>
        <w:textAlignment w:val="center"/>
      </w:pPr>
    </w:p>
    <w:sectPr w:rsidR="00831C18" w:rsidSect="00C11C6B">
      <w:footerReference w:type="even" r:id="rId12"/>
      <w:footerReference w:type="default" r:id="rId13"/>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A613E" w14:textId="77777777" w:rsidR="007936CD" w:rsidRDefault="007936CD">
      <w:r>
        <w:separator/>
      </w:r>
    </w:p>
  </w:endnote>
  <w:endnote w:type="continuationSeparator" w:id="0">
    <w:p w14:paraId="087AA762" w14:textId="77777777" w:rsidR="007936CD" w:rsidRDefault="00793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FB89" w14:textId="12EDF4CA" w:rsidR="00831C18" w:rsidRDefault="00831C1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60B32" w14:textId="4DD4B12A" w:rsidR="00831C18" w:rsidRDefault="00831C1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5271E" w14:textId="77777777" w:rsidR="007936CD" w:rsidRDefault="007936CD">
      <w:r>
        <w:separator/>
      </w:r>
    </w:p>
  </w:footnote>
  <w:footnote w:type="continuationSeparator" w:id="0">
    <w:p w14:paraId="720B9D36" w14:textId="77777777" w:rsidR="007936CD" w:rsidRDefault="007936C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6B16C5"/>
    <w:rsid w:val="00776133"/>
    <w:rsid w:val="007936CD"/>
    <w:rsid w:val="00807BD1"/>
    <w:rsid w:val="00831C18"/>
    <w:rsid w:val="00855687"/>
    <w:rsid w:val="00884274"/>
    <w:rsid w:val="008C07DE"/>
    <w:rsid w:val="00A30CCE"/>
    <w:rsid w:val="00AC3E9C"/>
    <w:rsid w:val="00BC4F14"/>
    <w:rsid w:val="00BC62FB"/>
    <w:rsid w:val="00BF535F"/>
    <w:rsid w:val="00C11C6B"/>
    <w:rsid w:val="00C806B0"/>
    <w:rsid w:val="00E476EE"/>
    <w:rsid w:val="00EF035E"/>
    <w:rsid w:val="08F05A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02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2024-06-15T13:37:00Z</dcterms:created>
  <dcterms:modified xsi:type="dcterms:W3CDTF">2024-06-15T13:38:00Z</dcterms:modified>
</cp:coreProperties>
</file>