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4C943">
      <w:pPr>
        <w:spacing w:before="2400"/>
      </w:pPr>
    </w:p>
    <w:p w14:paraId="6314974E">
      <w:pPr>
        <w:spacing w:after="200"/>
        <w:jc w:val="center"/>
      </w:pPr>
      <w:r>
        <w:rPr>
          <w:rFonts w:ascii="微软雅黑" w:hAnsi="微软雅黑" w:eastAsia="微软雅黑" w:cs="微软雅黑"/>
          <w:b/>
          <w:bCs/>
          <w:color w:val="1A3C6E"/>
          <w:sz w:val="48"/>
          <w:szCs w:val="48"/>
        </w:rPr>
        <w:t>2026年陕西高考历史</w:t>
      </w:r>
    </w:p>
    <w:p w14:paraId="1D5C25A3">
      <w:r>
        <w:br w:type="page"/>
      </w:r>
    </w:p>
    <w:p w14:paraId="758272A5">
      <w:pPr>
        <w:pStyle w:val="2"/>
      </w:pPr>
      <w:r>
        <w:rPr>
          <w:rFonts w:ascii="微软雅黑" w:hAnsi="微软雅黑" w:eastAsia="微软雅黑" w:cs="微软雅黑"/>
        </w:rPr>
        <w:t>一、选择题分析（共16题）</w:t>
      </w:r>
    </w:p>
    <w:p w14:paraId="40F286CA">
      <w:pPr>
        <w:spacing w:after="60"/>
      </w:pPr>
    </w:p>
    <w:p w14:paraId="0129F7EA">
      <w:pPr>
        <w:pStyle w:val="3"/>
      </w:pPr>
      <w:r>
        <w:rPr>
          <w:rFonts w:ascii="微软雅黑" w:hAnsi="微软雅黑" w:eastAsia="微软雅黑" w:cs="微软雅黑"/>
        </w:rPr>
        <w:t>1. 彩陶黑陶演变</w:t>
      </w:r>
    </w:p>
    <w:p w14:paraId="6C2715BD">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中华文明的起源与早期文化特征。</w:t>
      </w:r>
    </w:p>
    <w:p w14:paraId="7D858758">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本题考查新石器时代不同文化遗址的代表性器物。彩陶（如仰韶文化）与黑陶（如龙山文化）的演变，反映了生产力进步、手工业发展及区域文化特色。</w:t>
      </w:r>
    </w:p>
    <w:p w14:paraId="0A9A7DF9">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核心考查文化传承与地域差异或社会分工与技术进步。选项可能涉及文明多元一体、手工业专业化等。</w:t>
      </w:r>
    </w:p>
    <w:p w14:paraId="107EAF37">
      <w:pPr>
        <w:pStyle w:val="3"/>
      </w:pPr>
      <w:r>
        <w:rPr>
          <w:rFonts w:ascii="微软雅黑" w:hAnsi="微软雅黑" w:eastAsia="微软雅黑" w:cs="微软雅黑"/>
        </w:rPr>
        <w:t>2. 法律演变特点</w:t>
      </w:r>
    </w:p>
    <w:p w14:paraId="46CC6B89">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中国古代法律制度的阶段性特征（如从《法经》到《唐律疏议》）。</w:t>
      </w:r>
    </w:p>
    <w:p w14:paraId="5F065F68">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法律演变通常呈现从野蛮到文明、礼法结合、以刑为主、维护等级秩序等特点。</w:t>
      </w:r>
    </w:p>
    <w:p w14:paraId="2F3F4852">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可能选择儒家化（礼法结合）、体系化（法典编纂成熟）、维护专制皇权等。</w:t>
      </w:r>
    </w:p>
    <w:p w14:paraId="70EF82D0">
      <w:pPr>
        <w:pStyle w:val="3"/>
      </w:pPr>
      <w:r>
        <w:rPr>
          <w:rFonts w:ascii="微软雅黑" w:hAnsi="微软雅黑" w:eastAsia="微软雅黑" w:cs="微软雅黑"/>
        </w:rPr>
        <w:t>3. 唐官吏制度</w:t>
      </w:r>
    </w:p>
    <w:p w14:paraId="535609A9">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唐代三省六部制、科举制、考课制度。</w:t>
      </w:r>
    </w:p>
    <w:p w14:paraId="3D46C481">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唐代官吏制度核心特征是科举取士扩大统治基础、三省相互制衡（提高行政效率/削弱相权）、考课制度（官员考核与奖惩）。</w:t>
      </w:r>
    </w:p>
    <w:p w14:paraId="165CF237">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如果考科举，答案可能是打破门阀垄断，促进社会流动；如果考三省六部，则可能选分工明确，削弱相权。</w:t>
      </w:r>
    </w:p>
    <w:p w14:paraId="031F6862">
      <w:pPr>
        <w:pStyle w:val="3"/>
      </w:pPr>
      <w:r>
        <w:rPr>
          <w:rFonts w:ascii="微软雅黑" w:hAnsi="微软雅黑" w:eastAsia="微软雅黑" w:cs="微软雅黑"/>
        </w:rPr>
        <w:t>4. 宋代科举文化</w:t>
      </w:r>
    </w:p>
    <w:p w14:paraId="483C9535">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宋代科举制度的完善（糊名、讈录）及其对文化的影响（活字印刷、书院的兴盛、理学的形成）。</w:t>
      </w:r>
    </w:p>
    <w:p w14:paraId="0608A9E6">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宋代科举特点是程序更公平、录取人数大增、推动文化教育平民化。</w:t>
      </w:r>
    </w:p>
    <w:p w14:paraId="5553EC06">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可能选择（科举）促进社会阶层流动、推动文化教育发展、印刷术与科举相互促进。</w:t>
      </w:r>
    </w:p>
    <w:p w14:paraId="02AAC248">
      <w:pPr>
        <w:pStyle w:val="3"/>
      </w:pPr>
      <w:r>
        <w:rPr>
          <w:rFonts w:ascii="微软雅黑" w:hAnsi="微软雅黑" w:eastAsia="微软雅黑" w:cs="微软雅黑"/>
        </w:rPr>
        <w:t>5. 元地名演变</w:t>
      </w:r>
    </w:p>
    <w:p w14:paraId="4674A92D">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元代行政区划制度（行省制）、对边疆地区的管理（如宣政院、岭北行省等）。</w:t>
      </w:r>
    </w:p>
    <w:p w14:paraId="04673B2B">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元代地名演变通常反映行省制下中央集权强化、边疆治理与内地一体化趋势、民族交融。</w:t>
      </w:r>
    </w:p>
    <w:p w14:paraId="70A47C22">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可能会选择中央集权加强、边疆开发与治理等方向。</w:t>
      </w:r>
    </w:p>
    <w:p w14:paraId="3672F56B">
      <w:pPr>
        <w:pStyle w:val="3"/>
      </w:pPr>
      <w:r>
        <w:rPr>
          <w:rFonts w:ascii="微软雅黑" w:hAnsi="微软雅黑" w:eastAsia="微软雅黑" w:cs="微软雅黑"/>
        </w:rPr>
        <w:t>6. 明松江纺织业</w:t>
      </w:r>
    </w:p>
    <w:p w14:paraId="731AD827">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明代中后期商品经济发展、资本主义萌芽。</w:t>
      </w:r>
    </w:p>
    <w:p w14:paraId="6A05D8AA">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松江是明代棉纺织业中心，可体现手工业专业化、商品化程度提高、出现了雇佣关系（资本主义萌芽）。</w:t>
      </w:r>
    </w:p>
    <w:p w14:paraId="60F9794D">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可能选择商品经济发展、专业市镇兴起或资本主义萌芽。</w:t>
      </w:r>
    </w:p>
    <w:p w14:paraId="6F6E7B07">
      <w:pPr>
        <w:pStyle w:val="3"/>
      </w:pPr>
      <w:r>
        <w:rPr>
          <w:rFonts w:ascii="微软雅黑" w:hAnsi="微软雅黑" w:eastAsia="微软雅黑" w:cs="微软雅黑"/>
        </w:rPr>
        <w:t>7. 1884清财政危机</w:t>
      </w:r>
    </w:p>
    <w:p w14:paraId="5B2B18B5">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晚清财政困境的原因（战争赔款、关税丧失、地方督抚势力膨胀）。</w:t>
      </w:r>
    </w:p>
    <w:p w14:paraId="7F1B4DD4">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1884年中法战争前后，清政府军费开支大增，与此同时海关税收被外国控制，财政危机加剧。</w:t>
      </w:r>
    </w:p>
    <w:p w14:paraId="2C63BCB7">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可能选择外债加重、中央财政控制力削弱、被迫进行财税改革。</w:t>
      </w:r>
    </w:p>
    <w:p w14:paraId="7454301D">
      <w:pPr>
        <w:pStyle w:val="3"/>
      </w:pPr>
      <w:r>
        <w:rPr>
          <w:rFonts w:ascii="微软雅黑" w:hAnsi="微软雅黑" w:eastAsia="微软雅黑" w:cs="微软雅黑"/>
        </w:rPr>
        <w:t>8. 清末学堂发展</w:t>
      </w:r>
    </w:p>
    <w:p w14:paraId="6C0D01B0">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清末新政（1901-1911）中的教育改革——废科举、兴学堂、设学部。</w:t>
      </w:r>
    </w:p>
    <w:p w14:paraId="497DABB6">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反映近代教育体系的建立、西学东渐的深入、培养新式人才。</w:t>
      </w:r>
    </w:p>
    <w:p w14:paraId="23A1D0F9">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可能选择推动教育近代化、培养具有新思想的知识分子。</w:t>
      </w:r>
    </w:p>
    <w:p w14:paraId="1934DA9D">
      <w:pPr>
        <w:pStyle w:val="3"/>
      </w:pPr>
      <w:r>
        <w:rPr>
          <w:rFonts w:ascii="微软雅黑" w:hAnsi="微软雅黑" w:eastAsia="微软雅黑" w:cs="微软雅黑"/>
        </w:rPr>
        <w:t>9. 1929工农政权</w:t>
      </w:r>
    </w:p>
    <w:p w14:paraId="12AED25E">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国共十年对峙时期（土地革命时期）的苏维埃政权建设。</w:t>
      </w:r>
    </w:p>
    <w:p w14:paraId="75ACDC89">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1929年正是毛泽东在井冈山开辟革命根据地后，各地建立工农武装割据政权的时期，体现农村包围城市道路、土地革命与根据地建设等。</w:t>
      </w:r>
    </w:p>
    <w:p w14:paraId="5CCB2ED2">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可能选择工农武装割据、苏维埃政权建设。</w:t>
      </w:r>
    </w:p>
    <w:p w14:paraId="5EC65642">
      <w:pPr>
        <w:pStyle w:val="3"/>
      </w:pPr>
      <w:r>
        <w:rPr>
          <w:rFonts w:ascii="微软雅黑" w:hAnsi="微软雅黑" w:eastAsia="微软雅黑" w:cs="微软雅黑"/>
        </w:rPr>
        <w:t>10. 1948郑州军管会</w:t>
      </w:r>
    </w:p>
    <w:p w14:paraId="2822C7B1">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解放战争后期城市接管政策与经验。</w:t>
      </w:r>
    </w:p>
    <w:p w14:paraId="458D0C6A">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1948年郑州解放后设立军管会，体现工作重心从农村转向城市的准备、保护城市工商业、恢复社会秩序。</w:t>
      </w:r>
    </w:p>
    <w:p w14:paraId="4265BFC8">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可能选择为接管城市积累经验、为新中国的城市管理奠定基础。</w:t>
      </w:r>
    </w:p>
    <w:p w14:paraId="6275832C">
      <w:pPr>
        <w:pStyle w:val="3"/>
      </w:pPr>
      <w:r>
        <w:rPr>
          <w:rFonts w:ascii="微软雅黑" w:hAnsi="微软雅黑" w:eastAsia="微软雅黑" w:cs="微软雅黑"/>
        </w:rPr>
        <w:t>11. 现代教育发展</w:t>
      </w:r>
    </w:p>
    <w:p w14:paraId="369F3254">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新中国成立后的教育政策（扫盲运动、确立人民教育方针、恢复高考等）。</w:t>
      </w:r>
    </w:p>
    <w:p w14:paraId="5B58AD2B">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可考查教育服务于社会主义建设、教育公平、科教兴国战略等。</w:t>
      </w:r>
    </w:p>
    <w:p w14:paraId="491462E7">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可能选择培养社会主义建设者、推动教育现代化。</w:t>
      </w:r>
    </w:p>
    <w:p w14:paraId="1BDBD500">
      <w:pPr>
        <w:pStyle w:val="3"/>
      </w:pPr>
      <w:r>
        <w:rPr>
          <w:rFonts w:ascii="微软雅黑" w:hAnsi="微软雅黑" w:eastAsia="微软雅黑" w:cs="微软雅黑"/>
        </w:rPr>
        <w:t>12. 古代文明共性</w:t>
      </w:r>
    </w:p>
    <w:p w14:paraId="47BE6347">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大河文明（如古埃及、古巴比伦、古印度、古中国）的共同特征。</w:t>
      </w:r>
    </w:p>
    <w:p w14:paraId="5141E134">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共性包括大河流域农业发达、中央集权国家形成（或神权王权结合）、文字产生等。</w:t>
      </w:r>
    </w:p>
    <w:p w14:paraId="1167B1CA">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可能选择农业文明、大河流域文明或中央集权制度。</w:t>
      </w:r>
    </w:p>
    <w:p w14:paraId="52C249FC">
      <w:pPr>
        <w:pStyle w:val="3"/>
      </w:pPr>
      <w:r>
        <w:rPr>
          <w:rFonts w:ascii="微软雅黑" w:hAnsi="微软雅黑" w:eastAsia="微软雅黑" w:cs="微软雅黑"/>
        </w:rPr>
        <w:t>13. 加洛林王权</w:t>
      </w:r>
    </w:p>
    <w:p w14:paraId="786050F7">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中世纪早期西欧王权状况（加洛林王朝——查理曼帝国等）。</w:t>
      </w:r>
    </w:p>
    <w:p w14:paraId="7F68F45B">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加洛林王朝时期王权与教会结合，通过采邑改革加强统治，但整体上中世纪早期王权相对有限。</w:t>
      </w:r>
    </w:p>
    <w:p w14:paraId="66AA48BC">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可能选择王权与教权结合或封建制度形成。</w:t>
      </w:r>
    </w:p>
    <w:p w14:paraId="22D132A3">
      <w:pPr>
        <w:pStyle w:val="3"/>
      </w:pPr>
      <w:r>
        <w:rPr>
          <w:rFonts w:ascii="微软雅黑" w:hAnsi="微软雅黑" w:eastAsia="微软雅黑" w:cs="微软雅黑"/>
        </w:rPr>
        <w:t>14. 法国科学研究</w:t>
      </w:r>
    </w:p>
    <w:p w14:paraId="2E812818">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法国近代科学发展的特点或成就（如启蒙运动期间科学兴盛、19世纪巴斯德等）。</w:t>
      </w:r>
    </w:p>
    <w:p w14:paraId="707B7AAF">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可能与法国启蒙思想推动科学进步、科学研究机构化（如法兰西科学院）、应用与发展并行有关。</w:t>
      </w:r>
    </w:p>
    <w:p w14:paraId="6714500B">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可能选择政府重视科研、科学成果丰硕或促进思想启蒙。</w:t>
      </w:r>
    </w:p>
    <w:p w14:paraId="446EC4AD">
      <w:pPr>
        <w:pStyle w:val="3"/>
      </w:pPr>
      <w:r>
        <w:rPr>
          <w:rFonts w:ascii="微软雅黑" w:hAnsi="微软雅黑" w:eastAsia="微软雅黑" w:cs="微软雅黑"/>
        </w:rPr>
        <w:t>15. 德国战争动员</w:t>
      </w:r>
    </w:p>
    <w:p w14:paraId="4E96FF64">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德国在第一次世界大战或二战期间的战争动员机制。</w:t>
      </w:r>
    </w:p>
    <w:p w14:paraId="0CAFCC55">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可考查总体战体制、经济军事化、社会全面动员。</w:t>
      </w:r>
    </w:p>
    <w:p w14:paraId="5D5BECEF">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可能选择实行战时经济体制、社会资源高度集中等。</w:t>
      </w:r>
    </w:p>
    <w:p w14:paraId="5447AA3D">
      <w:pPr>
        <w:pStyle w:val="3"/>
      </w:pPr>
      <w:r>
        <w:rPr>
          <w:rFonts w:ascii="微软雅黑" w:hAnsi="微软雅黑" w:eastAsia="微软雅黑" w:cs="微软雅黑"/>
        </w:rPr>
        <w:t>16. 拉美改革发展</w:t>
      </w:r>
    </w:p>
    <w:p w14:paraId="27A05079">
      <w:pPr>
        <w:spacing w:after="80"/>
      </w:pPr>
      <w:r>
        <w:rPr>
          <w:rFonts w:ascii="微软雅黑" w:hAnsi="微软雅黑" w:eastAsia="微软雅黑" w:cs="微软雅黑"/>
          <w:b/>
          <w:bCs/>
          <w:sz w:val="21"/>
          <w:szCs w:val="21"/>
        </w:rPr>
        <w:t>考点：</w:t>
      </w:r>
      <w:r>
        <w:rPr>
          <w:rFonts w:ascii="微软雅黑" w:hAnsi="微软雅黑" w:eastAsia="微软雅黑" w:cs="微软雅黑"/>
          <w:sz w:val="21"/>
          <w:szCs w:val="21"/>
        </w:rPr>
        <w:t>20世纪拉美国家的经济改革（如进口替代工业化、新自由主义改革等）及其困境。</w:t>
      </w:r>
    </w:p>
    <w:p w14:paraId="05DBEFC1">
      <w:pPr>
        <w:spacing w:after="80"/>
      </w:pPr>
      <w:r>
        <w:rPr>
          <w:rFonts w:ascii="微软雅黑" w:hAnsi="微软雅黑" w:eastAsia="微软雅黑" w:cs="微软雅黑"/>
          <w:b/>
          <w:bCs/>
          <w:sz w:val="21"/>
          <w:szCs w:val="21"/>
        </w:rPr>
        <w:t>分析：</w:t>
      </w:r>
      <w:r>
        <w:rPr>
          <w:rFonts w:ascii="微软雅黑" w:hAnsi="微软雅黑" w:eastAsia="微软雅黑" w:cs="微软雅黑"/>
          <w:sz w:val="21"/>
          <w:szCs w:val="21"/>
        </w:rPr>
        <w:t>可考查拉美经济改革的成效与局限性、对外部经济的依赖等。</w:t>
      </w:r>
    </w:p>
    <w:p w14:paraId="02FCA8F3">
      <w:pPr>
        <w:spacing w:after="120"/>
      </w:pPr>
      <w:r>
        <w:rPr>
          <w:rFonts w:ascii="微软雅黑" w:hAnsi="微软雅黑" w:eastAsia="微软雅黑" w:cs="微软雅黑"/>
          <w:b/>
          <w:bCs/>
          <w:sz w:val="21"/>
          <w:szCs w:val="21"/>
        </w:rPr>
        <w:t>答案预测：</w:t>
      </w:r>
      <w:r>
        <w:rPr>
          <w:rFonts w:ascii="微软雅黑" w:hAnsi="微软雅黑" w:eastAsia="微软雅黑" w:cs="微软雅黑"/>
          <w:sz w:val="21"/>
          <w:szCs w:val="21"/>
        </w:rPr>
        <w:t>可能选择经济改革取得一定成效但未能根本解决问题或受国际形势影响较大。</w:t>
      </w:r>
    </w:p>
    <w:p w14:paraId="47E0588F">
      <w:r>
        <w:br w:type="page"/>
      </w:r>
    </w:p>
    <w:p w14:paraId="78A2A976">
      <w:pPr>
        <w:pStyle w:val="2"/>
      </w:pPr>
      <w:r>
        <w:rPr>
          <w:rFonts w:ascii="微软雅黑" w:hAnsi="微软雅黑" w:eastAsia="微软雅黑" w:cs="微软雅黑"/>
        </w:rPr>
        <w:t>二、主观题分析（共4题）</w:t>
      </w:r>
    </w:p>
    <w:p w14:paraId="4C4A4044">
      <w:pPr>
        <w:spacing w:after="60"/>
      </w:pPr>
    </w:p>
    <w:p w14:paraId="1A1FBF03">
      <w:pPr>
        <w:pStyle w:val="3"/>
      </w:pPr>
      <w:r>
        <w:rPr>
          <w:rFonts w:ascii="微软雅黑" w:hAnsi="微软雅黑" w:eastAsia="微软雅黑" w:cs="微软雅黑"/>
        </w:rPr>
        <w:t>17. 中国古代边疆治理：清朝某厅</w:t>
      </w:r>
    </w:p>
    <w:p w14:paraId="17630F22">
      <w:pPr>
        <w:spacing w:after="60"/>
      </w:pPr>
    </w:p>
    <w:p w14:paraId="70597560">
      <w:pPr>
        <w:pStyle w:val="4"/>
      </w:pPr>
      <w:r>
        <w:rPr>
          <w:rFonts w:ascii="微软雅黑" w:hAnsi="微软雅黑" w:eastAsia="微软雅黑" w:cs="微软雅黑"/>
        </w:rPr>
        <w:t>设问（1）：概括该厅的建制特征。</w:t>
      </w:r>
    </w:p>
    <w:p w14:paraId="0C3C8B92">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从材料中提取隶属关系（中央直辖/省辖/将军辖区）、管理职能（军民兼理/专理民政）、管辖区域（多民族聚居区）等关键词，用模板语言中央直辖、军政合一、因地设治等。</w:t>
      </w:r>
    </w:p>
    <w:p w14:paraId="08516C91">
      <w:pPr>
        <w:pStyle w:val="4"/>
      </w:pPr>
      <w:r>
        <w:rPr>
          <w:rFonts w:ascii="微软雅黑" w:hAnsi="微软雅黑" w:eastAsia="微软雅黑" w:cs="微软雅黑"/>
        </w:rPr>
        <w:t>设问（2）：分析该厅在地方治理/边疆巩固中的作用。</w:t>
      </w:r>
    </w:p>
    <w:p w14:paraId="399EF129">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从加强中央对边疆的直接管理、促进边疆经济发展与社会稳定、促进民族交融、巩固国防等角度组织答案。参考模板：有利于（加强控制/开发边疆/民族融合）。</w:t>
      </w:r>
    </w:p>
    <w:p w14:paraId="275AF750">
      <w:pPr>
        <w:pStyle w:val="3"/>
      </w:pPr>
      <w:r>
        <w:rPr>
          <w:rFonts w:ascii="微软雅黑" w:hAnsi="微软雅黑" w:eastAsia="微软雅黑" w:cs="微软雅黑"/>
        </w:rPr>
        <w:t>18. 中国近现代史：陕甘宁边区畜牧业</w:t>
      </w:r>
    </w:p>
    <w:p w14:paraId="148A3E27">
      <w:pPr>
        <w:spacing w:after="60"/>
      </w:pPr>
    </w:p>
    <w:p w14:paraId="74460E58">
      <w:pPr>
        <w:pStyle w:val="4"/>
      </w:pPr>
      <w:r>
        <w:rPr>
          <w:rFonts w:ascii="微软雅黑" w:hAnsi="微软雅黑" w:eastAsia="微软雅黑" w:cs="微软雅黑"/>
        </w:rPr>
        <w:t>设问（1）：归纳边区政府发展畜牧业的具体措施。</w:t>
      </w:r>
    </w:p>
    <w:p w14:paraId="226EFD52">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材料中通常包含发放贷款、引进良种、设立兽医站、组织互助组等，直接概括即可，注意用专业术语+具体行为的句式（如通过……以……）。</w:t>
      </w:r>
    </w:p>
    <w:p w14:paraId="4CAFE090">
      <w:pPr>
        <w:pStyle w:val="4"/>
      </w:pPr>
      <w:r>
        <w:rPr>
          <w:rFonts w:ascii="微软雅黑" w:hAnsi="微软雅黑" w:eastAsia="微软雅黑" w:cs="微软雅黑"/>
        </w:rPr>
        <w:t>设问（2）：谈谈边区经验对当代乡村振兴的启示。</w:t>
      </w:r>
    </w:p>
    <w:p w14:paraId="66F74197">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从政府主导与群众参与结合、因地制宜发展特色产业、科技支撑与制度创新并重、经济与生态协调发展等角度论述。</w:t>
      </w:r>
    </w:p>
    <w:p w14:paraId="261C99D3">
      <w:pPr>
        <w:pStyle w:val="3"/>
      </w:pPr>
      <w:r>
        <w:rPr>
          <w:rFonts w:ascii="微软雅黑" w:hAnsi="微软雅黑" w:eastAsia="微软雅黑" w:cs="微软雅黑"/>
        </w:rPr>
        <w:t>19. 世界史：西欧戏剧发展</w:t>
      </w:r>
    </w:p>
    <w:p w14:paraId="607D6AAA">
      <w:pPr>
        <w:spacing w:after="60"/>
      </w:pPr>
    </w:p>
    <w:p w14:paraId="6A7B6482">
      <w:pPr>
        <w:pStyle w:val="4"/>
      </w:pPr>
      <w:r>
        <w:rPr>
          <w:rFonts w:ascii="微软雅黑" w:hAnsi="微软雅黑" w:eastAsia="微软雅黑" w:cs="微软雅黑"/>
        </w:rPr>
        <w:t>设问（1）：分析古希腊至文艺复兴时期戏剧兴起与发展的原因。</w:t>
      </w:r>
    </w:p>
    <w:p w14:paraId="46E3AB73">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按照时间分段：古希腊——城邦民主政治、宗教祭祀（酒神节）、公共生活需要；中世纪——宗教剧服务于教会宣传；文艺复兴——市民阶层壮大、赞助人出现、人文主义思想。参考模板：政治（民主/王权）+经济（商品经济发展）+文化（人文主义）。</w:t>
      </w:r>
    </w:p>
    <w:p w14:paraId="46450CB0">
      <w:pPr>
        <w:pStyle w:val="4"/>
      </w:pPr>
      <w:r>
        <w:rPr>
          <w:rFonts w:ascii="微软雅黑" w:hAnsi="微软雅黑" w:eastAsia="微软雅黑" w:cs="微软雅黑"/>
        </w:rPr>
        <w:t>设问（2）：说明戏剧对西欧文化传播与思想解放的影响。</w:t>
      </w:r>
    </w:p>
    <w:p w14:paraId="3ACD0F9C">
      <w:pPr>
        <w:spacing w:after="120"/>
      </w:pPr>
      <w:r>
        <w:rPr>
          <w:rFonts w:ascii="微软雅黑" w:hAnsi="微软雅黑" w:eastAsia="微软雅黑" w:cs="微软雅黑"/>
          <w:b/>
          <w:bCs/>
          <w:sz w:val="21"/>
          <w:szCs w:val="21"/>
        </w:rPr>
        <w:t>解题思路：</w:t>
      </w:r>
      <w:r>
        <w:rPr>
          <w:rFonts w:ascii="微软雅黑" w:hAnsi="微软雅黑" w:eastAsia="微软雅黑" w:cs="微软雅黑"/>
          <w:sz w:val="21"/>
          <w:szCs w:val="21"/>
        </w:rPr>
        <w:t>从传播古典文化、宣传人文思想、提升市民文化水平、批判社会现实等角度，注意一分为二（积极影响+局限性）。</w:t>
      </w:r>
    </w:p>
    <w:p w14:paraId="7E3DFB7C">
      <w:pPr>
        <w:pStyle w:val="3"/>
      </w:pPr>
      <w:r>
        <w:rPr>
          <w:rFonts w:ascii="微软雅黑" w:hAnsi="微软雅黑" w:eastAsia="微软雅黑" w:cs="微软雅黑"/>
        </w:rPr>
        <w:t>20. 开放性论述（12分）：水与人类历史</w:t>
      </w:r>
    </w:p>
    <w:p w14:paraId="73E413DB">
      <w:pPr>
        <w:spacing w:after="60"/>
      </w:pPr>
    </w:p>
    <w:p w14:paraId="6D14CC80">
      <w:pPr>
        <w:spacing w:after="120"/>
      </w:pPr>
      <w:r>
        <w:rPr>
          <w:rFonts w:ascii="微软雅黑" w:hAnsi="微软雅黑" w:eastAsia="微软雅黑" w:cs="微软雅黑"/>
          <w:sz w:val="21"/>
          <w:szCs w:val="21"/>
        </w:rPr>
        <w:t>提供三个示例角度：</w:t>
      </w:r>
      <w:r>
        <w:rPr>
          <w:rFonts w:ascii="微软雅黑" w:hAnsi="微软雅黑" w:eastAsia="微软雅黑" w:cs="微软雅黑"/>
          <w:b/>
          <w:bCs/>
          <w:sz w:val="21"/>
          <w:szCs w:val="21"/>
        </w:rPr>
        <w:t>大河孕育古代文明、运河与帝国兴衰、水患治理反映国家能力。</w:t>
      </w:r>
      <w:r>
        <w:rPr>
          <w:rFonts w:ascii="微软雅黑" w:hAnsi="微软雅黑" w:eastAsia="微软雅黑" w:cs="微软雅黑"/>
          <w:sz w:val="21"/>
          <w:szCs w:val="21"/>
        </w:rPr>
        <w:t>要求不得照抄示例，自拟论题，结合中外史实加以论述。</w:t>
      </w:r>
    </w:p>
    <w:p w14:paraId="45398471">
      <w:pPr>
        <w:spacing w:after="60"/>
      </w:pPr>
    </w:p>
    <w:p w14:paraId="0E7BEE51">
      <w:pPr>
        <w:pStyle w:val="4"/>
      </w:pPr>
      <w:r>
        <w:rPr>
          <w:rFonts w:ascii="微软雅黑" w:hAnsi="微软雅黑" w:eastAsia="微软雅黑" w:cs="微软雅黑"/>
        </w:rPr>
        <w:t>建议论题方向：</w:t>
      </w:r>
    </w:p>
    <w:p w14:paraId="048B4039">
      <w:pPr>
        <w:pStyle w:val="16"/>
        <w:numPr>
          <w:ilvl w:val="0"/>
          <w:numId w:val="1"/>
        </w:numPr>
        <w:spacing w:after="60"/>
      </w:pPr>
      <w:r>
        <w:rPr>
          <w:rFonts w:ascii="微软雅黑" w:hAnsi="微软雅黑" w:eastAsia="微软雅黑" w:cs="微软雅黑"/>
          <w:sz w:val="21"/>
          <w:szCs w:val="21"/>
        </w:rPr>
        <w:t>水利工程反映国家治理能力（中国大禹治水/都江堰、欧洲古罗马水道）</w:t>
      </w:r>
    </w:p>
    <w:p w14:paraId="2AD8A7CB">
      <w:pPr>
        <w:pStyle w:val="16"/>
        <w:numPr>
          <w:ilvl w:val="0"/>
          <w:numId w:val="1"/>
        </w:numPr>
        <w:spacing w:after="60"/>
      </w:pPr>
      <w:r>
        <w:rPr>
          <w:rFonts w:ascii="微软雅黑" w:hAnsi="微软雅黑" w:eastAsia="微软雅黑" w:cs="微软雅黑"/>
          <w:sz w:val="21"/>
          <w:szCs w:val="21"/>
        </w:rPr>
        <w:t>水患与文明兴衰（两河流域文明衰亡、黄河治理与王朝替更）</w:t>
      </w:r>
    </w:p>
    <w:p w14:paraId="0392CA49">
      <w:pPr>
        <w:pStyle w:val="16"/>
        <w:numPr>
          <w:ilvl w:val="0"/>
          <w:numId w:val="1"/>
        </w:numPr>
        <w:spacing w:after="120"/>
      </w:pPr>
      <w:r>
        <w:rPr>
          <w:rFonts w:ascii="微软雅黑" w:hAnsi="微软雅黑" w:eastAsia="微软雅黑" w:cs="微软雅黑"/>
          <w:sz w:val="21"/>
          <w:szCs w:val="21"/>
        </w:rPr>
        <w:t>运河与水路交通对人类文明的塑造（中国大运河、苏伊士运河）</w:t>
      </w:r>
    </w:p>
    <w:p w14:paraId="39FC235F">
      <w:pPr>
        <w:spacing w:after="60"/>
      </w:pPr>
    </w:p>
    <w:p w14:paraId="1C2C965E">
      <w:pPr>
        <w:pStyle w:val="4"/>
      </w:pPr>
      <w:r>
        <w:rPr>
          <w:rFonts w:ascii="微软雅黑" w:hAnsi="微软雅黑" w:eastAsia="微软雅黑" w:cs="微软雅黑"/>
        </w:rPr>
        <w:t>结构要求：</w:t>
      </w:r>
    </w:p>
    <w:p w14:paraId="13B666B9">
      <w:pPr>
        <w:pStyle w:val="16"/>
        <w:numPr>
          <w:ilvl w:val="0"/>
          <w:numId w:val="1"/>
        </w:numPr>
        <w:spacing w:after="60"/>
      </w:pPr>
      <w:r>
        <w:rPr>
          <w:rFonts w:ascii="微软雅黑" w:hAnsi="微软雅黑" w:eastAsia="微软雅黑" w:cs="微软雅黑"/>
          <w:b/>
          <w:bCs/>
          <w:sz w:val="21"/>
          <w:szCs w:val="21"/>
        </w:rPr>
        <w:t>提出观点：</w:t>
      </w:r>
      <w:r>
        <w:rPr>
          <w:rFonts w:ascii="微软雅黑" w:hAnsi="微软雅黑" w:eastAsia="微软雅黑" w:cs="微软雅黑"/>
          <w:sz w:val="21"/>
          <w:szCs w:val="21"/>
        </w:rPr>
        <w:t>一句话明确</w:t>
      </w:r>
    </w:p>
    <w:p w14:paraId="05C6B88A">
      <w:pPr>
        <w:pStyle w:val="16"/>
        <w:numPr>
          <w:ilvl w:val="0"/>
          <w:numId w:val="1"/>
        </w:numPr>
        <w:spacing w:after="60"/>
      </w:pPr>
      <w:r>
        <w:rPr>
          <w:rFonts w:ascii="微软雅黑" w:hAnsi="微软雅黑" w:eastAsia="微软雅黑" w:cs="微软雅黑"/>
          <w:b/>
          <w:bCs/>
          <w:sz w:val="21"/>
          <w:szCs w:val="21"/>
        </w:rPr>
        <w:t>史实论证：</w:t>
      </w:r>
      <w:r>
        <w:rPr>
          <w:rFonts w:ascii="微软雅黑" w:hAnsi="微软雅黑" w:eastAsia="微软雅黑" w:cs="微软雅黑"/>
          <w:sz w:val="21"/>
          <w:szCs w:val="21"/>
        </w:rPr>
        <w:t>2-3个中外史实，详述其一</w:t>
      </w:r>
    </w:p>
    <w:p w14:paraId="404CB87E">
      <w:pPr>
        <w:pStyle w:val="16"/>
        <w:numPr>
          <w:ilvl w:val="0"/>
          <w:numId w:val="1"/>
        </w:numPr>
        <w:spacing w:after="120"/>
      </w:pPr>
      <w:r>
        <w:rPr>
          <w:rFonts w:ascii="微软雅黑" w:hAnsi="微软雅黑" w:eastAsia="微软雅黑" w:cs="微软雅黑"/>
          <w:b/>
          <w:bCs/>
          <w:sz w:val="21"/>
          <w:szCs w:val="21"/>
        </w:rPr>
        <w:t>总结升华：</w:t>
      </w:r>
      <w:r>
        <w:rPr>
          <w:rFonts w:ascii="微软雅黑" w:hAnsi="微软雅黑" w:eastAsia="微软雅黑" w:cs="微软雅黑"/>
          <w:sz w:val="21"/>
          <w:szCs w:val="21"/>
        </w:rPr>
        <w:t>呼应观点，上升到规律性认识</w:t>
      </w:r>
    </w:p>
    <w:p w14:paraId="63B2965C">
      <w:pPr>
        <w:spacing w:before="200"/>
        <w:jc w:val="center"/>
      </w:pP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1FA62">
    <w:pPr>
      <w:jc w:val="center"/>
    </w:pPr>
    <w:r>
      <w:rPr>
        <w:rFonts w:ascii="微软雅黑" w:hAnsi="微软雅黑" w:eastAsia="微软雅黑" w:cs="微软雅黑"/>
        <w:color w:val="999999"/>
        <w:sz w:val="18"/>
        <w:szCs w:val="18"/>
      </w:rPr>
      <w:t xml:space="preserve">– </w:t>
    </w:r>
    <w:r>
      <w:rPr>
        <w:rFonts w:ascii="微软雅黑" w:hAnsi="微软雅黑" w:eastAsia="微软雅黑" w:cs="微软雅黑"/>
        <w:color w:val="999999"/>
        <w:sz w:val="18"/>
        <w:szCs w:val="18"/>
      </w:rPr>
      <w:fldChar w:fldCharType="begin"/>
    </w:r>
    <w:r>
      <w:rPr>
        <w:rFonts w:ascii="微软雅黑" w:hAnsi="微软雅黑" w:eastAsia="微软雅黑" w:cs="微软雅黑"/>
        <w:color w:val="999999"/>
        <w:sz w:val="18"/>
        <w:szCs w:val="18"/>
      </w:rPr>
      <w:instrText xml:space="preserve">PAGE</w:instrText>
    </w:r>
    <w:r>
      <w:rPr>
        <w:rFonts w:ascii="微软雅黑" w:hAnsi="微软雅黑" w:eastAsia="微软雅黑" w:cs="微软雅黑"/>
        <w:color w:val="999999"/>
        <w:sz w:val="18"/>
        <w:szCs w:val="18"/>
      </w:rPr>
      <w:fldChar w:fldCharType="separate"/>
    </w:r>
    <w:r>
      <w:rPr>
        <w:rFonts w:ascii="微软雅黑" w:hAnsi="微软雅黑" w:eastAsia="微软雅黑" w:cs="微软雅黑"/>
        <w:color w:val="999999"/>
        <w:sz w:val="18"/>
        <w:szCs w:val="18"/>
      </w:rPr>
      <w:fldChar w:fldCharType="end"/>
    </w:r>
    <w:r>
      <w:rPr>
        <w:rFonts w:ascii="微软雅黑" w:hAnsi="微软雅黑" w:eastAsia="微软雅黑" w:cs="微软雅黑"/>
        <w:color w:val="999999"/>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56EF">
    <w:pPr>
      <w:pBdr>
        <w:bottom w:val="single" w:color="CCCCCC" w:sz="2" w:space="4"/>
      </w:pBdr>
      <w:jc w:val="center"/>
    </w:pPr>
    <w:r>
      <w:rPr>
        <w:rFonts w:ascii="微软雅黑" w:hAnsi="微软雅黑" w:eastAsia="微软雅黑" w:cs="微软雅黑"/>
        <w:color w:val="999999"/>
        <w:sz w:val="18"/>
        <w:szCs w:val="18"/>
      </w:rPr>
      <w:t>2026年陕西高考历史真题分析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1C224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pPr>
      <w:spacing w:before="360" w:after="200"/>
      <w:outlineLvl w:val="0"/>
    </w:pPr>
    <w:rPr>
      <w:rFonts w:ascii="微软雅黑" w:hAnsi="微软雅黑" w:eastAsia="微软雅黑" w:cs="微软雅黑"/>
      <w:b/>
      <w:bCs/>
      <w:color w:val="1A3C6E"/>
      <w:sz w:val="36"/>
      <w:szCs w:val="36"/>
    </w:rPr>
  </w:style>
  <w:style w:type="paragraph" w:styleId="3">
    <w:name w:val="heading 2"/>
    <w:next w:val="1"/>
    <w:qFormat/>
    <w:uiPriority w:val="0"/>
    <w:pPr>
      <w:spacing w:before="280" w:after="160"/>
      <w:outlineLvl w:val="1"/>
    </w:pPr>
    <w:rPr>
      <w:rFonts w:ascii="微软雅黑" w:hAnsi="微软雅黑" w:eastAsia="微软雅黑" w:cs="微软雅黑"/>
      <w:b/>
      <w:bCs/>
      <w:color w:val="2E75B6"/>
      <w:sz w:val="28"/>
      <w:szCs w:val="28"/>
    </w:rPr>
  </w:style>
  <w:style w:type="paragraph" w:styleId="4">
    <w:name w:val="heading 3"/>
    <w:next w:val="1"/>
    <w:qFormat/>
    <w:uiPriority w:val="0"/>
    <w:pPr>
      <w:spacing w:before="200" w:after="100"/>
      <w:outlineLvl w:val="2"/>
    </w:pPr>
    <w:rPr>
      <w:rFonts w:ascii="微软雅黑" w:hAnsi="微软雅黑" w:eastAsia="微软雅黑" w:cs="微软雅黑"/>
      <w:b/>
      <w:bCs/>
      <w:color w:val="333333"/>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Office_12.8.2.18205_F1E327BC-269C-435d-A152-05C5408002CA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2026-06-08T13:32:00Z</dcterms:created>
  <dc:creator>Un-named</dc:creator>
  <cp:lastModifiedBy>LI</cp:lastModifiedBy>
  <dcterms:modified xsi:type="dcterms:W3CDTF">2026-06-08T13:36:47Z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200AA6CFC9704925AC83EE7F544426D0_12</vt:lpwstr>
  </property>
</Properties>
</file>