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Pr>
      <w:r>
        <w:t>棚智未来</w:t>
      </w:r>
    </w:p>
    <w:p>
      <w:pPr>
        <w:jc w:val="center"/>
      </w:pPr>
      <w:r>
        <w:rPr>
          <w:rFonts w:ascii="黑体" w:hAnsi="黑体" w:eastAsia="黑体"/>
          <w:b w:val="0"/>
          <w:color w:val="2F6B4F"/>
          <w:sz w:val="36"/>
        </w:rPr>
        <w:t>设施农业智能监测与决策平台</w:t>
      </w:r>
    </w:p>
    <w:p/>
    <w:p>
      <w:pPr>
        <w:jc w:val="center"/>
      </w:pPr>
      <w:r>
        <w:rPr>
          <w:rFonts w:ascii="黑体" w:hAnsi="黑体" w:eastAsia="黑体"/>
          <w:b/>
          <w:sz w:val="44"/>
        </w:rPr>
        <w:t>工作计划</w:t>
      </w:r>
    </w:p>
    <w:p/>
    <w:p/>
    <w:p/>
    <w:p/>
    <w:p/>
    <w:p/>
    <w:tbl>
      <w:tblPr>
        <w:tblStyle w:val="TableGrid"/>
        <w:tblW w:type="auto" w:w="0"/>
        <w:jc w:val="center"/>
        <w:tblLook w:firstColumn="1" w:firstRow="1" w:lastColumn="0" w:lastRow="0" w:noHBand="0" w:noVBand="1" w:val="04A0"/>
      </w:tblPr>
      <w:tblGrid>
        <w:gridCol w:w="4532"/>
        <w:gridCol w:w="4532"/>
      </w:tblGrid>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文档名称</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工作计划</w:t>
            </w:r>
          </w:p>
        </w:tc>
      </w:tr>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适用系统</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棚智未来 V1.9.11</w:t>
            </w:r>
          </w:p>
        </w:tc>
      </w:tr>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文档版本</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V1.0</w:t>
            </w:r>
          </w:p>
        </w:tc>
      </w:tr>
      <w:tr>
        <w:tc>
          <w:tcPr>
            <w:tcW w:type="dxa" w:w="4532"/>
            <w:vAlign w:val="center"/>
            <w:tcMar>
              <w:top w:w="90" w:type="dxa"/>
              <w:start w:w="90" w:type="dxa"/>
              <w:bottom w:w="90" w:type="dxa"/>
              <w:end w:w="90" w:type="dxa"/>
            </w:tcMar>
            <w:shd w:fill="E5F0EA"/>
          </w:tcPr>
          <w:p>
            <w:pPr>
              <w:spacing w:after="0" w:line="252" w:lineRule="auto"/>
              <w:jc w:val="center"/>
            </w:pPr>
            <w:r/>
            <w:r>
              <w:rPr>
                <w:rFonts w:ascii="宋体" w:hAnsi="宋体" w:eastAsia="宋体"/>
                <w:b w:val="0"/>
                <w:sz w:val="20"/>
              </w:rPr>
              <w:t>编制日期</w:t>
            </w:r>
          </w:p>
        </w:tc>
        <w:tc>
          <w:tcPr>
            <w:tcW w:type="dxa" w:w="4532"/>
            <w:vAlign w:val="center"/>
            <w:tcMar>
              <w:top w:w="90" w:type="dxa"/>
              <w:start w:w="90" w:type="dxa"/>
              <w:bottom w:w="90" w:type="dxa"/>
              <w:end w:w="90" w:type="dxa"/>
            </w:tcMar>
          </w:tcPr>
          <w:p>
            <w:pPr>
              <w:spacing w:after="0" w:line="252" w:lineRule="auto"/>
              <w:jc w:val="center"/>
            </w:pPr>
            <w:r/>
            <w:r>
              <w:rPr>
                <w:rFonts w:ascii="宋体" w:hAnsi="宋体" w:eastAsia="宋体"/>
                <w:b w:val="0"/>
                <w:sz w:val="20"/>
              </w:rPr>
              <w:t>2026年9月</w:t>
            </w:r>
          </w:p>
        </w:tc>
      </w:tr>
    </w:tbl>
    <w:p>
      <w:r>
        <w:br w:type="page"/>
      </w:r>
    </w:p>
    <w:p>
      <w:pPr>
        <w:jc w:val="center"/>
      </w:pPr>
      <w:r>
        <w:rPr>
          <w:rFonts w:ascii="黑体" w:hAnsi="黑体" w:eastAsia="黑体"/>
          <w:b/>
          <w:sz w:val="36"/>
        </w:rPr>
        <w:t>目  录</w:t>
      </w:r>
    </w:p>
    <w:p>
      <w:r>
        <w:fldChar w:fldCharType="begin"/>
        <w:instrText xml:space="preserve"> TOC \o "1-3" \h \z \u </w:instrText>
        <w:fldChar w:fldCharType="separate"/>
        <w:t>目录将在打开 Word 后自动更新</w:t>
        <w:fldChar w:fldCharType="end"/>
      </w:r>
    </w:p>
    <w:p>
      <w:r>
        <w:br w:type="page"/>
      </w:r>
    </w:p>
    <w:p>
      <w:pPr>
        <w:pStyle w:val="Heading1"/>
      </w:pPr>
      <w:r>
        <w:t>1 计划目标</w:t>
      </w:r>
    </w:p>
    <w:p>
      <w:pPr>
        <w:pStyle w:val="正文"/>
      </w:pPr>
      <w:r>
        <w:t>本工作计划面向棚智未来设施农业智能监测与决策平台的完整建设与交付，目标是形成需求明确、架构合理、数据可信、功能闭环、测试充分、文档齐全且可部署演示的软件成果。计划采用阶段评审方式推进，每一阶段均设置输入、任务、输出和验收条件。</w:t>
      </w:r>
    </w:p>
    <w:p>
      <w:pPr>
        <w:pStyle w:val="Heading1"/>
      </w:pPr>
      <w:r>
        <w:t>2 阶段计划</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rPr>
          <w:tblHeader w:val="true"/>
        </w:trPr>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6"/>
              </w:rPr>
              <w:t>阶段</w:t>
            </w:r>
          </w:p>
        </w:tc>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6"/>
              </w:rPr>
              <w:t>主要任务</w:t>
            </w:r>
          </w:p>
        </w:tc>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6"/>
              </w:rPr>
              <w:t>交付物</w:t>
            </w:r>
          </w:p>
        </w:tc>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6"/>
              </w:rPr>
              <w:t>完成标准</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阶段一：调研与需求</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梳理莘县设施农业场景、用户、痛点和系统边界。</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需求分析说明书、需求清单。</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需求可追溯到真实问题，范围明确。</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阶段二：总体设计</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确定前后端、数据层、算法层、模块和部署架构。</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概要设计说明书、模块划分。</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模块职责清楚，接口边界稳定。</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阶段三：数据设计</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设计实体、字段、主外键、索引和约束。</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数据库设计说明书。</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可支撑监测、预警、病害、任务和 AI 会话。</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阶段四：核心开发</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完成数据中心、驾驶舱、智能研判和预测。</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可运行核心工作台。</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真实数据可接入、查询、预测和研判。</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阶段五：闭环开发</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完成病害复核、建议、任务、反馈和证据链。</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生产闭环与棚小智。</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风险或病害可转为任务并追溯。</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阶段六：视觉与体验</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统一官网与工作台视觉、路由、状态和响应式布局。</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V1.9.x 前端版本。</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主要页面一致、可用、无明显错位。</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阶段七：测试整改</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运行后端测试、Lint、构建和完整工作流验证。</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测试文档、缺陷清单。</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verify_release.ps1 全部通过。</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阶段八：部署交付</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整理脚本、模型、数据卷、说明书和演示材料。</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安装部署说明书、使用说明书、完整源码。</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6"/>
              </w:rPr>
              <w:t>新环境可按文档成功安装运行。</w:t>
            </w:r>
          </w:p>
        </w:tc>
      </w:tr>
    </w:tbl>
    <w:p>
      <w:pPr>
        <w:spacing w:after="0"/>
      </w:pPr>
    </w:p>
    <w:p>
      <w:pPr>
        <w:pStyle w:val="Heading1"/>
      </w:pPr>
      <w:r>
        <w:t>3 近期整改计划</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rPr>
          <w:tblHeader w:val="true"/>
        </w:trPr>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优先级</w:t>
            </w:r>
          </w:p>
        </w:tc>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任务</w:t>
            </w:r>
          </w:p>
        </w:tc>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责任角色</w:t>
            </w:r>
          </w:p>
        </w:tc>
        <w:tc>
          <w:tcPr>
            <w:tcW w:type="dxa" w:w="2266"/>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验收</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P0</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修复前端 TypeScript JSX 命名空间错误。</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前端开发</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npm run build 通过。</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P0</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清理未使用变量和异常空白字符。</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前端开发</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npm run lint 零错误。</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P1</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固定模型训练与推理依赖版本。</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算法开发</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模型加载无版本兼容警告。</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P1</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重新执行完整发布验证。</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测试/集成</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后端、Lint、构建、模型检查全部通过。</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P1</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进行桌面端主要页面人工回归。</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测试/产品</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无重叠、错位、空白页和阻断操作。</w:t>
            </w:r>
          </w:p>
        </w:tc>
      </w:tr>
      <w:tr>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P2</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补充部署备份与恢复演练。</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部署维护</w:t>
            </w:r>
          </w:p>
        </w:tc>
        <w:tc>
          <w:tcPr>
            <w:tcW w:type="dxa" w:w="2266"/>
            <w:vAlign w:val="center"/>
            <w:tcMar>
              <w:top w:w="90" w:type="dxa"/>
              <w:start w:w="90" w:type="dxa"/>
              <w:bottom w:w="90" w:type="dxa"/>
              <w:end w:w="90" w:type="dxa"/>
            </w:tcMar>
          </w:tcPr>
          <w:p>
            <w:pPr>
              <w:spacing w:after="0" w:line="252" w:lineRule="auto"/>
              <w:jc w:val="left"/>
            </w:pPr>
            <w:r/>
            <w:r>
              <w:rPr>
                <w:rFonts w:ascii="宋体" w:hAnsi="宋体" w:eastAsia="宋体"/>
                <w:b w:val="0"/>
                <w:sz w:val="18"/>
              </w:rPr>
              <w:t>数据库与上传文件可一致恢复。</w:t>
            </w:r>
          </w:p>
        </w:tc>
      </w:tr>
    </w:tbl>
    <w:p>
      <w:pPr>
        <w:spacing w:after="0"/>
      </w:pPr>
    </w:p>
    <w:p>
      <w:pPr>
        <w:pStyle w:val="Heading1"/>
      </w:pPr>
      <w:r>
        <w:t>4 角色分工</w:t>
      </w:r>
    </w:p>
    <w:tbl>
      <w:tblPr>
        <w:tblStyle w:val="TableGrid"/>
        <w:tblW w:type="auto" w:w="0"/>
        <w:jc w:val="center"/>
        <w:tblLayout w:type="fixed"/>
        <w:tblLook w:firstColumn="1" w:firstRow="1" w:lastColumn="0" w:lastRow="0" w:noHBand="0" w:noVBand="1" w:val="04A0"/>
      </w:tblPr>
      <w:tblGrid>
        <w:gridCol w:w="4532"/>
        <w:gridCol w:w="4532"/>
      </w:tblGrid>
      <w:tr>
        <w:trPr>
          <w:tblHeader w:val="true"/>
        </w:trPr>
        <w:tc>
          <w:tcPr>
            <w:tcW w:type="dxa" w:w="453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角色</w:t>
            </w:r>
          </w:p>
        </w:tc>
        <w:tc>
          <w:tcPr>
            <w:tcW w:type="dxa" w:w="453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职责</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项目负责人</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范围、优先级、里程碑、风险和交付协调。</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产品/需求</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场景调研、需求分析、原型确认和验收标准。</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前端开发</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页面、路由、状态管理、可视化和交互质量。</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后端开发</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API、业务服务、数据库、异常和安全边界。</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算法开发</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环境预测、风险规则、病害模型、产物和验证。</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测试人员</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用例、自动化、回归、缺陷跟踪和发布判定。</w:t>
            </w:r>
          </w:p>
        </w:tc>
      </w:tr>
      <w:tr>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文档/部署</w:t>
            </w:r>
          </w:p>
        </w:tc>
        <w:tc>
          <w:tcPr>
            <w:tcW w:type="dxa" w:w="4532"/>
            <w:vAlign w:val="center"/>
            <w:tcMar>
              <w:top w:w="90" w:type="dxa"/>
              <w:start w:w="90" w:type="dxa"/>
              <w:bottom w:w="90" w:type="dxa"/>
              <w:end w:w="90" w:type="dxa"/>
            </w:tcMar>
          </w:tcPr>
          <w:p>
            <w:pPr>
              <w:spacing w:after="0" w:line="252" w:lineRule="auto"/>
              <w:jc w:val="left"/>
            </w:pPr>
            <w:r/>
            <w:r>
              <w:rPr>
                <w:rFonts w:ascii="宋体" w:hAnsi="宋体" w:eastAsia="宋体"/>
                <w:b w:val="0"/>
                <w:sz w:val="18"/>
              </w:rPr>
              <w:t>设计文档、操作说明、部署脚本、备份和交付。</w:t>
            </w:r>
          </w:p>
        </w:tc>
      </w:tr>
    </w:tbl>
    <w:p>
      <w:pPr>
        <w:spacing w:after="0"/>
      </w:pPr>
    </w:p>
    <w:p>
      <w:pPr>
        <w:pStyle w:val="Heading1"/>
      </w:pPr>
      <w:r>
        <w:t>5 质量控制</w:t>
      </w:r>
    </w:p>
    <w:p>
      <w:pPr>
        <w:pStyle w:val="要点"/>
      </w:pPr>
      <w:r>
        <w:t>（1）需求、设计、代码、测试和文档保持双向一致。</w:t>
      </w:r>
    </w:p>
    <w:p>
      <w:pPr>
        <w:pStyle w:val="要点"/>
      </w:pPr>
      <w:r>
        <w:t>（2）每次合并前至少通过相关后端测试或前端 Lint/构建。</w:t>
      </w:r>
    </w:p>
    <w:p>
      <w:pPr>
        <w:pStyle w:val="要点"/>
      </w:pPr>
      <w:r>
        <w:t>（3）模型结果必须显示版本、状态、适用范围和人工复核边界。</w:t>
      </w:r>
    </w:p>
    <w:p>
      <w:pPr>
        <w:pStyle w:val="要点"/>
      </w:pPr>
      <w:r>
        <w:t>（4）任何跨模块闭环修改都补充集成测试。</w:t>
      </w:r>
    </w:p>
    <w:p>
      <w:pPr>
        <w:pStyle w:val="要点"/>
      </w:pPr>
      <w:r>
        <w:t>（5）发布包不得包含明文密钥、无来源生产建议或虚构数据。</w:t>
      </w:r>
    </w:p>
    <w:p>
      <w:pPr>
        <w:pStyle w:val="要点"/>
      </w:pPr>
      <w:r>
        <w:t>（6）阶段结束召开评审会议，遗留项进入下一阶段行动清单。</w:t>
      </w:r>
    </w:p>
    <w:p>
      <w:pPr>
        <w:pStyle w:val="Heading1"/>
      </w:pPr>
      <w:r>
        <w:t>6 风险管理</w:t>
      </w:r>
    </w:p>
    <w:tbl>
      <w:tblPr>
        <w:tblStyle w:val="TableGrid"/>
        <w:tblW w:type="auto" w:w="0"/>
        <w:jc w:val="center"/>
        <w:tblLayout w:type="fixed"/>
        <w:tblLook w:firstColumn="1" w:firstRow="1" w:lastColumn="0" w:lastRow="0" w:noHBand="0" w:noVBand="1" w:val="04A0"/>
      </w:tblPr>
      <w:tblGrid>
        <w:gridCol w:w="3022"/>
        <w:gridCol w:w="3022"/>
        <w:gridCol w:w="3022"/>
      </w:tblGrid>
      <w:tr>
        <w:trPr>
          <w:tblHeader w:val="true"/>
        </w:trPr>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风险</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影响</w:t>
            </w:r>
          </w:p>
        </w:tc>
        <w:tc>
          <w:tcPr>
            <w:tcW w:type="dxa" w:w="3022"/>
            <w:vAlign w:val="center"/>
            <w:tcMar>
              <w:top w:w="90" w:type="dxa"/>
              <w:start w:w="90" w:type="dxa"/>
              <w:bottom w:w="90" w:type="dxa"/>
              <w:end w:w="90" w:type="dxa"/>
            </w:tcMar>
            <w:shd w:fill="2F6B4F"/>
          </w:tcPr>
          <w:p>
            <w:pPr>
              <w:spacing w:after="0" w:line="252" w:lineRule="auto"/>
              <w:jc w:val="center"/>
            </w:pPr>
            <w:r/>
            <w:r>
              <w:rPr>
                <w:rFonts w:ascii="宋体" w:hAnsi="宋体" w:eastAsia="宋体"/>
                <w:b/>
                <w:color w:val="FFFFFF"/>
                <w:sz w:val="18"/>
              </w:rPr>
              <w:t>应对</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真实传感器数据不足</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预测和阈值验证有限。</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保留数据健康度与不足状态，逐步积累本地数据。</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模型依赖版本变化</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产物加载或结果复现风险。</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锁定依赖、记录环境、保存校验和。</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前端快速迭代引入回归</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构建失败或页面错位。</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Lint、类型检查、构建和截图回归前置。</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硬件接口差异</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设备接入成本提高。</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使用标准接入模式和适配器，不绑定品牌。</w:t>
            </w:r>
          </w:p>
        </w:tc>
      </w:tr>
      <w:tr>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农业建议被误用</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可能造成生产风险。</w:t>
            </w:r>
          </w:p>
        </w:tc>
        <w:tc>
          <w:tcPr>
            <w:tcW w:type="dxa" w:w="3022"/>
            <w:vAlign w:val="center"/>
            <w:tcMar>
              <w:top w:w="90" w:type="dxa"/>
              <w:start w:w="90" w:type="dxa"/>
              <w:bottom w:w="90" w:type="dxa"/>
              <w:end w:w="90" w:type="dxa"/>
            </w:tcMar>
          </w:tcPr>
          <w:p>
            <w:pPr>
              <w:spacing w:after="0" w:line="252" w:lineRule="auto"/>
              <w:jc w:val="left"/>
            </w:pPr>
            <w:r/>
            <w:r>
              <w:rPr>
                <w:rFonts w:ascii="宋体" w:hAnsi="宋体" w:eastAsia="宋体"/>
                <w:b w:val="0"/>
                <w:sz w:val="18"/>
              </w:rPr>
              <w:t>人工确认、安全白名单、清晰免责声明。</w:t>
            </w:r>
          </w:p>
        </w:tc>
      </w:tr>
    </w:tbl>
    <w:p>
      <w:pPr>
        <w:spacing w:after="0"/>
      </w:pPr>
    </w:p>
    <w:sectPr w:rsidR="00FC693F" w:rsidRPr="0006063C" w:rsidSect="00034616">
      <w:headerReference w:type="default" r:id="rId9"/>
      <w:footerReference w:type="default" r:id="rId10"/>
      <w:pgSz w:w="12240" w:h="15840"/>
      <w:pgMar w:top="1440" w:right="1474" w:bottom="144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666666"/>
        <w:sz w:val="18"/>
      </w:rPr>
      <w:t>棚智未来 · 工作计划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黑体" w:hAnsi="黑体" w:eastAsia="黑体"/>
      <w:b/>
      <w:bCs/>
      <w:color w:val="1F4E3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2F6B4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240" w:lineRule="auto" w:before="0"/>
      <w:contextualSpacing/>
    </w:pPr>
    <w:rPr>
      <w:rFonts w:asciiTheme="majorHAnsi" w:eastAsiaTheme="majorEastAsia" w:hAnsiTheme="majorHAnsi" w:cstheme="majorBidi" w:ascii="黑体" w:hAnsi="黑体" w:eastAsia="黑体"/>
      <w:b/>
      <w:color w:val="1F4E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spacing w:line="360" w:lineRule="auto" w:after="0"/>
      <w:ind w:firstLine="420"/>
      <w:jc w:val="both"/>
    </w:pPr>
  </w:style>
  <w:style w:type="paragraph" w:customStyle="1" w:styleId="要点">
    <w:name w:val="要点"/>
    <w:basedOn w:val="Normal"/>
    <w:pPr>
      <w:spacing w:line="360" w:lineRule="auto" w:after="0"/>
      <w:ind w:left="420" w:hanging="210"/>
    </w:pPr>
  </w:style>
  <w:style w:type="paragraph" w:customStyle="1" w:styleId="命令">
    <w:name w:val="命令"/>
    <w:basedOn w:val="Normal"/>
    <w:pPr>
      <w:spacing w:before="60" w:after="60"/>
      <w:ind w:left="4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工作计划</dc:title>
  <dc:subject>棚智未来项目阶段计划、分工与质量控制</dc:subject>
  <dc:creator>棚智未来项目组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