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棚智未来</w:t>
      </w:r>
    </w:p>
    <w:p>
      <w:pPr>
        <w:jc w:val="center"/>
      </w:pPr>
      <w:r>
        <w:rPr>
          <w:rFonts w:ascii="黑体" w:hAnsi="黑体" w:eastAsia="黑体"/>
          <w:b w:val="0"/>
          <w:color w:val="2F6B4F"/>
          <w:sz w:val="36"/>
        </w:rPr>
        <w:t>设施农业智能监测与决策平台</w:t>
      </w:r>
    </w:p>
    <w:p/>
    <w:p>
      <w:pPr>
        <w:jc w:val="center"/>
      </w:pPr>
      <w:r>
        <w:rPr>
          <w:rFonts w:ascii="黑体" w:hAnsi="黑体" w:eastAsia="黑体"/>
          <w:b/>
          <w:sz w:val="44"/>
        </w:rPr>
        <w:t>概要设计说明书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文档名称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概要设计说明书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适用系统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棚智未来 V1.9.11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文档版本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5F0EA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编制日期</w:t>
            </w:r>
          </w:p>
        </w:tc>
        <w:tc>
          <w:tcPr>
            <w:tcW w:type="dxa" w:w="4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2026年9月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目  录</w:t>
      </w:r>
    </w:p>
    <w:p>
      <w:r>
        <w:fldChar w:fldCharType="begin"/>
        <w:instrText xml:space="preserve"> TOC \o "1-3" \h \z \u </w:instrText>
        <w:fldChar w:fldCharType="separate"/>
        <w:t>目录将在打开 Word 后自动更新</w:t>
        <w:fldChar w:fldCharType="end"/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pStyle w:val="正文"/>
      </w:pPr>
      <w:r>
        <w:t>本文档依据《棚智未来系统需求分析说明书》和当前 V1.9.11 源码，对系统总体架构、模块划分、数据流、接口、部署、安全与异常处理进行概要设计，为数据库设计、详细设计、编码维护、系统测试和部署交付提供统一的技术基线。</w:t>
      </w:r>
    </w:p>
    <w:p>
      <w:pPr>
        <w:pStyle w:val="Heading2"/>
      </w:pPr>
      <w:r>
        <w:t>1.2 设计范围</w:t>
      </w:r>
    </w:p>
    <w:p>
      <w:pPr>
        <w:pStyle w:val="正文"/>
      </w:pPr>
      <w:r>
        <w:t>设计范围包括官网展示层、五个业务工作台、棚小智农业智能体、FastAPI 后端服务、环境预测与病害识别算法、SQLite 数据持久层、文件上传区和本地农业知识库。底层传感器、PLC 及执行设备不属于本系统自研范围。</w:t>
      </w:r>
    </w:p>
    <w:p>
      <w:pPr>
        <w:pStyle w:val="Heading2"/>
      </w:pPr>
      <w:r>
        <w:t>1.3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2"/>
        <w:gridCol w:w="4532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概要说明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业务闭环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围绕数据接入、监测研判、风险或病害复核、建议、任务与反馈组织模块。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前后端分离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前端负责交互与可视化，后端负责校验、业务规则、算法编排与持久化。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可解释与可追溯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模型输出保留版本、证据和置信信息，任务保留追加式事件和证据快照。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人工确认优先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系统不自动施药、不直接控制设备，高风险建议必须由人员确认。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渐进式扩展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数据接口、作物规则、算法模型和存储方案均保留替换与扩展空间。</w:t>
            </w:r>
          </w:p>
        </w:tc>
      </w:tr>
    </w:tbl>
    <w:p>
      <w:pPr>
        <w:spacing w:after="0"/>
      </w:pPr>
    </w:p>
    <w:p>
      <w:pPr>
        <w:pStyle w:val="Heading1"/>
      </w:pPr>
      <w:r>
        <w:t>2 总体架构设计</w:t>
      </w:r>
    </w:p>
    <w:p>
      <w:pPr>
        <w:pStyle w:val="Heading2"/>
      </w:pPr>
      <w:r>
        <w:t>2.1 技术架构</w:t>
      </w:r>
    </w:p>
    <w:p>
      <w:pPr>
        <w:pStyle w:val="正文"/>
      </w:pPr>
      <w:r>
        <w:t>系统采用浏览器/服务器架构和前后端分离模式。浏览器端通过 React 单页应用提供页面交互，使用 Axios 调用 REST API；FastAPI 接收请求并经 Pydantic 完成参数校验，服务层组织业务规则与事务，算法层完成预测、风险评估和图像推理，SQLAlchemy 负责对象关系映射，默认使用 SQLite 持久化结构化数据。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主要技术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核心职责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表现层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React 19、TypeScript、Ant Design、ECharts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页面路由、表单交互、状态展示、趋势图与业务操作。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接口层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FastAPI、Pydantic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REST API、请求校验、统一响应、异常映射、OpenAPI 文档。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业务服务层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服务模块、SQLAlchemy Session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大棚、数据、预警、建议、病害、任务和 AI 会话编排。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算法层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NumPy、Pandas、scikit-learn、XGBoost、PyTorch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环境预测、风险规则、ResNet18 病害辅助识别。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SQLAlchemy 2、SQLite、JSON、文件目录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业务数据、模型产物、图片附件与知识库持久化。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运行层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Vite、Uvicorn、Docker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开发构建、API 服务、静态资源托管和容器化部署。</w:t>
            </w:r>
          </w:p>
        </w:tc>
      </w:tr>
    </w:tbl>
    <w:p>
      <w:pPr>
        <w:spacing w:after="0"/>
      </w:pPr>
    </w:p>
    <w:p>
      <w:pPr>
        <w:pStyle w:val="Heading2"/>
      </w:pPr>
      <w:r>
        <w:t>2.2 逻辑分层与调用关系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调用顺序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处理节点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输入/输出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React 页面与 Zustand 状态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接收用户操作，维护当前大棚和页面状态。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Axios API 客户端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统一发送 /api 请求并解析 ApiResponse。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FastAPI Router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完成路径匹配、依赖注入和 Pydantic 校验。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Service 业务服务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执行权限边界、状态机、事务和跨模块编排。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Algorithm/ML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按需产生预测、风险、建议或识别结果。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SQLAlchemy/SQLite</w:t>
            </w:r>
          </w:p>
        </w:tc>
        <w:tc>
          <w:tcPr>
            <w:tcW w:type="dxa" w:w="49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读写业务实体、索引和约束，提交或回滚事务。</w:t>
            </w:r>
          </w:p>
        </w:tc>
      </w:tr>
    </w:tbl>
    <w:p>
      <w:pPr>
        <w:spacing w:after="0"/>
      </w:pPr>
    </w:p>
    <w:p>
      <w:pPr>
        <w:pStyle w:val="Heading2"/>
      </w:pPr>
      <w:r>
        <w:t>2.3 部署架构</w:t>
      </w:r>
    </w:p>
    <w:p>
      <w:pPr>
        <w:pStyle w:val="正文"/>
      </w:pPr>
      <w:r>
        <w:t>开发环境下，Vite 默认运行于 5173 端口，FastAPI 运行于 8000 端口，并通过 CORS 允许本地前端访问。生产环境先构建 frontend/dist，再由 FastAPI 同时托管 /assets 静态资源、/uploads 上传文件和 SPA 路由回退；数据库文件、上传目录和模型产物部署在后端可访问的持久化目录中。Docker Compose 可用于整体构建和卷持久化。</w:t>
      </w:r>
    </w:p>
    <w:p>
      <w:pPr>
        <w:pStyle w:val="Heading1"/>
      </w:pPr>
      <w:r>
        <w:t>3 功能模块概要设计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子功能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设计职责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官网展示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首页、平台介绍、核心功能、技术亮点、应用场景、项目成果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形成项目公开展示入口，与业务工作台隔离。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智慧驾驶舱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运行总览、最新环境、风险摘要、任务摘要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聚合多个服务的只读摘要，承担快速导航。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数据中心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大棚档案、种植批次、文件导入、传感器接入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管理主数据并为分析模块提供标准化环境数据。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智能研判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实时监测、历史趋势、1～6 小时预测、预警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组合历史数据、预测模型和作物规则形成可解释风险。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病害识别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图片上传、Top-3、置信度门控、人工复核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实现番茄叶片六分类辅助识别，不输出强制诊断。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生产闭环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辅助建议、任务、反馈、AgriTrace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将发现的问题转为人工任务，并记录执行与效果。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棚小智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通用问答、大棚对话、工具调用、会话历史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整合本地知识和按需业务数据，提供自然语言入口。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模型中心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预测模型和病害模型状态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展示实际模型产物、版本、验证状态和适用边界。</w:t>
            </w:r>
          </w:p>
        </w:tc>
      </w:tr>
    </w:tbl>
    <w:p>
      <w:pPr>
        <w:spacing w:after="0"/>
      </w:pPr>
    </w:p>
    <w:p>
      <w:pPr>
        <w:pStyle w:val="Heading2"/>
      </w:pPr>
      <w:r>
        <w:t>3.1 模块协作</w:t>
      </w:r>
    </w:p>
    <w:p>
      <w:pPr>
        <w:pStyle w:val="正文"/>
      </w:pPr>
      <w:r>
        <w:t>数据中心提供大棚、批次和环境主数据；智能研判读取环境数据并生成预警；决策服务依据预警生成待复核建议；生产闭环把预警、病害复核或建议转为任务；任务执行反馈反向沉淀到证据链；驾驶舱和棚小智以聚合方式读取各模块结果，不绕过业务服务直接修改底层数据。</w:t>
      </w:r>
    </w:p>
    <w:p>
      <w:pPr>
        <w:pStyle w:val="Heading1"/>
      </w:pPr>
      <w:r>
        <w:t>4 数据与接口概要设计</w:t>
      </w:r>
    </w:p>
    <w:p>
      <w:pPr>
        <w:pStyle w:val="Heading2"/>
      </w:pPr>
      <w:r>
        <w:t>4.1 数据域划分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数据域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核心实体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生产主数据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Greenhouse、CropBatch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定义数据归属、种植对象和当前生育上下文。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环境数据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SensorData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保存传感器或导入数据，按大棚与时间唯一。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研判数据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WarningEvent、DecisionRecommendation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保存风险证据、规则版本和人工复核状态。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病害数据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DiseaseRecognitionRecord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保存图片引用、Top-3、模型状态与复核结果。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任务数据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FarmTask、TaskEvent、TaskFeedback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保存任务主体、追加式状态事件和执行反馈。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会话数据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AIConversation、AIMessage、AIToolCall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保存对话上下文、消息状态和工具调用证据。</w:t>
            </w:r>
          </w:p>
        </w:tc>
      </w:tr>
    </w:tbl>
    <w:p>
      <w:pPr>
        <w:spacing w:after="0"/>
      </w:pPr>
    </w:p>
    <w:p>
      <w:pPr>
        <w:pStyle w:val="Heading2"/>
      </w:pPr>
      <w:r>
        <w:t>4.2 接口设计原则</w:t>
      </w:r>
    </w:p>
    <w:p>
      <w:pPr>
        <w:pStyle w:val="要点"/>
      </w:pPr>
      <w:r>
        <w:t>（1）所有业务接口统一位于 /api 前缀下，按资源划分 Router。</w:t>
      </w:r>
    </w:p>
    <w:p>
      <w:pPr>
        <w:pStyle w:val="要点"/>
      </w:pPr>
      <w:r>
        <w:t>（2）采用 JSON 作为主要交换格式，文件上传使用 multipart/form-data。</w:t>
      </w:r>
    </w:p>
    <w:p>
      <w:pPr>
        <w:pStyle w:val="要点"/>
      </w:pPr>
      <w:r>
        <w:t>（3）统一返回 ApiResponse，分页结果包含 items、total、page 和 page_size。</w:t>
      </w:r>
    </w:p>
    <w:p>
      <w:pPr>
        <w:pStyle w:val="要点"/>
      </w:pPr>
      <w:r>
        <w:t>（4）非法参数返回 422，资源不存在返回 404，状态冲突或重复操作返回 409。</w:t>
      </w:r>
    </w:p>
    <w:p>
      <w:pPr>
        <w:pStyle w:val="要点"/>
      </w:pPr>
      <w:r>
        <w:t>（5）设备上报接口可通过 X-Sensor-Key 鉴权，并按大棚编码定位目标。</w:t>
      </w:r>
    </w:p>
    <w:p>
      <w:pPr>
        <w:pStyle w:val="要点"/>
      </w:pPr>
      <w:r>
        <w:t>（6）前端只通过 api 目录中的封装模块访问后端，页面不直接拼接业务请求。</w:t>
      </w:r>
    </w:p>
    <w:p>
      <w:pPr>
        <w:pStyle w:val="Heading1"/>
      </w:pPr>
      <w:r>
        <w:t>5 关键业务流程设计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主要步骤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关键控制点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环境数据接入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识别来源→字段映射→质量检查→去重→入库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大棚与时间唯一；来源和质量标记必填。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风险评估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读取当前数据→生成预测→匹配作物规则→计算风险→写入预警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证据、规则版本、模型版本和校准状态可追溯。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病害识别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文件校验→图像解码→模型推理→Top-3→置信度门控→复核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限制类型、大小和像素；低置信不输出确定结论。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任务闭环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生成草稿→人工提交→分配/开始→反馈→完成或取消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状态转换受控；版本号用于并发冲突检查；事件只追加。</w:t>
            </w:r>
          </w:p>
        </w:tc>
      </w:tr>
      <w:t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问答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创建会话→识别模式→按需工具调用→组织上下文→流式响应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缺失数据明确说明；工具调用结果留痕；限制历史窗口。</w:t>
            </w:r>
          </w:p>
        </w:tc>
      </w:tr>
    </w:tbl>
    <w:p>
      <w:pPr>
        <w:spacing w:after="0"/>
      </w:pPr>
    </w:p>
    <w:p>
      <w:pPr>
        <w:pStyle w:val="Heading1"/>
      </w:pPr>
      <w:r>
        <w:t>6 安全、可靠性与扩展设计</w:t>
      </w:r>
    </w:p>
    <w:p>
      <w:pPr>
        <w:pStyle w:val="Heading2"/>
      </w:pPr>
      <w:r>
        <w:t>6.1 安全设计</w:t>
      </w:r>
    </w:p>
    <w:p>
      <w:pPr>
        <w:pStyle w:val="正文"/>
      </w:pPr>
      <w:r>
        <w:t>系统对传感器接入采用可配置密钥，对上传文件同时校验扩展名、MIME、解码格式、大小和像素数，文件名由系统重新生成。任务动作采用人工安全操作白名单，显式禁止自动施药、农药剂量和设备控制。生产数据、图片和附件应部署在受控目录，后续接入多用户时需在 Router 或 Service 层增加基于角色和数据范围的授权校验。</w:t>
      </w:r>
    </w:p>
    <w:p>
      <w:pPr>
        <w:pStyle w:val="Heading2"/>
      </w:pPr>
      <w:r>
        <w:t>6.2 可靠性设计</w:t>
      </w:r>
    </w:p>
    <w:p>
      <w:pPr>
        <w:pStyle w:val="正文"/>
      </w:pPr>
      <w:r>
        <w:t>数据库依赖以请求为单位创建并在结束时关闭；业务写操作由服务层统一提交，发生校验或约束错误时返回明确错误。模型不可用、历史数据不足或知识库未命中时采用可解释降级，不用模拟结果替代真实结果。任务证据采用快照保存，避免源数据后续变化导致历史判断无法复现。</w:t>
      </w:r>
    </w:p>
    <w:p>
      <w:pPr>
        <w:pStyle w:val="Heading2"/>
      </w:pPr>
      <w:r>
        <w:t>6.3 扩展设计</w:t>
      </w:r>
    </w:p>
    <w:p>
      <w:pPr>
        <w:pStyle w:val="正文"/>
      </w:pPr>
      <w:r>
        <w:t>环境模型通过预测服务统一封装，病害模型通过推理器读取版本化产物，作物阈值通过规则注册表管理；新增模型、作物或数据源时优先扩展适配器和注册表。SQLite 适合当前单机项目，数据规模和并发增长后可通过 DATABASE_URL 切换至 PostgreSQL 等数据库，并配套迁移工具、对象存储和异步任务队列。</w:t>
      </w:r>
    </w:p>
    <w:p>
      <w:pPr>
        <w:pStyle w:val="Heading1"/>
      </w:pPr>
      <w:r>
        <w:t>7 运行与维护设计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4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默认/说明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DATABASE_URL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数据库连接地址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 backend/data/pengzhi_future.db。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CORS_ORIGINS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允许的前端来源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默认本机 5173 端口。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SENSOR_INGEST_KEY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传感器上报密钥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为空时按部署策略处理。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AI_API_KEY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外部 AI 服务密钥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未配置时保留本地知识与状态提示。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AI_BASE_URL / AI_MODEL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AI 服务地址与模型名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通过环境变量配置。</w:t>
            </w:r>
          </w:p>
        </w:tc>
      </w:tr>
    </w:tbl>
    <w:p>
      <w:pPr>
        <w:spacing w:after="0"/>
      </w:pPr>
    </w:p>
    <w:p>
      <w:pPr>
        <w:pStyle w:val="正文"/>
      </w:pPr>
      <w:r>
        <w:t>发布前应依次执行后端测试、前端 Lint、TypeScript 构建、Vite 生产构建和模型文件检查。运行时重点监控 API 健康状态、数据库文件与上传目录容量、模型产物完整性、数据接入连续性和错误日志。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666666"/>
        <w:sz w:val="18"/>
      </w:rPr>
      <w:t>棚智未来 · 概要设计说明书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  <w:jc w:val="center"/>
    </w:pPr>
    <w:rPr>
      <w:rFonts w:asciiTheme="majorHAnsi" w:eastAsiaTheme="majorEastAsia" w:hAnsiTheme="majorHAnsi" w:cstheme="majorBidi" w:ascii="黑体" w:hAnsi="黑体" w:eastAsia="黑体"/>
      <w:b/>
      <w:color w:val="1F4E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basedOn w:val="Normal"/>
    <w:pPr>
      <w:spacing w:line="360" w:lineRule="auto" w:after="0"/>
      <w:ind w:firstLine="420"/>
      <w:jc w:val="both"/>
    </w:pPr>
  </w:style>
  <w:style w:type="paragraph" w:customStyle="1" w:styleId="要点">
    <w:name w:val="要点"/>
    <w:basedOn w:val="Normal"/>
    <w:pPr>
      <w:spacing w:line="360" w:lineRule="auto" w:after="0"/>
      <w:ind w:left="420" w:hanging="21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概要设计说明书</dc:title>
  <dc:subject>棚智未来系统总体架构与模块设计</dc:subject>
  <dc:creator>棚智未来项目组</dc:creator>
  <cp:keywords>棚智未来, 设施农业, 软件设计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