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Style w:val="Title"/>
      </w:pPr>
      <w:r>
        <w:t>棚智未来</w:t>
      </w:r>
    </w:p>
    <w:p>
      <w:pPr>
        <w:jc w:val="center"/>
      </w:pPr>
      <w:r>
        <w:rPr>
          <w:rFonts w:ascii="黑体" w:hAnsi="黑体" w:eastAsia="黑体"/>
          <w:b w:val="0"/>
          <w:color w:val="2F6B4F"/>
          <w:sz w:val="36"/>
        </w:rPr>
        <w:t>设施农业智能监测与决策平台</w:t>
      </w:r>
    </w:p>
    <w:p/>
    <w:p>
      <w:pPr>
        <w:jc w:val="center"/>
      </w:pPr>
      <w:r>
        <w:rPr>
          <w:rFonts w:ascii="黑体" w:hAnsi="黑体" w:eastAsia="黑体"/>
          <w:b/>
          <w:sz w:val="44"/>
        </w:rPr>
        <w:t>测试文档</w:t>
      </w:r>
    </w:p>
    <w:p/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2"/>
        <w:gridCol w:w="4532"/>
      </w:tblGrid>
      <w:t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5F0E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文档名称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测试文档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5F0E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适用系统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棚智未来 V1.9.11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5F0E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文档版本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V1.0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5F0E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编制日期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2026年9月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6"/>
        </w:rPr>
        <w:t>目  录</w:t>
      </w:r>
    </w:p>
    <w:p>
      <w:r>
        <w:fldChar w:fldCharType="begin"/>
        <w:instrText xml:space="preserve"> TOC \o "1-3" \h \z \u </w:instrText>
        <w:fldChar w:fldCharType="separate"/>
        <w:t>目录将在打开 Word 后自动更新</w:t>
        <w:fldChar w:fldCharType="end"/>
      </w:r>
    </w:p>
    <w:p>
      <w:r>
        <w:br w:type="page"/>
      </w:r>
    </w:p>
    <w:p>
      <w:pPr>
        <w:pStyle w:val="Heading1"/>
      </w:pPr>
      <w:r>
        <w:t>1 测试概述</w:t>
      </w:r>
    </w:p>
    <w:p>
      <w:pPr>
        <w:pStyle w:val="正文"/>
      </w:pPr>
      <w:r>
        <w:t>本测试文档用于记录棚智未来 V1.9.11 的测试范围、环境、策略、用例、执行结果、缺陷与发布判定。测试重点覆盖从数据接入到研判、识别、任务执行和 AI 问答的完整业务闭环，以及文件上传、约束冲突和模型不可用等安全边界。</w:t>
      </w:r>
    </w:p>
    <w:p>
      <w:pPr>
        <w:pStyle w:val="Heading1"/>
      </w:pPr>
      <w:r>
        <w:t>2 测试环境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2"/>
        <w:gridCol w:w="4532"/>
      </w:tblGrid>
      <w:tr>
        <w:trPr>
          <w:tblHeader w:val="true"/>
        </w:trP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测试环境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操作系统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Windows，PowerShell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Python 虚拟环境；FastAPI 0.116.1；SQLAlchemy 2.0.43；pytest 8.4.1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前端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React 19.1.1；TypeScript 5.8；Vite 7.1.3；ESLint 9.34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数据库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测试隔离数据库；生产默认 SQLite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执行日期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2026年9月20日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执行命令</w:t>
            </w:r>
          </w:p>
        </w:tc>
        <w:tc>
          <w:tcPr>
            <w:tcW w:type="dxa" w:w="4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 pytest -q；前端 npm run lint；npm run build</w:t>
            </w:r>
          </w:p>
        </w:tc>
      </w:tr>
    </w:tbl>
    <w:p>
      <w:pPr>
        <w:spacing w:after="0"/>
      </w:pPr>
    </w:p>
    <w:p>
      <w:pPr>
        <w:pStyle w:val="Heading1"/>
      </w:pPr>
      <w:r>
        <w:t>3 测试范围与策略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rPr>
          <w:tblHeader w:val="true"/>
        </w:trPr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测试类型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覆盖范围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方法</w:t>
            </w:r>
          </w:p>
        </w:tc>
      </w:tr>
      <w:tr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单元测试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风险规则、数据窗口、模型适配器、指标计算。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pytest 自动化断言。</w:t>
            </w:r>
          </w:p>
        </w:tc>
      </w:tr>
      <w:tr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API 测试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大棚、批次、环境、预测、预警、病害、任务、AI。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FastAPI TestClient + 隔离数据库。</w:t>
            </w:r>
          </w:p>
        </w:tc>
      </w:tr>
      <w:tr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集成测试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预警到任务、病害复核到任务、AI 工具调用。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跨服务和数据库验证。</w:t>
            </w:r>
          </w:p>
        </w:tc>
      </w:tr>
      <w:tr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安全测试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非法文件、路径穿越、重复图片、设备密钥、动作白名单。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恶意和边界输入。</w:t>
            </w:r>
          </w:p>
        </w:tc>
      </w:tr>
      <w:tr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静态质量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TypeScript、ESLint。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npm run lint。</w:t>
            </w:r>
          </w:p>
        </w:tc>
      </w:tr>
      <w:tr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构建测试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类型编译和 Vite 打包。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npm run build。</w:t>
            </w:r>
          </w:p>
        </w:tc>
      </w:tr>
    </w:tbl>
    <w:p>
      <w:pPr>
        <w:spacing w:after="0"/>
      </w:pPr>
    </w:p>
    <w:p>
      <w:pPr>
        <w:pStyle w:val="Heading1"/>
      </w:pPr>
      <w:r>
        <w:t>4 主要测试用例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rPr>
          <w:tblHeader w:val="true"/>
        </w:trPr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测试要点</w:t>
            </w:r>
          </w:p>
        </w:tc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预期结果</w:t>
            </w:r>
          </w:p>
        </w:tc>
      </w:tr>
      <w:tr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TC-01</w:t>
            </w:r>
          </w:p>
        </w:tc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健康检查</w:t>
            </w:r>
          </w:p>
        </w:tc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访问 /api/health。</w:t>
            </w:r>
          </w:p>
        </w:tc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返回服务、数据库和模型状态。</w:t>
            </w:r>
          </w:p>
        </w:tc>
      </w:tr>
      <w:tr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TC-02</w:t>
            </w:r>
          </w:p>
        </w:tc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大棚管理</w:t>
            </w:r>
          </w:p>
        </w:tc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创建、重复编码、非法面积。</w:t>
            </w:r>
          </w:p>
        </w:tc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成功创建；重复 409；非法 422。</w:t>
            </w:r>
          </w:p>
        </w:tc>
      </w:tr>
      <w:tr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TC-03</w:t>
            </w:r>
          </w:p>
        </w:tc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种植批次</w:t>
            </w:r>
          </w:p>
        </w:tc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同棚创建两个 growing 批次。</w:t>
            </w:r>
          </w:p>
        </w:tc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第二次操作被拒绝。</w:t>
            </w:r>
          </w:p>
        </w:tc>
      </w:tr>
      <w:tr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TC-04</w:t>
            </w:r>
          </w:p>
        </w:tc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环境数据</w:t>
            </w:r>
          </w:p>
        </w:tc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时间排序、重复记录、非法时间范围。</w:t>
            </w:r>
          </w:p>
        </w:tc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升序返回；重复跳过；非法范围 422。</w:t>
            </w:r>
          </w:p>
        </w:tc>
      </w:tr>
      <w:tr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TC-05</w:t>
            </w:r>
          </w:p>
        </w:tc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预测</w:t>
            </w:r>
          </w:p>
        </w:tc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连续历史、缺失小时、模型产物。</w:t>
            </w:r>
          </w:p>
        </w:tc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满足条件才预测；异常状态可解释。</w:t>
            </w:r>
          </w:p>
        </w:tc>
      </w:tr>
      <w:tr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TC-06</w:t>
            </w:r>
          </w:p>
        </w:tc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预警</w:t>
            </w:r>
          </w:p>
        </w:tc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阈值越界、连续触发、组合风险、生命周期。</w:t>
            </w:r>
          </w:p>
        </w:tc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风险正确升级；状态转换受控。</w:t>
            </w:r>
          </w:p>
        </w:tc>
      </w:tr>
      <w:tr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TC-07</w:t>
            </w:r>
          </w:p>
        </w:tc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病害识别</w:t>
            </w:r>
          </w:p>
        </w:tc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支持图片、超限、路径穿越、低置信、复核。</w:t>
            </w:r>
          </w:p>
        </w:tc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安全存储；非法拒绝；低置信不确诊。</w:t>
            </w:r>
          </w:p>
        </w:tc>
      </w:tr>
      <w:tr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TC-08</w:t>
            </w:r>
          </w:p>
        </w:tc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农事任务</w:t>
            </w:r>
          </w:p>
        </w:tc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创建、提交、分配、反馈、完成、取消、重开。</w:t>
            </w:r>
          </w:p>
        </w:tc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状态机、版本和追加事件正确。</w:t>
            </w:r>
          </w:p>
        </w:tc>
      </w:tr>
      <w:tr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TC-09</w:t>
            </w:r>
          </w:p>
        </w:tc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设备接入</w:t>
            </w:r>
          </w:p>
        </w:tc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有效负载与错误密钥。</w:t>
            </w:r>
          </w:p>
        </w:tc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有效写入；错误密钥被拒绝。</w:t>
            </w:r>
          </w:p>
        </w:tc>
      </w:tr>
      <w:tr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TC-10</w:t>
            </w:r>
          </w:p>
        </w:tc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棚小智</w:t>
            </w:r>
          </w:p>
        </w:tc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会话 CRUD、流式消息、工具证据、本地知识。</w:t>
            </w:r>
          </w:p>
        </w:tc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消息持久化，缺少外部密钥仍可降级。</w:t>
            </w:r>
          </w:p>
        </w:tc>
      </w:tr>
      <w:tr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TC-11</w:t>
            </w:r>
          </w:p>
        </w:tc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前端 Lint</w:t>
            </w:r>
          </w:p>
        </w:tc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执行 ESLint。</w:t>
            </w:r>
          </w:p>
        </w:tc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零错误、零阻断警告。</w:t>
            </w:r>
          </w:p>
        </w:tc>
      </w:tr>
      <w:tr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TC-12</w:t>
            </w:r>
          </w:p>
        </w:tc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生产构建</w:t>
            </w:r>
          </w:p>
        </w:tc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执行 tsc -b 与 vite build。</w:t>
            </w:r>
          </w:p>
        </w:tc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构建成功并生成 dist。</w:t>
            </w:r>
          </w:p>
        </w:tc>
      </w:tr>
    </w:tbl>
    <w:p>
      <w:pPr>
        <w:spacing w:after="0"/>
      </w:pPr>
    </w:p>
    <w:p>
      <w:pPr>
        <w:pStyle w:val="Heading1"/>
      </w:pPr>
      <w:r>
        <w:t>5 本次执行结果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rPr>
          <w:tblHeader w:val="true"/>
        </w:trPr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实际结果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判定</w:t>
            </w:r>
          </w:p>
        </w:tc>
      </w:tr>
      <w:tr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后端自动化测试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116 passed，9 warnings，用时 79.30 秒。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通过（带警告）</w:t>
            </w:r>
          </w:p>
        </w:tc>
      </w:tr>
      <w:tr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前端 ESLint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19 errors，1 warning。主要为异常空白字符、未使用变量和 Fast Refresh 警告。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未通过</w:t>
            </w:r>
          </w:p>
        </w:tc>
      </w:tr>
      <w:tr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前端生产构建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TypeScript 编译失败：JSX 命名空间缺失及 4 处未使用变量。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未通过</w:t>
            </w:r>
          </w:p>
        </w:tc>
      </w:tr>
      <w:tr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模型产物存在性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本轮未单独执行完整 verify_release.ps1，构建失败已阻断发布。</w:t>
            </w:r>
          </w:p>
        </w:tc>
        <w:tc>
          <w:tcPr>
            <w:tcW w:type="dxa" w:w="30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未完成</w:t>
            </w:r>
          </w:p>
        </w:tc>
      </w:tr>
    </w:tbl>
    <w:p>
      <w:pPr>
        <w:spacing w:after="0"/>
      </w:pPr>
    </w:p>
    <w:p>
      <w:pPr>
        <w:pStyle w:val="Heading1"/>
      </w:pPr>
      <w:r>
        <w:t>6 缺陷与风险清单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rPr>
          <w:tblHeader w:val="true"/>
        </w:trPr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级别</w:t>
            </w:r>
          </w:p>
        </w:tc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问题</w:t>
            </w:r>
          </w:p>
        </w:tc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整改建议</w:t>
            </w:r>
          </w:p>
        </w:tc>
      </w:tr>
      <w:tr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BUG-01</w:t>
            </w:r>
          </w:p>
        </w:tc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P1</w:t>
            </w:r>
          </w:p>
        </w:tc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Icon.tsx 使用 JSX.Element 时找不到 JSX 命名空间。</w:t>
            </w:r>
          </w:p>
        </w:tc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改用 React.ReactNode/React.JSX.Element 或补充正确类型导入。</w:t>
            </w:r>
          </w:p>
        </w:tc>
      </w:tr>
      <w:tr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BUG-02</w:t>
            </w:r>
          </w:p>
        </w:tc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P1</w:t>
            </w:r>
          </w:p>
        </w:tc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DiseaseDiagnosisPage 导入 Spin 但未使用。</w:t>
            </w:r>
          </w:p>
        </w:tc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移除导入或恢复对应加载状态。</w:t>
            </w:r>
          </w:p>
        </w:tc>
      </w:tr>
      <w:tr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BUG-03</w:t>
            </w:r>
          </w:p>
        </w:tc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P1</w:t>
            </w:r>
          </w:p>
        </w:tc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GreenhouseManagementPage 的 removeGreenhouse 未使用。</w:t>
            </w:r>
          </w:p>
        </w:tc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接入删除操作或移除变量。</w:t>
            </w:r>
          </w:p>
        </w:tc>
      </w:tr>
      <w:tr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BUG-04</w:t>
            </w:r>
          </w:p>
        </w:tc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P1</w:t>
            </w:r>
          </w:p>
        </w:tc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ProjectResultsPage 的 FileTextOutlined 未使用。</w:t>
            </w:r>
          </w:p>
        </w:tc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移除无效导入。</w:t>
            </w:r>
          </w:p>
        </w:tc>
      </w:tr>
      <w:tr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BUG-05</w:t>
            </w:r>
          </w:p>
        </w:tc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P1</w:t>
            </w:r>
          </w:p>
        </w:tc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FarmTaskManagementPage 的 changeGreenhouse 未使用。</w:t>
            </w:r>
          </w:p>
        </w:tc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接入切换逻辑或移除变量。</w:t>
            </w:r>
          </w:p>
        </w:tc>
      </w:tr>
      <w:tr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BUG-06</w:t>
            </w:r>
          </w:p>
        </w:tc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P2</w:t>
            </w:r>
          </w:p>
        </w:tc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多个 TSX 文件包含 ESLint 禁止的异常空白字符。</w:t>
            </w:r>
          </w:p>
        </w:tc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替换为普通空格并重新 Lint。</w:t>
            </w:r>
          </w:p>
        </w:tc>
      </w:tr>
      <w:tr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RISK-01</w:t>
            </w:r>
          </w:p>
        </w:tc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P2</w:t>
            </w:r>
          </w:p>
        </w:tc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scikit-learn 1.8.0 产物由 1.9.0 加载。</w:t>
            </w:r>
          </w:p>
        </w:tc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固定训练/推理依赖版本并重新导出模型。</w:t>
            </w:r>
          </w:p>
        </w:tc>
      </w:tr>
      <w:tr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RISK-02</w:t>
            </w:r>
          </w:p>
        </w:tc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P2</w:t>
            </w:r>
          </w:p>
        </w:tc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旧 XGBoost 序列化模型触发兼容警告。</w:t>
            </w:r>
          </w:p>
        </w:tc>
        <w:tc>
          <w:tcPr>
            <w:tcW w:type="dxa" w:w="22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使用原版本 load 后以 save_model 格式重新保存。</w:t>
            </w:r>
          </w:p>
        </w:tc>
      </w:tr>
    </w:tbl>
    <w:p>
      <w:pPr>
        <w:spacing w:after="0"/>
      </w:pPr>
    </w:p>
    <w:p>
      <w:pPr>
        <w:pStyle w:val="Heading1"/>
      </w:pPr>
      <w:r>
        <w:t>7 测试结论</w:t>
      </w:r>
    </w:p>
    <w:p>
      <w:pPr>
        <w:pStyle w:val="正文"/>
      </w:pPr>
      <w:r>
        <w:t>后端业务与算法自动化测试全部通过，说明核心 API、预测管线、风险规则、病害安全边界、任务状态机和 AI 会话具备较完整的回归保障。但前端静态检查和生产构建未通过，因此本次整体发布判定为“有条件不通过”：可继续开发和后端验证，不应将当前源码作为正式生产发布包。完成缺陷整改后必须重新执行 verify_release.ps1，并确认四个阶段全部通过。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74" w:bottom="1440" w:left="1701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b w:val="0"/>
        <w:color w:val="666666"/>
        <w:sz w:val="18"/>
      </w:rPr>
      <w:t>棚智未来 · 测试文档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4E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2F6B4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0" w:line="240" w:lineRule="auto" w:before="0"/>
      <w:contextualSpacing/>
    </w:pPr>
    <w:rPr>
      <w:rFonts w:asciiTheme="majorHAnsi" w:eastAsiaTheme="majorEastAsia" w:hAnsiTheme="majorHAnsi" w:cstheme="majorBidi" w:ascii="黑体" w:hAnsi="黑体" w:eastAsia="黑体"/>
      <w:b/>
      <w:color w:val="1F4E3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正文">
    <w:name w:val="正文"/>
    <w:basedOn w:val="Normal"/>
    <w:pPr>
      <w:spacing w:line="360" w:lineRule="auto" w:after="0"/>
      <w:ind w:firstLine="420"/>
      <w:jc w:val="both"/>
    </w:pPr>
  </w:style>
  <w:style w:type="paragraph" w:customStyle="1" w:styleId="要点">
    <w:name w:val="要点"/>
    <w:basedOn w:val="Normal"/>
    <w:pPr>
      <w:spacing w:line="360" w:lineRule="auto" w:after="0"/>
      <w:ind w:left="420" w:hanging="210"/>
    </w:pPr>
  </w:style>
  <w:style w:type="paragraph" w:customStyle="1" w:styleId="命令">
    <w:name w:val="命令"/>
    <w:basedOn w:val="Normal"/>
    <w:pPr>
      <w:spacing w:before="60" w:after="60"/>
      <w:ind w:left="42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测试文档</dc:title>
  <dc:subject>棚智未来测试方案、用例、结果与缺陷记录</dc:subject>
  <dc:creator>棚智未来项目组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