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147C" w14:textId="10A344C2" w:rsidR="008B625D" w:rsidRDefault="00000000">
      <w:pPr>
        <w:pStyle w:val="1"/>
        <w:numPr>
          <w:ilvl w:val="0"/>
          <w:numId w:val="0"/>
        </w:numPr>
        <w:spacing w:before="120" w:after="120"/>
      </w:pPr>
      <w:bookmarkStart w:id="0" w:name="_Toc13150"/>
      <w:bookmarkStart w:id="1" w:name="_Toc11383"/>
      <w:r>
        <w:rPr>
          <w:rFonts w:hint="eastAsia"/>
        </w:rPr>
        <w:t>附件一：</w:t>
      </w:r>
      <w:r w:rsidR="00334935">
        <w:rPr>
          <w:rFonts w:hint="eastAsia"/>
        </w:rPr>
        <w:t>XX</w:t>
      </w:r>
      <w:r w:rsidR="00334935">
        <w:rPr>
          <w:rFonts w:hint="eastAsia"/>
        </w:rPr>
        <w:t>系统</w:t>
      </w:r>
      <w:r>
        <w:rPr>
          <w:rFonts w:hint="eastAsia"/>
        </w:rPr>
        <w:t>定级评审意见表</w:t>
      </w:r>
      <w:bookmarkEnd w:id="0"/>
      <w:bookmarkEnd w:id="1"/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3"/>
        <w:gridCol w:w="1626"/>
        <w:gridCol w:w="1439"/>
        <w:gridCol w:w="2249"/>
      </w:tblGrid>
      <w:tr w:rsidR="008B625D" w14:paraId="66219A7F" w14:textId="77777777">
        <w:trPr>
          <w:trHeight w:val="680"/>
        </w:trPr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8019E0E" w14:textId="77777777" w:rsidR="008B625D" w:rsidRDefault="00000000">
            <w:pPr>
              <w:tabs>
                <w:tab w:val="left" w:pos="5085"/>
              </w:tabs>
              <w:spacing w:before="40" w:after="40"/>
              <w:rPr>
                <w:rFonts w:ascii="仿宋" w:eastAsia="仿宋" w:hAnsi="仿宋"/>
                <w:sz w:val="24"/>
              </w:rPr>
            </w:pPr>
            <w:bookmarkStart w:id="2" w:name="_Hlk118362919"/>
            <w:r>
              <w:rPr>
                <w:rFonts w:ascii="仿宋" w:eastAsia="仿宋" w:hAnsi="仿宋" w:hint="eastAsia"/>
                <w:sz w:val="24"/>
              </w:rPr>
              <w:t>信息系统运营、使用单位名称</w:t>
            </w:r>
          </w:p>
        </w:tc>
        <w:tc>
          <w:tcPr>
            <w:tcW w:w="5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1196417" w14:textId="2DD78012" w:rsidR="008B625D" w:rsidRDefault="00334935">
            <w:pPr>
              <w:tabs>
                <w:tab w:val="left" w:pos="5085"/>
              </w:tabs>
              <w:spacing w:before="40" w:after="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XX单位</w:t>
            </w:r>
          </w:p>
        </w:tc>
      </w:tr>
      <w:tr w:rsidR="008B625D" w14:paraId="31C21E68" w14:textId="77777777">
        <w:trPr>
          <w:trHeight w:val="680"/>
        </w:trPr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230F9AA" w14:textId="77777777" w:rsidR="008B625D" w:rsidRDefault="00000000">
            <w:pPr>
              <w:tabs>
                <w:tab w:val="left" w:pos="5085"/>
              </w:tabs>
              <w:spacing w:before="40" w:after="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项目负责人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BE6CE72" w14:textId="21405760" w:rsidR="008B625D" w:rsidRDefault="00334935">
            <w:pPr>
              <w:tabs>
                <w:tab w:val="left" w:pos="5085"/>
              </w:tabs>
              <w:spacing w:before="40" w:after="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08A9D2C" w14:textId="77777777" w:rsidR="008B625D" w:rsidRDefault="00000000">
            <w:pPr>
              <w:tabs>
                <w:tab w:val="left" w:pos="5085"/>
              </w:tabs>
              <w:spacing w:before="40" w:after="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联系电话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0BC4579" w14:textId="029AA5D5" w:rsidR="008B625D" w:rsidRDefault="00334935">
            <w:pPr>
              <w:tabs>
                <w:tab w:val="left" w:pos="5085"/>
              </w:tabs>
              <w:spacing w:before="40" w:after="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 </w:t>
            </w:r>
          </w:p>
        </w:tc>
      </w:tr>
      <w:tr w:rsidR="008B625D" w14:paraId="743DC494" w14:textId="77777777">
        <w:trPr>
          <w:trHeight w:val="680"/>
        </w:trPr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F154CDA" w14:textId="77777777" w:rsidR="008B625D" w:rsidRDefault="00000000">
            <w:pPr>
              <w:tabs>
                <w:tab w:val="left" w:pos="5085"/>
              </w:tabs>
              <w:spacing w:before="40" w:after="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信息系统名称</w:t>
            </w:r>
          </w:p>
        </w:tc>
        <w:tc>
          <w:tcPr>
            <w:tcW w:w="5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F323590" w14:textId="694AB64E" w:rsidR="008B625D" w:rsidRDefault="00334935">
            <w:pPr>
              <w:tabs>
                <w:tab w:val="left" w:pos="5085"/>
              </w:tabs>
              <w:spacing w:before="40" w:after="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</w:p>
        </w:tc>
      </w:tr>
      <w:tr w:rsidR="008B625D" w14:paraId="1AE8031E" w14:textId="77777777">
        <w:trPr>
          <w:trHeight w:val="680"/>
        </w:trPr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0AB57EF" w14:textId="77777777" w:rsidR="008B625D" w:rsidRDefault="00000000">
            <w:pPr>
              <w:tabs>
                <w:tab w:val="left" w:pos="5085"/>
              </w:tabs>
              <w:spacing w:before="40" w:after="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系统自定安全级别</w:t>
            </w:r>
          </w:p>
        </w:tc>
        <w:tc>
          <w:tcPr>
            <w:tcW w:w="5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8590A2C" w14:textId="36D0BAE2" w:rsidR="008B625D" w:rsidRPr="00170EC9" w:rsidRDefault="00334935" w:rsidP="00170EC9">
            <w:pPr>
              <w:tabs>
                <w:tab w:val="left" w:pos="5085"/>
              </w:tabs>
              <w:spacing w:before="40" w:after="40"/>
              <w:ind w:firstLineChars="200" w:firstLine="480"/>
              <w:rPr>
                <w:rFonts w:ascii="仿宋" w:eastAsia="仿宋" w:hAnsi="仿宋"/>
                <w:sz w:val="24"/>
                <w:highlight w:val="yellow"/>
              </w:rPr>
            </w:pPr>
            <w:r w:rsidRPr="00170EC9">
              <w:rPr>
                <w:rFonts w:ascii="仿宋" w:eastAsia="仿宋" w:hAnsi="仿宋" w:hint="eastAsia"/>
                <w:sz w:val="24"/>
                <w:highlight w:val="yellow"/>
              </w:rPr>
              <w:t xml:space="preserve"> </w:t>
            </w:r>
            <w:r w:rsidR="00000000" w:rsidRPr="00170EC9">
              <w:rPr>
                <w:rFonts w:ascii="仿宋" w:eastAsia="仿宋" w:hAnsi="仿宋" w:hint="eastAsia"/>
                <w:sz w:val="24"/>
                <w:highlight w:val="yellow"/>
              </w:rPr>
              <w:t>级</w:t>
            </w:r>
          </w:p>
        </w:tc>
      </w:tr>
      <w:tr w:rsidR="008B625D" w14:paraId="6FB6E2C6" w14:textId="77777777">
        <w:trPr>
          <w:trHeight w:val="680"/>
        </w:trPr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1CC5FA1" w14:textId="77777777" w:rsidR="008B625D" w:rsidRDefault="00000000">
            <w:pPr>
              <w:tabs>
                <w:tab w:val="left" w:pos="5085"/>
              </w:tabs>
              <w:spacing w:before="40" w:after="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专家评审建议级别</w:t>
            </w:r>
          </w:p>
        </w:tc>
        <w:tc>
          <w:tcPr>
            <w:tcW w:w="5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87D7324" w14:textId="009E45E6" w:rsidR="008B625D" w:rsidRPr="00170EC9" w:rsidRDefault="00000000" w:rsidP="00170EC9">
            <w:pPr>
              <w:tabs>
                <w:tab w:val="left" w:pos="5085"/>
              </w:tabs>
              <w:spacing w:before="40" w:after="40"/>
              <w:ind w:firstLineChars="300" w:firstLine="720"/>
              <w:rPr>
                <w:rFonts w:ascii="仿宋" w:eastAsia="仿宋" w:hAnsi="仿宋"/>
                <w:sz w:val="24"/>
                <w:highlight w:val="yellow"/>
              </w:rPr>
            </w:pPr>
            <w:r w:rsidRPr="00170EC9">
              <w:rPr>
                <w:rFonts w:ascii="仿宋" w:eastAsia="仿宋" w:hAnsi="仿宋" w:hint="eastAsia"/>
                <w:sz w:val="24"/>
                <w:highlight w:val="yellow"/>
              </w:rPr>
              <w:t>级</w:t>
            </w:r>
          </w:p>
        </w:tc>
      </w:tr>
      <w:tr w:rsidR="008B625D" w14:paraId="5B44E1F6" w14:textId="77777777">
        <w:trPr>
          <w:trHeight w:val="680"/>
        </w:trPr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626B6B2" w14:textId="77777777" w:rsidR="008B625D" w:rsidRDefault="00000000">
            <w:pPr>
              <w:tabs>
                <w:tab w:val="left" w:pos="5085"/>
              </w:tabs>
              <w:spacing w:before="40" w:after="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评审专家组组长</w:t>
            </w:r>
          </w:p>
        </w:tc>
        <w:tc>
          <w:tcPr>
            <w:tcW w:w="5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63BB2BE" w14:textId="77777777" w:rsidR="008B625D" w:rsidRDefault="008B625D">
            <w:pPr>
              <w:tabs>
                <w:tab w:val="left" w:pos="5085"/>
              </w:tabs>
              <w:spacing w:before="40" w:after="40"/>
              <w:rPr>
                <w:rFonts w:ascii="仿宋" w:eastAsia="仿宋" w:hAnsi="仿宋"/>
                <w:sz w:val="24"/>
              </w:rPr>
            </w:pPr>
          </w:p>
        </w:tc>
      </w:tr>
      <w:tr w:rsidR="008B625D" w14:paraId="034A5120" w14:textId="77777777">
        <w:trPr>
          <w:trHeight w:val="6795"/>
        </w:trPr>
        <w:tc>
          <w:tcPr>
            <w:tcW w:w="92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9D8A62" w14:textId="77777777" w:rsidR="008B625D" w:rsidRDefault="00000000">
            <w:pPr>
              <w:tabs>
                <w:tab w:val="left" w:pos="5085"/>
              </w:tabs>
              <w:spacing w:beforeLines="30" w:before="93"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评审专家组意见：</w:t>
            </w:r>
          </w:p>
          <w:p w14:paraId="42D2C0A5" w14:textId="05566BCA" w:rsidR="008B625D" w:rsidRDefault="00000000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2023年</w:t>
            </w:r>
            <w:r w:rsidR="00334935"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>月</w:t>
            </w:r>
            <w:r w:rsidR="00334935">
              <w:rPr>
                <w:rFonts w:ascii="仿宋" w:eastAsia="仿宋" w:hAnsi="仿宋"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</w:rPr>
              <w:t>日</w:t>
            </w:r>
            <w:r w:rsidRPr="00334935">
              <w:rPr>
                <w:rFonts w:ascii="仿宋" w:eastAsia="仿宋" w:hAnsi="仿宋" w:hint="eastAsia"/>
                <w:sz w:val="24"/>
                <w:highlight w:val="yellow"/>
              </w:rPr>
              <w:t>，</w:t>
            </w:r>
            <w:r w:rsidR="00334935" w:rsidRPr="00334935">
              <w:rPr>
                <w:rFonts w:ascii="仿宋" w:eastAsia="仿宋" w:hAnsi="仿宋"/>
                <w:sz w:val="24"/>
                <w:highlight w:val="yellow"/>
              </w:rPr>
              <w:t xml:space="preserve"> XX</w:t>
            </w:r>
            <w:r w:rsidR="00334935">
              <w:rPr>
                <w:rFonts w:ascii="仿宋" w:eastAsia="仿宋" w:hAnsi="仿宋" w:hint="eastAsia"/>
                <w:sz w:val="24"/>
                <w:highlight w:val="yellow"/>
              </w:rPr>
              <w:t>单位</w:t>
            </w:r>
            <w:r>
              <w:rPr>
                <w:rFonts w:ascii="仿宋" w:eastAsia="仿宋" w:hAnsi="仿宋" w:hint="eastAsia"/>
                <w:sz w:val="24"/>
              </w:rPr>
              <w:t>组织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省网络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安全等级保护定级评审专家</w:t>
            </w:r>
            <w:r w:rsidR="00334935" w:rsidRPr="00334935">
              <w:rPr>
                <w:rFonts w:ascii="仿宋" w:eastAsia="仿宋" w:hAnsi="仿宋"/>
                <w:sz w:val="24"/>
                <w:highlight w:val="yellow"/>
              </w:rPr>
              <w:t>XX</w:t>
            </w:r>
            <w:r w:rsidR="00334935" w:rsidRPr="00334935">
              <w:rPr>
                <w:rFonts w:ascii="仿宋" w:eastAsia="仿宋" w:hAnsi="仿宋" w:hint="eastAsia"/>
                <w:sz w:val="24"/>
                <w:highlight w:val="yellow"/>
              </w:rPr>
              <w:t>系统</w:t>
            </w:r>
            <w:r>
              <w:rPr>
                <w:rFonts w:ascii="仿宋" w:eastAsia="仿宋" w:hAnsi="仿宋" w:hint="eastAsia"/>
                <w:sz w:val="24"/>
              </w:rPr>
              <w:t>进行了网络安全等级保护定级评审。专家组听取了</w:t>
            </w:r>
            <w:r w:rsidR="00334935" w:rsidRPr="00334935">
              <w:rPr>
                <w:rFonts w:ascii="仿宋" w:eastAsia="仿宋" w:hAnsi="仿宋" w:hint="eastAsia"/>
                <w:sz w:val="24"/>
                <w:highlight w:val="yellow"/>
              </w:rPr>
              <w:t>XX单位</w:t>
            </w:r>
            <w:r>
              <w:rPr>
                <w:rFonts w:ascii="仿宋" w:eastAsia="仿宋" w:hAnsi="仿宋" w:hint="eastAsia"/>
                <w:sz w:val="24"/>
              </w:rPr>
              <w:t xml:space="preserve">对该系统情况的介绍，审议了有关材料，经质询、讨论，形成如下评审意见： </w:t>
            </w:r>
          </w:p>
          <w:p w14:paraId="2A355B46" w14:textId="77777777" w:rsidR="008B625D" w:rsidRDefault="00000000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1、提交评审的资料齐全，符合网络安全等级保护定级评审要求；</w:t>
            </w:r>
          </w:p>
          <w:p w14:paraId="5BFB6465" w14:textId="4DC98167" w:rsidR="008B625D" w:rsidRDefault="00000000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2、</w:t>
            </w:r>
            <w:r w:rsidR="00334935" w:rsidRPr="00334935">
              <w:rPr>
                <w:rFonts w:ascii="仿宋" w:eastAsia="仿宋" w:hAnsi="仿宋" w:hint="eastAsia"/>
                <w:sz w:val="24"/>
                <w:highlight w:val="yellow"/>
              </w:rPr>
              <w:t>XX系统</w:t>
            </w:r>
            <w:r>
              <w:rPr>
                <w:rFonts w:ascii="仿宋" w:eastAsia="仿宋" w:hAnsi="仿宋" w:hint="eastAsia"/>
                <w:sz w:val="24"/>
              </w:rPr>
              <w:t>部署在</w:t>
            </w:r>
            <w:r w:rsidRPr="00334935">
              <w:rPr>
                <w:rFonts w:ascii="仿宋" w:eastAsia="仿宋" w:hAnsi="仿宋" w:hint="eastAsia"/>
                <w:sz w:val="24"/>
                <w:highlight w:val="yellow"/>
              </w:rPr>
              <w:t>华东院本地机房。</w:t>
            </w:r>
            <w:r>
              <w:rPr>
                <w:rFonts w:ascii="仿宋" w:eastAsia="仿宋" w:hAnsi="仿宋" w:hint="eastAsia"/>
                <w:sz w:val="24"/>
              </w:rPr>
              <w:t>该系统网络边界清晰，具有明确的安全责任单位和信息系统的基本要素；</w:t>
            </w:r>
          </w:p>
          <w:p w14:paraId="564759F8" w14:textId="034DC851" w:rsidR="008B625D" w:rsidRDefault="00000000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3、</w:t>
            </w:r>
            <w:r w:rsidR="00334935" w:rsidRPr="00334935">
              <w:rPr>
                <w:rFonts w:ascii="仿宋" w:eastAsia="仿宋" w:hAnsi="仿宋" w:hint="eastAsia"/>
                <w:sz w:val="24"/>
                <w:highlight w:val="yellow"/>
              </w:rPr>
              <w:t>XX系统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的业务信息主要包括：</w:t>
            </w:r>
            <w:r w:rsidRPr="00334935">
              <w:rPr>
                <w:rFonts w:ascii="仿宋" w:eastAsia="仿宋" w:hAnsi="仿宋" w:hint="eastAsia"/>
                <w:color w:val="000000"/>
                <w:sz w:val="24"/>
                <w:highlight w:val="yellow"/>
              </w:rPr>
              <w:t>华东院的主项目资源信息、采购计划信息、采购方案信息、招标实施信息、合同信息等远程开标、评标信息。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业务信息遭到破坏后，所侵害的客体：</w:t>
            </w:r>
            <w:r>
              <w:rPr>
                <w:rFonts w:ascii="仿宋" w:eastAsia="仿宋" w:hAnsi="仿宋" w:hint="eastAsia"/>
                <w:sz w:val="24"/>
              </w:rPr>
              <w:t>公民、法人和其他组织的合法权益，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侵害程度：严重损害。根据《定级指南》，业务信息安全保护等级为</w:t>
            </w:r>
            <w:r w:rsidR="00334935" w:rsidRPr="00334935">
              <w:rPr>
                <w:rFonts w:ascii="仿宋" w:eastAsia="仿宋" w:hAnsi="仿宋" w:hint="eastAsia"/>
                <w:color w:val="000000"/>
                <w:sz w:val="24"/>
                <w:highlight w:val="yellow"/>
              </w:rPr>
              <w:t>X</w:t>
            </w:r>
            <w:r w:rsidRPr="00334935">
              <w:rPr>
                <w:rFonts w:ascii="仿宋" w:eastAsia="仿宋" w:hAnsi="仿宋" w:hint="eastAsia"/>
                <w:color w:val="000000"/>
                <w:sz w:val="24"/>
                <w:highlight w:val="yellow"/>
              </w:rPr>
              <w:t>级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；</w:t>
            </w:r>
          </w:p>
          <w:p w14:paraId="0A5372C9" w14:textId="5CFB94E3" w:rsidR="008B625D" w:rsidRDefault="00000000">
            <w:pPr>
              <w:spacing w:line="360" w:lineRule="auto"/>
              <w:ind w:firstLineChars="200" w:firstLine="480"/>
              <w:rPr>
                <w:rFonts w:ascii="仿宋" w:eastAsia="仿宋" w:hAnsi="仿宋"/>
                <w:spacing w:val="-10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4、</w:t>
            </w:r>
            <w:r w:rsidR="00334935" w:rsidRPr="00334935">
              <w:rPr>
                <w:rFonts w:ascii="仿宋" w:eastAsia="仿宋" w:hAnsi="仿宋" w:hint="eastAsia"/>
                <w:sz w:val="24"/>
                <w:highlight w:val="yellow"/>
              </w:rPr>
              <w:t>XX系统</w:t>
            </w:r>
            <w:r>
              <w:rPr>
                <w:rFonts w:ascii="仿宋" w:eastAsia="仿宋" w:hAnsi="仿宋" w:hint="eastAsia"/>
                <w:sz w:val="24"/>
              </w:rPr>
              <w:t>的系统服务主要包括：</w:t>
            </w:r>
            <w:r w:rsidRPr="00334935">
              <w:rPr>
                <w:rFonts w:ascii="仿宋" w:eastAsia="仿宋" w:hAnsi="仿宋" w:hint="eastAsia"/>
                <w:sz w:val="24"/>
                <w:highlight w:val="yellow"/>
              </w:rPr>
              <w:t>为华东院内部管理人员实现远程开标、评标，提供招标文件和投标文件工具端结构化数据，解决对供应商没有统一的科学管理的情况，形成完整的供应商评估体系</w:t>
            </w:r>
            <w:r>
              <w:rPr>
                <w:rFonts w:ascii="仿宋" w:eastAsia="仿宋" w:hAnsi="仿宋" w:hint="eastAsia"/>
                <w:sz w:val="24"/>
              </w:rPr>
              <w:t>。系统服务遭到破坏后，所侵害的客体：公民、法人和其他组织的合法权益，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侵害程度：严重损害。根据《定级指南》，</w:t>
            </w:r>
            <w:r>
              <w:rPr>
                <w:rFonts w:ascii="仿宋" w:eastAsia="仿宋" w:hAnsi="仿宋" w:hint="eastAsia"/>
                <w:sz w:val="24"/>
              </w:rPr>
              <w:t>系统服务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安全保护等级为</w:t>
            </w:r>
            <w:r w:rsidR="00334935" w:rsidRPr="00334935">
              <w:rPr>
                <w:rFonts w:ascii="仿宋" w:eastAsia="仿宋" w:hAnsi="仿宋" w:hint="eastAsia"/>
                <w:color w:val="000000"/>
                <w:sz w:val="24"/>
                <w:highlight w:val="yellow"/>
              </w:rPr>
              <w:t>X</w:t>
            </w:r>
            <w:r w:rsidRPr="00334935">
              <w:rPr>
                <w:rFonts w:ascii="仿宋" w:eastAsia="仿宋" w:hAnsi="仿宋" w:hint="eastAsia"/>
                <w:color w:val="000000"/>
                <w:sz w:val="24"/>
                <w:highlight w:val="yellow"/>
              </w:rPr>
              <w:t>级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；</w:t>
            </w:r>
          </w:p>
          <w:p w14:paraId="3E674DE1" w14:textId="1D39D557" w:rsidR="008B625D" w:rsidRDefault="00000000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经综合考虑上述要素，专家组讨论建议：</w:t>
            </w:r>
            <w:r w:rsidR="00334935">
              <w:rPr>
                <w:rFonts w:ascii="仿宋" w:eastAsia="仿宋" w:hAnsi="仿宋" w:hint="eastAsia"/>
                <w:sz w:val="24"/>
              </w:rPr>
              <w:t>XX系统</w:t>
            </w:r>
            <w:r>
              <w:rPr>
                <w:rFonts w:ascii="仿宋" w:eastAsia="仿宋" w:hAnsi="仿宋" w:hint="eastAsia"/>
                <w:sz w:val="24"/>
              </w:rPr>
              <w:t>网络安全保护等级为</w:t>
            </w:r>
            <w:r w:rsidR="00334935" w:rsidRPr="00334935">
              <w:rPr>
                <w:rFonts w:ascii="仿宋" w:eastAsia="仿宋" w:hAnsi="仿宋" w:hint="eastAsia"/>
                <w:sz w:val="24"/>
                <w:highlight w:val="yellow"/>
              </w:rPr>
              <w:t>X</w:t>
            </w:r>
            <w:r w:rsidRPr="00334935">
              <w:rPr>
                <w:rFonts w:ascii="仿宋" w:eastAsia="仿宋" w:hAnsi="仿宋" w:hint="eastAsia"/>
                <w:sz w:val="24"/>
                <w:highlight w:val="yellow"/>
              </w:rPr>
              <w:t>级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1C2387CF" w14:textId="77777777" w:rsidR="008B625D" w:rsidRDefault="008B625D">
            <w:pPr>
              <w:tabs>
                <w:tab w:val="left" w:pos="5085"/>
              </w:tabs>
              <w:spacing w:beforeLines="30" w:before="93" w:line="360" w:lineRule="auto"/>
              <w:rPr>
                <w:rFonts w:ascii="仿宋_GB2312" w:eastAsia="仿宋_GB2312"/>
                <w:sz w:val="24"/>
              </w:rPr>
            </w:pPr>
          </w:p>
          <w:p w14:paraId="1A1DC63A" w14:textId="77777777" w:rsidR="008B625D" w:rsidRDefault="00000000">
            <w:pPr>
              <w:spacing w:line="360" w:lineRule="auto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2023年</w:t>
            </w:r>
            <w:r w:rsidRPr="00334935">
              <w:rPr>
                <w:rFonts w:ascii="仿宋" w:eastAsia="仿宋" w:hAnsi="仿宋" w:hint="eastAsia"/>
                <w:sz w:val="24"/>
                <w:highlight w:val="yellow"/>
              </w:rPr>
              <w:t>5月12日</w:t>
            </w:r>
          </w:p>
        </w:tc>
      </w:tr>
      <w:bookmarkEnd w:id="2"/>
    </w:tbl>
    <w:p w14:paraId="5516F8FD" w14:textId="77777777" w:rsidR="008B625D" w:rsidRDefault="008B625D"/>
    <w:sectPr w:rsidR="008B625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1E28115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964"/>
        </w:tabs>
        <w:ind w:left="964" w:hanging="964"/>
      </w:pPr>
    </w:lvl>
    <w:lvl w:ilvl="4">
      <w:start w:val="1"/>
      <w:numFmt w:val="decimal"/>
      <w:lvlText w:val="%1.%2.%3.%4.%5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150990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25D"/>
    <w:rsid w:val="00170EC9"/>
    <w:rsid w:val="00334935"/>
    <w:rsid w:val="008B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85B7C"/>
  <w15:docId w15:val="{F06DCC12-5A59-4E11-8640-9B4446D4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0"/>
    <w:next w:val="a1"/>
    <w:link w:val="10"/>
    <w:uiPriority w:val="9"/>
    <w:qFormat/>
    <w:pPr>
      <w:keepNext/>
      <w:keepLines/>
      <w:numPr>
        <w:numId w:val="1"/>
      </w:numPr>
      <w:spacing w:before="340" w:after="330"/>
      <w:jc w:val="left"/>
    </w:pPr>
    <w:rPr>
      <w:rFonts w:ascii="Arial" w:hAnsi="Arial" w:cs="Arial"/>
      <w:bCs w:val="0"/>
      <w:kern w:val="44"/>
      <w:sz w:val="36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="Calibri Light" w:hAnsi="Calibri Light" w:cs="宋体"/>
      <w:b/>
      <w:bCs/>
      <w:sz w:val="32"/>
      <w:szCs w:val="32"/>
    </w:rPr>
  </w:style>
  <w:style w:type="paragraph" w:styleId="a1">
    <w:name w:val="Body Text First Indent"/>
    <w:basedOn w:val="a6"/>
    <w:link w:val="a7"/>
    <w:uiPriority w:val="99"/>
    <w:qFormat/>
    <w:pPr>
      <w:ind w:firstLineChars="100" w:firstLine="420"/>
    </w:pPr>
  </w:style>
  <w:style w:type="paragraph" w:styleId="a6">
    <w:name w:val="Body Text"/>
    <w:basedOn w:val="a"/>
    <w:link w:val="a8"/>
    <w:uiPriority w:val="99"/>
    <w:qFormat/>
    <w:pPr>
      <w:spacing w:after="120"/>
    </w:p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1">
    <w:name w:val="Char1"/>
    <w:basedOn w:val="a"/>
    <w:qFormat/>
    <w:pPr>
      <w:tabs>
        <w:tab w:val="left" w:pos="360"/>
      </w:tabs>
    </w:pPr>
  </w:style>
  <w:style w:type="character" w:styleId="ad">
    <w:name w:val="page number"/>
    <w:basedOn w:val="a2"/>
    <w:qFormat/>
    <w:rPr>
      <w:rFonts w:hint="default"/>
      <w:sz w:val="24"/>
    </w:rPr>
  </w:style>
  <w:style w:type="character" w:customStyle="1" w:styleId="ac">
    <w:name w:val="页眉 字符"/>
    <w:basedOn w:val="a2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2"/>
    <w:link w:val="1"/>
    <w:qFormat/>
    <w:rPr>
      <w:rFonts w:ascii="Arial" w:eastAsia="宋体" w:hAnsi="Arial" w:cs="Arial"/>
      <w:b/>
      <w:kern w:val="44"/>
      <w:sz w:val="36"/>
      <w:szCs w:val="44"/>
    </w:rPr>
  </w:style>
  <w:style w:type="paragraph" w:customStyle="1" w:styleId="Char10">
    <w:name w:val="Char1"/>
    <w:basedOn w:val="a"/>
    <w:qFormat/>
    <w:pPr>
      <w:tabs>
        <w:tab w:val="left" w:pos="360"/>
      </w:tabs>
    </w:pPr>
  </w:style>
  <w:style w:type="character" w:customStyle="1" w:styleId="a5">
    <w:name w:val="标题 字符"/>
    <w:basedOn w:val="a2"/>
    <w:link w:val="a0"/>
    <w:uiPriority w:val="10"/>
    <w:qFormat/>
    <w:rPr>
      <w:rFonts w:ascii="Calibri Light" w:eastAsia="宋体" w:hAnsi="Calibri Light" w:cs="宋体"/>
      <w:b/>
      <w:bCs/>
      <w:sz w:val="32"/>
      <w:szCs w:val="32"/>
    </w:rPr>
  </w:style>
  <w:style w:type="character" w:customStyle="1" w:styleId="a8">
    <w:name w:val="正文文本 字符"/>
    <w:basedOn w:val="a2"/>
    <w:link w:val="a6"/>
    <w:uiPriority w:val="99"/>
    <w:qFormat/>
    <w:rPr>
      <w:rFonts w:ascii="Calibri" w:eastAsia="宋体" w:hAnsi="Calibri" w:cs="Times New Roman"/>
      <w:szCs w:val="24"/>
    </w:rPr>
  </w:style>
  <w:style w:type="character" w:customStyle="1" w:styleId="a7">
    <w:name w:val="正文文本首行缩进 字符"/>
    <w:basedOn w:val="a8"/>
    <w:link w:val="a1"/>
    <w:uiPriority w:val="99"/>
    <w:qFormat/>
    <w:rPr>
      <w:rFonts w:ascii="Calibri" w:eastAsia="宋体" w:hAnsi="Calibri" w:cs="Times New Roman"/>
      <w:szCs w:val="24"/>
    </w:rPr>
  </w:style>
  <w:style w:type="character" w:styleId="ae">
    <w:name w:val="annotation reference"/>
    <w:basedOn w:val="a2"/>
    <w:uiPriority w:val="99"/>
    <w:rPr>
      <w:sz w:val="21"/>
      <w:szCs w:val="21"/>
    </w:rPr>
  </w:style>
  <w:style w:type="paragraph" w:styleId="af">
    <w:name w:val="annotation text"/>
    <w:basedOn w:val="a"/>
    <w:link w:val="af0"/>
    <w:uiPriority w:val="99"/>
    <w:pPr>
      <w:jc w:val="left"/>
    </w:pPr>
  </w:style>
  <w:style w:type="character" w:customStyle="1" w:styleId="af0">
    <w:name w:val="批注文字 字符"/>
    <w:basedOn w:val="a2"/>
    <w:link w:val="af"/>
    <w:uiPriority w:val="99"/>
    <w:rPr>
      <w:rFonts w:ascii="Calibri" w:hAnsi="Calibri"/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uiPriority w:val="99"/>
    <w:rPr>
      <w:b/>
      <w:bCs/>
    </w:rPr>
  </w:style>
  <w:style w:type="character" w:customStyle="1" w:styleId="af2">
    <w:name w:val="批注主题 字符"/>
    <w:basedOn w:val="af0"/>
    <w:link w:val="af1"/>
    <w:uiPriority w:val="99"/>
    <w:rPr>
      <w:rFonts w:ascii="Calibri" w:hAnsi="Calibri"/>
      <w:b/>
      <w:bCs/>
      <w:kern w:val="2"/>
      <w:sz w:val="21"/>
      <w:szCs w:val="24"/>
    </w:rPr>
  </w:style>
  <w:style w:type="paragraph" w:styleId="af3">
    <w:name w:val="Balloon Text"/>
    <w:basedOn w:val="a"/>
    <w:link w:val="af4"/>
    <w:uiPriority w:val="99"/>
    <w:rPr>
      <w:sz w:val="18"/>
      <w:szCs w:val="18"/>
    </w:rPr>
  </w:style>
  <w:style w:type="character" w:customStyle="1" w:styleId="af4">
    <w:name w:val="批注框文本 字符"/>
    <w:basedOn w:val="a2"/>
    <w:link w:val="af3"/>
    <w:uiPriority w:val="9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C50B4B-4C6B-4D0B-9E28-195613DB3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xuhangjing881010@163.com</dc:creator>
  <cp:lastModifiedBy>620062606@qq.com</cp:lastModifiedBy>
  <cp:revision>7</cp:revision>
  <cp:lastPrinted>2021-03-02T08:13:00Z</cp:lastPrinted>
  <dcterms:created xsi:type="dcterms:W3CDTF">2023-03-06T08:59:00Z</dcterms:created>
  <dcterms:modified xsi:type="dcterms:W3CDTF">2023-08-10T02:54:00Z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