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line="360" w:lineRule="auto"/>
        <w:jc w:val="center"/>
      </w:pPr>
      <w:r>
        <w:rPr>
          <w:rFonts w:ascii="Times New Roman" w:hAnsi="Times New Roman" w:cs="Times New Roman" w:eastAsia="黑体"/>
          <w:b/>
          <w:sz w:val="36"/>
        </w:rPr>
        <w:t>美股七巨头（Magnificent Seven）财务与算力研究（2020–2025，含 2026 指引与最新事件）</w:t>
      </w:r>
    </w:p>
    <w:p>
      <w:pPr>
        <w:spacing w:line="360" w:lineRule="auto" w:after="40"/>
        <w:ind w:left="420"/>
      </w:pPr>
      <w:r>
        <w:rPr>
          <w:rFonts w:ascii="Times New Roman" w:hAnsi="Times New Roman" w:cs="Times New Roman" w:eastAsia="宋体"/>
          <w:b/>
          <w:sz w:val="24"/>
        </w:rPr>
        <w:t>研究对象</w:t>
      </w:r>
      <w:r>
        <w:rPr>
          <w:rFonts w:ascii="Times New Roman" w:hAnsi="Times New Roman" w:cs="Times New Roman" w:eastAsia="宋体"/>
          <w:b w:val="0"/>
          <w:sz w:val="24"/>
        </w:rPr>
        <w:t>：美股"七巨头"（Magnificent Seven）——微软（MSFT）、苹果（AAPL）、英伟达（NVDA）、Alphabet/谷歌（GOOGL）、亚马逊（AMZN）、Meta（META）、特斯拉（TSLA）。</w:t>
      </w:r>
    </w:p>
    <w:p>
      <w:pPr>
        <w:spacing w:line="360" w:lineRule="auto" w:after="40"/>
        <w:ind w:left="420"/>
      </w:pPr>
      <w:r>
        <w:rPr>
          <w:rFonts w:ascii="Times New Roman" w:hAnsi="Times New Roman" w:cs="Times New Roman" w:eastAsia="宋体"/>
          <w:b w:val="0"/>
          <w:sz w:val="24"/>
        </w:rPr>
        <w:t xml:space="preserve">⚠️ </w:t>
      </w:r>
      <w:r>
        <w:rPr>
          <w:rFonts w:ascii="Times New Roman" w:hAnsi="Times New Roman" w:cs="Times New Roman" w:eastAsia="宋体"/>
          <w:b/>
          <w:sz w:val="24"/>
        </w:rPr>
        <w:t>样本框说明（重要，避免以偏概全）</w:t>
      </w:r>
      <w:r>
        <w:rPr>
          <w:rFonts w:ascii="Times New Roman" w:hAnsi="Times New Roman" w:cs="Times New Roman" w:eastAsia="宋体"/>
          <w:b w:val="0"/>
          <w:sz w:val="24"/>
        </w:rPr>
        <w:t>：本组按</w:t>
      </w:r>
      <w:r>
        <w:rPr>
          <w:rFonts w:ascii="Times New Roman" w:hAnsi="Times New Roman" w:cs="Times New Roman" w:eastAsia="宋体"/>
          <w:b/>
          <w:sz w:val="24"/>
        </w:rPr>
        <w:t>市值</w:t>
      </w:r>
      <w:r>
        <w:rPr>
          <w:rFonts w:ascii="Times New Roman" w:hAnsi="Times New Roman" w:cs="Times New Roman" w:eastAsia="宋体"/>
          <w:b w:val="0"/>
          <w:sz w:val="24"/>
        </w:rPr>
        <w:t>选取（Magnificent Seven），</w:t>
      </w:r>
      <w:r>
        <w:rPr>
          <w:rFonts w:ascii="Times New Roman" w:hAnsi="Times New Roman" w:cs="Times New Roman" w:eastAsia="宋体"/>
          <w:b/>
          <w:sz w:val="24"/>
        </w:rPr>
        <w:t>并非按"AI 投入/算力"选取</w:t>
      </w:r>
      <w:r>
        <w:rPr>
          <w:rFonts w:ascii="Times New Roman" w:hAnsi="Times New Roman" w:cs="Times New Roman" w:eastAsia="宋体"/>
          <w:b w:val="0"/>
          <w:sz w:val="24"/>
        </w:rPr>
        <w:t>。故苹果、特斯拉虽入选、其 AI capex 却很小；而 2025 数据中心军备竞赛中的重要</w:t>
      </w:r>
      <w:r>
        <w:rPr>
          <w:rFonts w:ascii="Times New Roman" w:hAnsi="Times New Roman" w:cs="Times New Roman" w:eastAsia="宋体"/>
          <w:b/>
          <w:sz w:val="24"/>
        </w:rPr>
        <w:t>非上市/纯 AI 基建</w:t>
      </w:r>
      <w:r>
        <w:rPr>
          <w:rFonts w:ascii="Times New Roman" w:hAnsi="Times New Roman" w:cs="Times New Roman" w:eastAsia="宋体"/>
          <w:b w:val="0"/>
          <w:sz w:val="24"/>
        </w:rPr>
        <w:t>玩家（OpenAI、Oracle/OCI、CoreWeave、xAI、字节跳动等）</w:t>
      </w:r>
      <w:r>
        <w:rPr>
          <w:rFonts w:ascii="Times New Roman" w:hAnsi="Times New Roman" w:cs="Times New Roman" w:eastAsia="宋体"/>
          <w:b/>
          <w:sz w:val="24"/>
        </w:rPr>
        <w:t>不在本样本内</w:t>
      </w:r>
      <w:r>
        <w:rPr>
          <w:rFonts w:ascii="Times New Roman" w:hAnsi="Times New Roman" w:cs="Times New Roman" w:eastAsia="宋体"/>
          <w:b w:val="0"/>
          <w:sz w:val="24"/>
        </w:rPr>
        <w:t>。因此本报告刻画的是"</w:t>
      </w:r>
      <w:r>
        <w:rPr>
          <w:rFonts w:ascii="Times New Roman" w:hAnsi="Times New Roman" w:cs="Times New Roman" w:eastAsia="宋体"/>
          <w:b/>
          <w:sz w:val="24"/>
        </w:rPr>
        <w:t>拥有超大经营现金流的上市平台自筹 AI 基建</w:t>
      </w:r>
      <w:r>
        <w:rPr>
          <w:rFonts w:ascii="Times New Roman" w:hAnsi="Times New Roman" w:cs="Times New Roman" w:eastAsia="宋体"/>
          <w:b w:val="0"/>
          <w:sz w:val="24"/>
        </w:rPr>
        <w:t>"这一子集，而非完整 AI 算力格局——请据此理解结论的边界。</w:t>
      </w:r>
    </w:p>
    <w:p>
      <w:pPr>
        <w:spacing w:line="360" w:lineRule="auto" w:after="40"/>
        <w:ind w:left="420"/>
      </w:pPr>
      <w:r>
        <w:rPr>
          <w:rFonts w:ascii="Times New Roman" w:hAnsi="Times New Roman" w:cs="Times New Roman" w:eastAsia="宋体"/>
          <w:b/>
          <w:sz w:val="24"/>
        </w:rPr>
        <w:t>覆盖维度</w:t>
      </w:r>
      <w:r>
        <w:rPr>
          <w:rFonts w:ascii="Times New Roman" w:hAnsi="Times New Roman" w:cs="Times New Roman" w:eastAsia="宋体"/>
          <w:b w:val="0"/>
          <w:sz w:val="24"/>
        </w:rPr>
        <w:t>：①市值变化 ②资本性开支（CapEx）③用于数据中心建设的资本性开支 ④融资额（债/股细分）⑤超算/算力能力</w:t>
      </w:r>
    </w:p>
    <w:p>
      <w:pPr>
        <w:spacing w:line="360" w:lineRule="auto" w:after="40"/>
        <w:ind w:left="420"/>
      </w:pPr>
      <w:r>
        <w:rPr>
          <w:rFonts w:ascii="Times New Roman" w:hAnsi="Times New Roman" w:cs="Times New Roman" w:eastAsia="宋体"/>
          <w:b/>
          <w:sz w:val="24"/>
        </w:rPr>
        <w:t>报告日期</w:t>
      </w:r>
      <w:r>
        <w:rPr>
          <w:rFonts w:ascii="Times New Roman" w:hAnsi="Times New Roman" w:cs="Times New Roman" w:eastAsia="宋体"/>
          <w:b w:val="0"/>
          <w:sz w:val="24"/>
        </w:rPr>
        <w:t>：2026-06-26</w:t>
      </w:r>
    </w:p>
    <w:p>
      <w:pPr>
        <w:spacing w:line="360" w:lineRule="auto" w:after="40"/>
        <w:ind w:left="420"/>
      </w:pPr>
      <w:r>
        <w:rPr>
          <w:rFonts w:ascii="Times New Roman" w:hAnsi="Times New Roman" w:cs="Times New Roman" w:eastAsia="宋体"/>
          <w:b/>
          <w:sz w:val="24"/>
        </w:rPr>
        <w:t>作者</w:t>
      </w:r>
      <w:r>
        <w:rPr>
          <w:rFonts w:ascii="Times New Roman" w:hAnsi="Times New Roman" w:cs="Times New Roman" w:eastAsia="宋体"/>
          <w:b w:val="0"/>
          <w:sz w:val="24"/>
        </w:rPr>
        <w:t>：财经助手（基于公开来源整理）</w:t>
      </w:r>
    </w:p>
    <w:p>
      <w:pPr>
        <w:pBdr>
          <w:bottom w:val="single" w:sz="6" w:space="1" w:color="AAAAAA"/>
        </w:pBdr>
        <w:spacing w:after="80"/>
      </w:pPr>
    </w:p>
    <w:p>
      <w:pPr>
        <w:spacing w:before="240" w:after="120" w:line="360" w:lineRule="auto"/>
      </w:pPr>
      <w:r>
        <w:rPr>
          <w:rFonts w:ascii="Times New Roman" w:hAnsi="Times New Roman" w:cs="Times New Roman" w:eastAsia="黑体"/>
          <w:b/>
          <w:sz w:val="32"/>
        </w:rPr>
        <w:t>⚠️ 关于数据核实方法与可信度标注的重要说明（请先阅读）</w:t>
      </w:r>
    </w:p>
    <w:p>
      <w:pPr>
        <w:spacing w:line="360" w:lineRule="auto" w:after="40"/>
        <w:ind w:firstLine="480"/>
      </w:pPr>
      <w:r>
        <w:rPr>
          <w:rFonts w:ascii="Times New Roman" w:hAnsi="Times New Roman" w:cs="Times New Roman" w:eastAsia="宋体"/>
          <w:b w:val="0"/>
          <w:sz w:val="24"/>
        </w:rPr>
        <w:t>本报告严格遵循"不编造、每个数字附外部来源、标注核实状态"的要求。核实分级定义如下：</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【已核实】</w:t>
      </w:r>
      <w:r>
        <w:rPr>
          <w:rFonts w:ascii="Times New Roman" w:hAnsi="Times New Roman" w:cs="Times New Roman" w:eastAsia="宋体"/>
          <w:b w:val="0"/>
          <w:sz w:val="24"/>
        </w:rPr>
        <w:t>：该数字在本次研究中由</w:t>
      </w:r>
      <w:r>
        <w:rPr>
          <w:rFonts w:ascii="Times New Roman" w:hAnsi="Times New Roman" w:cs="Times New Roman" w:eastAsia="宋体"/>
          <w:b/>
          <w:sz w:val="24"/>
        </w:rPr>
        <w:t>权威来源</w:t>
      </w:r>
      <w:r>
        <w:rPr>
          <w:rFonts w:ascii="Times New Roman" w:hAnsi="Times New Roman" w:cs="Times New Roman" w:eastAsia="宋体"/>
          <w:b w:val="0"/>
          <w:sz w:val="24"/>
        </w:rPr>
        <w:t>（公司SEC文件、公司财报新闻稿、Top500官方榜单等）或</w:t>
      </w:r>
      <w:r>
        <w:rPr>
          <w:rFonts w:ascii="Times New Roman" w:hAnsi="Times New Roman" w:cs="Times New Roman" w:eastAsia="宋体"/>
          <w:b/>
          <w:sz w:val="24"/>
        </w:rPr>
        <w:t>多个相互独立且数值一致的可信财经数据源</w:t>
      </w:r>
      <w:r>
        <w:rPr>
          <w:rFonts w:ascii="Times New Roman" w:hAnsi="Times New Roman" w:cs="Times New Roman" w:eastAsia="宋体"/>
          <w:b w:val="0"/>
          <w:sz w:val="24"/>
        </w:rPr>
        <w:t>确认，可信度最高。</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【来源待核实】</w:t>
      </w:r>
      <w:r>
        <w:rPr>
          <w:rFonts w:ascii="Times New Roman" w:hAnsi="Times New Roman" w:cs="Times New Roman" w:eastAsia="宋体"/>
          <w:b w:val="0"/>
          <w:sz w:val="24"/>
        </w:rPr>
        <w:t>：该数字存在以下一种或多种情况——①仅单一来源/二手聚合站点；②口径差异（如"购置不动产与设备" vs "含融资租赁本金的资本开支" vs "净额"）导致各源数字不同；③属于预测/估算值；④时效性强、可能随后续披露修订；⑤本次因网络出口策略限制</w:t>
      </w:r>
      <w:r>
        <w:rPr>
          <w:rFonts w:ascii="Times New Roman" w:hAnsi="Times New Roman" w:cs="Times New Roman" w:eastAsia="宋体"/>
          <w:b/>
          <w:sz w:val="24"/>
        </w:rPr>
        <w:t>无法直连一手SEC源逐项复核</w:t>
      </w:r>
      <w:r>
        <w:rPr>
          <w:rFonts w:ascii="Times New Roman" w:hAnsi="Times New Roman" w:cs="Times New Roman" w:eastAsia="宋体"/>
          <w:b w:val="0"/>
          <w:sz w:val="24"/>
        </w:rPr>
        <w:t>。</w:t>
      </w:r>
    </w:p>
    <w:p>
      <w:pPr>
        <w:spacing w:line="360" w:lineRule="auto" w:after="40"/>
        <w:ind w:firstLine="480"/>
      </w:pPr>
      <w:r>
        <w:rPr>
          <w:rFonts w:ascii="Times New Roman" w:hAnsi="Times New Roman" w:cs="Times New Roman" w:eastAsia="宋体"/>
          <w:b/>
          <w:sz w:val="24"/>
        </w:rPr>
        <w:t>关于本次研究的工具限制（须如实告知）</w:t>
      </w:r>
      <w:r>
        <w:rPr>
          <w:rFonts w:ascii="Times New Roman" w:hAnsi="Times New Roman" w:cs="Times New Roman" w:eastAsia="宋体"/>
          <w:b w:val="0"/>
          <w:sz w:val="24"/>
        </w:rPr>
        <w:t>：本次环境的网络出口策略</w:t>
      </w:r>
      <w:r>
        <w:rPr>
          <w:rFonts w:ascii="Times New Roman" w:hAnsi="Times New Roman" w:cs="Times New Roman" w:eastAsia="宋体"/>
          <w:b/>
          <w:sz w:val="24"/>
        </w:rPr>
        <w:t>屏蔽了对 data.sec.gov、macrotrends.net、stockanalysis.com、companiesmarketcap.com 等站点的直接抓取</w:t>
      </w:r>
      <w:r>
        <w:rPr>
          <w:rFonts w:ascii="Times New Roman" w:hAnsi="Times New Roman" w:cs="Times New Roman" w:eastAsia="宋体"/>
          <w:b w:val="0"/>
          <w:sz w:val="24"/>
        </w:rPr>
        <w:t>（返回403），因此</w:t>
      </w:r>
      <w:r>
        <w:rPr>
          <w:rFonts w:ascii="Times New Roman" w:hAnsi="Times New Roman" w:cs="Times New Roman" w:eastAsia="宋体"/>
          <w:b/>
          <w:sz w:val="24"/>
        </w:rPr>
        <w:t>未能逐字段打开一手10-K/10-Q原文交叉核对</w:t>
      </w:r>
      <w:r>
        <w:rPr>
          <w:rFonts w:ascii="Times New Roman" w:hAnsi="Times New Roman" w:cs="Times New Roman" w:eastAsia="宋体"/>
          <w:b w:val="0"/>
          <w:sz w:val="24"/>
        </w:rPr>
        <w:t>。下列"已核实"项依据的是搜索引擎返回的、引用自SEC文件与公司新闻稿的一致性结果，以及多源交叉验证。</w:t>
      </w:r>
      <w:r>
        <w:rPr>
          <w:rFonts w:ascii="Times New Roman" w:hAnsi="Times New Roman" w:cs="Times New Roman" w:eastAsia="宋体"/>
          <w:b/>
          <w:sz w:val="24"/>
        </w:rPr>
        <w:t>建议使用者在做投资/决策前，按文末"一手来源清单"打开SEC EDGAR原文做最终复核。</w:t>
      </w:r>
    </w:p>
    <w:p>
      <w:pPr>
        <w:spacing w:line="360" w:lineRule="auto" w:after="40"/>
        <w:ind w:left="420"/>
      </w:pPr>
      <w:r>
        <w:rPr>
          <w:rFonts w:ascii="Times New Roman" w:hAnsi="Times New Roman" w:cs="Times New Roman" w:eastAsia="宋体"/>
          <w:b/>
          <w:sz w:val="24"/>
        </w:rPr>
        <w:t>📌 定稿更新（核实进度）</w:t>
      </w:r>
      <w:r>
        <w:rPr>
          <w:rFonts w:ascii="Times New Roman" w:hAnsi="Times New Roman" w:cs="Times New Roman" w:eastAsia="宋体"/>
          <w:b w:val="0"/>
          <w:sz w:val="24"/>
        </w:rPr>
        <w:t>：经使用者协助逐家调取 10-K，</w:t>
      </w:r>
      <w:r>
        <w:rPr>
          <w:rFonts w:ascii="Times New Roman" w:hAnsi="Times New Roman" w:cs="Times New Roman" w:eastAsia="宋体"/>
          <w:b/>
          <w:sz w:val="24"/>
        </w:rPr>
        <w:t>第二节"资本性开支"七家公司 2020–2025 已全部以一手 10-K 现金流量表逐行核实</w:t>
      </w:r>
      <w:r>
        <w:rPr>
          <w:rFonts w:ascii="Times New Roman" w:hAnsi="Times New Roman" w:cs="Times New Roman" w:eastAsia="宋体"/>
          <w:b w:val="0"/>
          <w:sz w:val="24"/>
        </w:rPr>
        <w:t>（2020–2022 取自各公司 FY2022 10-K、2023–2025 取自 FY2025 10-K，明细见 §2.2b）。</w:t>
      </w:r>
      <w:r>
        <w:rPr>
          <w:rFonts w:ascii="Times New Roman" w:hAnsi="Times New Roman" w:cs="Times New Roman" w:eastAsia="宋体"/>
          <w:b/>
          <w:sz w:val="24"/>
        </w:rPr>
        <w:t>第一节"市值"已由使用者对照 companiesmarketcap 年末表核定为【已核实（市场数据源，总市值口径）】</w:t>
      </w:r>
      <w:r>
        <w:rPr>
          <w:rFonts w:ascii="Times New Roman" w:hAnsi="Times New Roman" w:cs="Times New Roman" w:eastAsia="宋体"/>
          <w:b w:val="0"/>
          <w:sz w:val="24"/>
        </w:rPr>
        <w:t>（市值系市场指标、非 SEC 申报项，见该节说明）。第三节"数据中心 CapEx"：亚马逊有 AWS 官方 10-K 拆分（已核实），其余采用 Platformonomics 分析师逐年估算（方向性，含日历年/含租赁口径，详见该节口径警示）。第四节"融资"（债务发行 / 存量债务 / 股票回购）已</w:t>
      </w:r>
      <w:r>
        <w:rPr>
          <w:rFonts w:ascii="Times New Roman" w:hAnsi="Times New Roman" w:cs="Times New Roman" w:eastAsia="宋体"/>
          <w:b/>
          <w:sz w:val="24"/>
        </w:rPr>
        <w:t>基本全部由一手 10-K / SEC 8-K / 424B 募集书核实</w:t>
      </w:r>
      <w:r>
        <w:rPr>
          <w:rFonts w:ascii="Times New Roman" w:hAnsi="Times New Roman" w:cs="Times New Roman" w:eastAsia="宋体"/>
          <w:b w:val="0"/>
          <w:sz w:val="24"/>
        </w:rPr>
        <w:t>（含 §4.8 七家回购汇总表）。第五节"算力"核心集群与规格已由</w:t>
      </w:r>
      <w:r>
        <w:rPr>
          <w:rFonts w:ascii="Times New Roman" w:hAnsi="Times New Roman" w:cs="Times New Roman" w:eastAsia="宋体"/>
          <w:b/>
          <w:sz w:val="24"/>
        </w:rPr>
        <w:t>公司官方公告 / Top500 官方</w:t>
      </w:r>
      <w:r>
        <w:rPr>
          <w:rFonts w:ascii="Times New Roman" w:hAnsi="Times New Roman" w:cs="Times New Roman" w:eastAsia="宋体"/>
          <w:b w:val="0"/>
          <w:sz w:val="24"/>
        </w:rPr>
        <w:t>核实，少量前瞻规划或媒体推算项仍标【来源待核实】。</w:t>
      </w:r>
    </w:p>
    <w:p>
      <w:pPr>
        <w:spacing w:line="360" w:lineRule="auto" w:after="40"/>
        <w:ind w:left="420"/>
      </w:pPr>
      <w:r>
        <w:rPr>
          <w:rFonts w:ascii="Times New Roman" w:hAnsi="Times New Roman" w:cs="Times New Roman" w:eastAsia="宋体"/>
          <w:b/>
          <w:sz w:val="24"/>
        </w:rPr>
        <w:t>⚠️ 关于"一手10-K 已核实"的可复现性（诚信声明）</w:t>
      </w:r>
      <w:r>
        <w:rPr>
          <w:rFonts w:ascii="Times New Roman" w:hAnsi="Times New Roman" w:cs="Times New Roman" w:eastAsia="宋体"/>
          <w:b w:val="0"/>
          <w:sz w:val="24"/>
        </w:rPr>
        <w:t>：因本环境无法直连 SEC/数据站（返回 403），所有"一手 10-K 已核实"数字系</w:t>
      </w:r>
      <w:r>
        <w:rPr>
          <w:rFonts w:ascii="Times New Roman" w:hAnsi="Times New Roman" w:cs="Times New Roman" w:eastAsia="宋体"/>
          <w:b/>
          <w:sz w:val="24"/>
        </w:rPr>
        <w:t>使用者手动截取/录入</w:t>
      </w:r>
      <w:r>
        <w:rPr>
          <w:rFonts w:ascii="Times New Roman" w:hAnsi="Times New Roman" w:cs="Times New Roman" w:eastAsia="宋体"/>
          <w:b w:val="0"/>
          <w:sz w:val="24"/>
        </w:rPr>
        <w:t>——文档</w:t>
      </w:r>
      <w:r>
        <w:rPr>
          <w:rFonts w:ascii="Times New Roman" w:hAnsi="Times New Roman" w:cs="Times New Roman" w:eastAsia="宋体"/>
          <w:b/>
          <w:sz w:val="24"/>
        </w:rPr>
        <w:t>未附截图、页码或 accession number</w:t>
      </w:r>
      <w:r>
        <w:rPr>
          <w:rFonts w:ascii="Times New Roman" w:hAnsi="Times New Roman" w:cs="Times New Roman" w:eastAsia="宋体"/>
          <w:b w:val="0"/>
          <w:sz w:val="24"/>
        </w:rPr>
        <w:t>，故此类"已核实"</w:t>
      </w:r>
      <w:r>
        <w:rPr>
          <w:rFonts w:ascii="Times New Roman" w:hAnsi="Times New Roman" w:cs="Times New Roman" w:eastAsia="宋体"/>
          <w:b/>
          <w:sz w:val="24"/>
        </w:rPr>
        <w:t>不可由第三方独立复现</w:t>
      </w:r>
      <w:r>
        <w:rPr>
          <w:rFonts w:ascii="Times New Roman" w:hAnsi="Times New Roman" w:cs="Times New Roman" w:eastAsia="宋体"/>
          <w:b w:val="0"/>
          <w:sz w:val="24"/>
        </w:rPr>
        <w:t>：它表示"作者已与使用者对照过一手文件"，而</w:t>
      </w:r>
      <w:r>
        <w:rPr>
          <w:rFonts w:ascii="Times New Roman" w:hAnsi="Times New Roman" w:cs="Times New Roman" w:eastAsia="宋体"/>
          <w:b/>
          <w:sz w:val="24"/>
        </w:rPr>
        <w:t>不等于</w:t>
      </w:r>
      <w:r>
        <w:rPr>
          <w:rFonts w:ascii="Times New Roman" w:hAnsi="Times New Roman" w:cs="Times New Roman" w:eastAsia="宋体"/>
          <w:b w:val="0"/>
          <w:sz w:val="24"/>
        </w:rPr>
        <w:t>已附可审计凭证。读者若需复现，请按 §7 各公司 CIK 自行调取对应 10-K 的现金流量表/权益变动表逐行核对。</w:t>
      </w:r>
    </w:p>
    <w:p>
      <w:pPr>
        <w:spacing w:line="360" w:lineRule="auto" w:after="40"/>
        <w:ind w:firstLine="480"/>
      </w:pPr>
      <w:r>
        <w:rPr>
          <w:rFonts w:ascii="Times New Roman" w:hAnsi="Times New Roman" w:cs="Times New Roman" w:eastAsia="宋体"/>
          <w:b/>
          <w:sz w:val="24"/>
        </w:rPr>
        <w:t>口径统一说明</w:t>
      </w:r>
      <w:r>
        <w:rPr>
          <w:rFonts w:ascii="Times New Roman" w:hAnsi="Times New Roman" w:cs="Times New Roman" w:eastAsia="宋体"/>
          <w:b w:val="0"/>
          <w:sz w:val="24"/>
        </w:rPr>
        <w:t>：除特别注明外，资本性开支采用现金流量表"购置不动产、厂房及设备/Additions to property and equipment"口径。Meta、微软、亚马逊另有"含融资租赁本金"的更大口径，已在表内注明。各公司财年不同（微软财年止于6/30，苹果止于9月最后一个周六，英伟达止于1月最后一个周日，其余为日历年），表中已标注。</w:t>
      </w:r>
    </w:p>
    <w:p>
      <w:pPr>
        <w:pBdr>
          <w:bottom w:val="single" w:sz="6" w:space="1" w:color="AAAAAA"/>
        </w:pBdr>
        <w:spacing w:after="80"/>
      </w:pPr>
    </w:p>
    <w:p>
      <w:pPr>
        <w:spacing w:before="240" w:after="120" w:line="360" w:lineRule="auto"/>
      </w:pPr>
      <w:r>
        <w:rPr>
          <w:rFonts w:ascii="Times New Roman" w:hAnsi="Times New Roman" w:cs="Times New Roman" w:eastAsia="黑体"/>
          <w:b/>
          <w:sz w:val="32"/>
        </w:rPr>
        <w:t>一、市值变化（2020–2025 年末，单位：万亿美元）</w:t>
      </w:r>
    </w:p>
    <w:p>
      <w:pPr>
        <w:spacing w:line="360" w:lineRule="auto" w:after="40"/>
        <w:ind w:left="420"/>
      </w:pPr>
      <w:r>
        <w:rPr>
          <w:rFonts w:ascii="Times New Roman" w:hAnsi="Times New Roman" w:cs="Times New Roman" w:eastAsia="宋体"/>
          <w:b/>
          <w:sz w:val="24"/>
        </w:rPr>
        <w:t>口径与来源说明</w:t>
      </w:r>
      <w:r>
        <w:rPr>
          <w:rFonts w:ascii="Times New Roman" w:hAnsi="Times New Roman" w:cs="Times New Roman" w:eastAsia="宋体"/>
          <w:b w:val="0"/>
          <w:sz w:val="24"/>
        </w:rPr>
        <w:t xml:space="preserve">：各年 </w:t>
      </w:r>
      <w:r>
        <w:rPr>
          <w:rFonts w:ascii="Times New Roman" w:hAnsi="Times New Roman" w:cs="Times New Roman" w:eastAsia="宋体"/>
          <w:b/>
          <w:sz w:val="24"/>
        </w:rPr>
        <w:t>12月31日（或当年最后交易日）收盘市值</w:t>
      </w:r>
      <w:r>
        <w:rPr>
          <w:rFonts w:ascii="Times New Roman" w:hAnsi="Times New Roman" w:cs="Times New Roman" w:eastAsia="宋体"/>
          <w:b w:val="0"/>
          <w:sz w:val="24"/>
        </w:rPr>
        <w:t>，含全部股类，单位万亿美元。</w:t>
      </w:r>
    </w:p>
    <w:p>
      <w:pPr>
        <w:spacing w:line="360" w:lineRule="auto" w:after="40"/>
        <w:ind w:left="420"/>
      </w:pPr>
      <w:r>
        <w:rPr>
          <w:rFonts w:ascii="Times New Roman" w:hAnsi="Times New Roman" w:cs="Times New Roman" w:eastAsia="宋体"/>
          <w:b/>
          <w:sz w:val="24"/>
        </w:rPr>
        <w:t>⚠️ 重要：市值不是 SEC 申报项。</w:t>
      </w:r>
      <w:r>
        <w:rPr>
          <w:rFonts w:ascii="Times New Roman" w:hAnsi="Times New Roman" w:cs="Times New Roman" w:eastAsia="宋体"/>
          <w:b w:val="0"/>
          <w:sz w:val="24"/>
        </w:rPr>
        <w:t xml:space="preserve"> 市值 = 股价 × 股数，而股价是</w:t>
      </w:r>
      <w:r>
        <w:rPr>
          <w:rFonts w:ascii="Times New Roman" w:hAnsi="Times New Roman" w:cs="Times New Roman" w:eastAsia="宋体"/>
          <w:b/>
          <w:sz w:val="24"/>
        </w:rPr>
        <w:t>市场数据、非公司申报数据</w:t>
      </w:r>
      <w:r>
        <w:rPr>
          <w:rFonts w:ascii="Times New Roman" w:hAnsi="Times New Roman" w:cs="Times New Roman" w:eastAsia="宋体"/>
          <w:b w:val="0"/>
          <w:sz w:val="24"/>
        </w:rPr>
        <w:t>，故公司 10-K 中并无"市值"（10-K 封面的"non-affiliates 持股市值"仅为某一特定日的非关联方部分，不能用作年末市值）。因此本节</w:t>
      </w:r>
      <w:r>
        <w:rPr>
          <w:rFonts w:ascii="Times New Roman" w:hAnsi="Times New Roman" w:cs="Times New Roman" w:eastAsia="宋体"/>
          <w:b/>
          <w:sz w:val="24"/>
        </w:rPr>
        <w:t>采用市场数据源</w:t>
      </w:r>
      <w:r>
        <w:rPr>
          <w:rFonts w:ascii="Times New Roman" w:hAnsi="Times New Roman" w:cs="Times New Roman" w:eastAsia="宋体"/>
          <w:b w:val="0"/>
          <w:sz w:val="24"/>
        </w:rPr>
        <w:t>（companiesmarketcap / macrotrends / 交易所历史价 × 10-Q 股数）——这是市值类指标的行业惯例，可信度等级见报告开头说明。</w:t>
      </w:r>
    </w:p>
    <w:p>
      <w:pPr>
        <w:spacing w:line="360" w:lineRule="auto" w:after="40"/>
        <w:ind w:left="420"/>
      </w:pPr>
      <w:r>
        <w:rPr>
          <w:rFonts w:ascii="Times New Roman" w:hAnsi="Times New Roman" w:cs="Times New Roman" w:eastAsia="宋体"/>
          <w:b/>
          <w:sz w:val="24"/>
        </w:rPr>
        <w:t>核实状态：【已核实（市场数据源）】</w:t>
      </w:r>
      <w:r>
        <w:rPr>
          <w:rFonts w:ascii="Times New Roman" w:hAnsi="Times New Roman" w:cs="Times New Roman" w:eastAsia="宋体"/>
          <w:b w:val="0"/>
          <w:sz w:val="24"/>
        </w:rPr>
        <w:t xml:space="preserve">——下表数值由使用者直接对照 </w:t>
      </w:r>
      <w:r>
        <w:rPr>
          <w:rFonts w:ascii="Times New Roman" w:hAnsi="Times New Roman" w:cs="Times New Roman" w:eastAsia="宋体"/>
          <w:b/>
          <w:sz w:val="24"/>
        </w:rPr>
        <w:t>companiesmarketcap 年末市值表</w:t>
      </w:r>
      <w:r>
        <w:rPr>
          <w:rFonts w:ascii="Times New Roman" w:hAnsi="Times New Roman" w:cs="Times New Roman" w:eastAsia="宋体"/>
          <w:b w:val="0"/>
          <w:sz w:val="24"/>
        </w:rPr>
        <w:t>核定。口径为</w:t>
      </w:r>
      <w:r>
        <w:rPr>
          <w:rFonts w:ascii="Times New Roman" w:hAnsi="Times New Roman" w:cs="Times New Roman" w:eastAsia="宋体"/>
          <w:b/>
          <w:sz w:val="24"/>
        </w:rPr>
        <w:t>总市值（Market Capitalization = 全部已发行股份 × 股价，含全部股类；Alphabet 含 A+B+C 三类、Meta 含 A+B 两类），并非流通市值（自由流通市值）</w:t>
      </w:r>
      <w:r>
        <w:rPr>
          <w:rFonts w:ascii="Times New Roman" w:hAnsi="Times New Roman" w:cs="Times New Roman" w:eastAsia="宋体"/>
          <w:b w:val="0"/>
          <w:sz w:val="24"/>
        </w:rPr>
        <w:t>。表中"~"为约数（市值按各源四舍五入，受股价/股数取数日影响有 ±1–3% 正常出入），非"待核"之意。</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shd w:val="clear" w:fill="D9E2F3"/>
          </w:tcPr>
          <w:p>
            <w:pPr>
              <w:spacing w:line="264" w:lineRule="auto" w:after="0"/>
            </w:pPr>
            <w:r/>
            <w:r>
              <w:rPr>
                <w:rFonts w:ascii="Times New Roman" w:hAnsi="Times New Roman" w:cs="Times New Roman" w:eastAsia="宋体"/>
                <w:b/>
                <w:sz w:val="21"/>
              </w:rPr>
              <w:t>公司</w:t>
            </w:r>
          </w:p>
        </w:tc>
        <w:tc>
          <w:tcPr>
            <w:tcW w:type="dxa" w:w="1215"/>
            <w:shd w:val="clear" w:fill="D9E2F3"/>
          </w:tcPr>
          <w:p>
            <w:pPr>
              <w:spacing w:line="264" w:lineRule="auto" w:after="0"/>
            </w:pPr>
            <w:r/>
            <w:r>
              <w:rPr>
                <w:rFonts w:ascii="Times New Roman" w:hAnsi="Times New Roman" w:cs="Times New Roman" w:eastAsia="宋体"/>
                <w:b/>
                <w:sz w:val="21"/>
              </w:rPr>
              <w:t>2020末</w:t>
            </w:r>
          </w:p>
        </w:tc>
        <w:tc>
          <w:tcPr>
            <w:tcW w:type="dxa" w:w="1215"/>
            <w:shd w:val="clear" w:fill="D9E2F3"/>
          </w:tcPr>
          <w:p>
            <w:pPr>
              <w:spacing w:line="264" w:lineRule="auto" w:after="0"/>
            </w:pPr>
            <w:r/>
            <w:r>
              <w:rPr>
                <w:rFonts w:ascii="Times New Roman" w:hAnsi="Times New Roman" w:cs="Times New Roman" w:eastAsia="宋体"/>
                <w:b/>
                <w:sz w:val="21"/>
              </w:rPr>
              <w:t>2021末</w:t>
            </w:r>
          </w:p>
        </w:tc>
        <w:tc>
          <w:tcPr>
            <w:tcW w:type="dxa" w:w="1215"/>
            <w:shd w:val="clear" w:fill="D9E2F3"/>
          </w:tcPr>
          <w:p>
            <w:pPr>
              <w:spacing w:line="264" w:lineRule="auto" w:after="0"/>
            </w:pPr>
            <w:r/>
            <w:r>
              <w:rPr>
                <w:rFonts w:ascii="Times New Roman" w:hAnsi="Times New Roman" w:cs="Times New Roman" w:eastAsia="宋体"/>
                <w:b/>
                <w:sz w:val="21"/>
              </w:rPr>
              <w:t>2022末</w:t>
            </w:r>
          </w:p>
        </w:tc>
        <w:tc>
          <w:tcPr>
            <w:tcW w:type="dxa" w:w="1215"/>
            <w:shd w:val="clear" w:fill="D9E2F3"/>
          </w:tcPr>
          <w:p>
            <w:pPr>
              <w:spacing w:line="264" w:lineRule="auto" w:after="0"/>
            </w:pPr>
            <w:r/>
            <w:r>
              <w:rPr>
                <w:rFonts w:ascii="Times New Roman" w:hAnsi="Times New Roman" w:cs="Times New Roman" w:eastAsia="宋体"/>
                <w:b/>
                <w:sz w:val="21"/>
              </w:rPr>
              <w:t>2023末</w:t>
            </w:r>
          </w:p>
        </w:tc>
        <w:tc>
          <w:tcPr>
            <w:tcW w:type="dxa" w:w="1215"/>
            <w:shd w:val="clear" w:fill="D9E2F3"/>
          </w:tcPr>
          <w:p>
            <w:pPr>
              <w:spacing w:line="264" w:lineRule="auto" w:after="0"/>
            </w:pPr>
            <w:r/>
            <w:r>
              <w:rPr>
                <w:rFonts w:ascii="Times New Roman" w:hAnsi="Times New Roman" w:cs="Times New Roman" w:eastAsia="宋体"/>
                <w:b/>
                <w:sz w:val="21"/>
              </w:rPr>
              <w:t>2024末</w:t>
            </w:r>
          </w:p>
        </w:tc>
        <w:tc>
          <w:tcPr>
            <w:tcW w:type="dxa" w:w="1215"/>
            <w:shd w:val="clear" w:fill="D9E2F3"/>
          </w:tcPr>
          <w:p>
            <w:pPr>
              <w:spacing w:line="264" w:lineRule="auto" w:after="0"/>
            </w:pPr>
            <w:r/>
            <w:r>
              <w:rPr>
                <w:rFonts w:ascii="Times New Roman" w:hAnsi="Times New Roman" w:cs="Times New Roman" w:eastAsia="宋体"/>
                <w:b/>
                <w:sz w:val="21"/>
              </w:rPr>
              <w:t>2025末</w:t>
            </w:r>
          </w:p>
        </w:tc>
      </w:tr>
      <w:tr>
        <w:tc>
          <w:tcPr>
            <w:tcW w:type="dxa" w:w="1215"/>
          </w:tcPr>
          <w:p>
            <w:pPr>
              <w:spacing w:line="264" w:lineRule="auto" w:after="0"/>
            </w:pPr>
            <w:r/>
            <w:r>
              <w:rPr>
                <w:rFonts w:ascii="Times New Roman" w:hAnsi="Times New Roman" w:cs="Times New Roman" w:eastAsia="宋体"/>
                <w:b/>
                <w:sz w:val="21"/>
              </w:rPr>
              <w:t>苹果 AAPL</w:t>
            </w:r>
          </w:p>
        </w:tc>
        <w:tc>
          <w:tcPr>
            <w:tcW w:type="dxa" w:w="1215"/>
          </w:tcPr>
          <w:p>
            <w:pPr>
              <w:spacing w:line="264" w:lineRule="auto" w:after="0"/>
            </w:pPr>
            <w:r/>
            <w:r>
              <w:rPr>
                <w:rFonts w:ascii="Times New Roman" w:hAnsi="Times New Roman" w:cs="Times New Roman" w:eastAsia="宋体"/>
                <w:b w:val="0"/>
                <w:sz w:val="21"/>
              </w:rPr>
              <w:t>~2.26</w:t>
            </w:r>
          </w:p>
        </w:tc>
        <w:tc>
          <w:tcPr>
            <w:tcW w:type="dxa" w:w="1215"/>
          </w:tcPr>
          <w:p>
            <w:pPr>
              <w:spacing w:line="264" w:lineRule="auto" w:after="0"/>
            </w:pPr>
            <w:r/>
            <w:r>
              <w:rPr>
                <w:rFonts w:ascii="Times New Roman" w:hAnsi="Times New Roman" w:cs="Times New Roman" w:eastAsia="宋体"/>
                <w:b w:val="0"/>
                <w:sz w:val="21"/>
              </w:rPr>
              <w:t>~2.91</w:t>
            </w:r>
          </w:p>
        </w:tc>
        <w:tc>
          <w:tcPr>
            <w:tcW w:type="dxa" w:w="1215"/>
          </w:tcPr>
          <w:p>
            <w:pPr>
              <w:spacing w:line="264" w:lineRule="auto" w:after="0"/>
            </w:pPr>
            <w:r/>
            <w:r>
              <w:rPr>
                <w:rFonts w:ascii="Times New Roman" w:hAnsi="Times New Roman" w:cs="Times New Roman" w:eastAsia="宋体"/>
                <w:b w:val="0"/>
                <w:sz w:val="21"/>
              </w:rPr>
              <w:t>~2.07</w:t>
            </w:r>
          </w:p>
        </w:tc>
        <w:tc>
          <w:tcPr>
            <w:tcW w:type="dxa" w:w="1215"/>
          </w:tcPr>
          <w:p>
            <w:pPr>
              <w:spacing w:line="264" w:lineRule="auto" w:after="0"/>
            </w:pPr>
            <w:r/>
            <w:r>
              <w:rPr>
                <w:rFonts w:ascii="Times New Roman" w:hAnsi="Times New Roman" w:cs="Times New Roman" w:eastAsia="宋体"/>
                <w:b w:val="0"/>
                <w:sz w:val="21"/>
              </w:rPr>
              <w:t>~2.99</w:t>
            </w:r>
          </w:p>
        </w:tc>
        <w:tc>
          <w:tcPr>
            <w:tcW w:type="dxa" w:w="1215"/>
          </w:tcPr>
          <w:p>
            <w:pPr>
              <w:spacing w:line="264" w:lineRule="auto" w:after="0"/>
            </w:pPr>
            <w:r/>
            <w:r>
              <w:rPr>
                <w:rFonts w:ascii="Times New Roman" w:hAnsi="Times New Roman" w:cs="Times New Roman" w:eastAsia="宋体"/>
                <w:b w:val="0"/>
                <w:sz w:val="21"/>
              </w:rPr>
              <w:t>~3.79</w:t>
            </w:r>
          </w:p>
        </w:tc>
        <w:tc>
          <w:tcPr>
            <w:tcW w:type="dxa" w:w="1215"/>
          </w:tcPr>
          <w:p>
            <w:pPr>
              <w:spacing w:line="264" w:lineRule="auto" w:after="0"/>
            </w:pPr>
            <w:r/>
            <w:r>
              <w:rPr>
                <w:rFonts w:ascii="Times New Roman" w:hAnsi="Times New Roman" w:cs="Times New Roman" w:eastAsia="宋体"/>
                <w:b w:val="0"/>
                <w:sz w:val="21"/>
              </w:rPr>
              <w:t>~3.99</w:t>
            </w:r>
          </w:p>
        </w:tc>
      </w:tr>
      <w:tr>
        <w:tc>
          <w:tcPr>
            <w:tcW w:type="dxa" w:w="1215"/>
          </w:tcPr>
          <w:p>
            <w:pPr>
              <w:spacing w:line="264" w:lineRule="auto" w:after="0"/>
            </w:pPr>
            <w:r/>
            <w:r>
              <w:rPr>
                <w:rFonts w:ascii="Times New Roman" w:hAnsi="Times New Roman" w:cs="Times New Roman" w:eastAsia="宋体"/>
                <w:b/>
                <w:sz w:val="21"/>
              </w:rPr>
              <w:t>微软 MSFT</w:t>
            </w:r>
          </w:p>
        </w:tc>
        <w:tc>
          <w:tcPr>
            <w:tcW w:type="dxa" w:w="1215"/>
          </w:tcPr>
          <w:p>
            <w:pPr>
              <w:spacing w:line="264" w:lineRule="auto" w:after="0"/>
            </w:pPr>
            <w:r/>
            <w:r>
              <w:rPr>
                <w:rFonts w:ascii="Times New Roman" w:hAnsi="Times New Roman" w:cs="Times New Roman" w:eastAsia="宋体"/>
                <w:b w:val="0"/>
                <w:sz w:val="21"/>
              </w:rPr>
              <w:t>~1.68</w:t>
            </w:r>
          </w:p>
        </w:tc>
        <w:tc>
          <w:tcPr>
            <w:tcW w:type="dxa" w:w="1215"/>
          </w:tcPr>
          <w:p>
            <w:pPr>
              <w:spacing w:line="264" w:lineRule="auto" w:after="0"/>
            </w:pPr>
            <w:r/>
            <w:r>
              <w:rPr>
                <w:rFonts w:ascii="Times New Roman" w:hAnsi="Times New Roman" w:cs="Times New Roman" w:eastAsia="宋体"/>
                <w:b w:val="0"/>
                <w:sz w:val="21"/>
              </w:rPr>
              <w:t>~2.52</w:t>
            </w:r>
          </w:p>
        </w:tc>
        <w:tc>
          <w:tcPr>
            <w:tcW w:type="dxa" w:w="1215"/>
          </w:tcPr>
          <w:p>
            <w:pPr>
              <w:spacing w:line="264" w:lineRule="auto" w:after="0"/>
            </w:pPr>
            <w:r/>
            <w:r>
              <w:rPr>
                <w:rFonts w:ascii="Times New Roman" w:hAnsi="Times New Roman" w:cs="Times New Roman" w:eastAsia="宋体"/>
                <w:b w:val="0"/>
                <w:sz w:val="21"/>
              </w:rPr>
              <w:t>~1.79</w:t>
            </w:r>
          </w:p>
        </w:tc>
        <w:tc>
          <w:tcPr>
            <w:tcW w:type="dxa" w:w="1215"/>
          </w:tcPr>
          <w:p>
            <w:pPr>
              <w:spacing w:line="264" w:lineRule="auto" w:after="0"/>
            </w:pPr>
            <w:r/>
            <w:r>
              <w:rPr>
                <w:rFonts w:ascii="Times New Roman" w:hAnsi="Times New Roman" w:cs="Times New Roman" w:eastAsia="宋体"/>
                <w:b w:val="0"/>
                <w:sz w:val="21"/>
              </w:rPr>
              <w:t>~2.79</w:t>
            </w:r>
          </w:p>
        </w:tc>
        <w:tc>
          <w:tcPr>
            <w:tcW w:type="dxa" w:w="1215"/>
          </w:tcPr>
          <w:p>
            <w:pPr>
              <w:spacing w:line="264" w:lineRule="auto" w:after="0"/>
            </w:pPr>
            <w:r/>
            <w:r>
              <w:rPr>
                <w:rFonts w:ascii="Times New Roman" w:hAnsi="Times New Roman" w:cs="Times New Roman" w:eastAsia="宋体"/>
                <w:b w:val="0"/>
                <w:sz w:val="21"/>
              </w:rPr>
              <w:t>~3.20</w:t>
            </w:r>
          </w:p>
        </w:tc>
        <w:tc>
          <w:tcPr>
            <w:tcW w:type="dxa" w:w="1215"/>
          </w:tcPr>
          <w:p>
            <w:pPr>
              <w:spacing w:line="264" w:lineRule="auto" w:after="0"/>
            </w:pPr>
            <w:r/>
            <w:r>
              <w:rPr>
                <w:rFonts w:ascii="Times New Roman" w:hAnsi="Times New Roman" w:cs="Times New Roman" w:eastAsia="宋体"/>
                <w:b w:val="0"/>
                <w:sz w:val="21"/>
              </w:rPr>
              <w:t>~3.62</w:t>
            </w:r>
          </w:p>
        </w:tc>
      </w:tr>
      <w:tr>
        <w:tc>
          <w:tcPr>
            <w:tcW w:type="dxa" w:w="1215"/>
          </w:tcPr>
          <w:p>
            <w:pPr>
              <w:spacing w:line="264" w:lineRule="auto" w:after="0"/>
            </w:pPr>
            <w:r/>
            <w:r>
              <w:rPr>
                <w:rFonts w:ascii="Times New Roman" w:hAnsi="Times New Roman" w:cs="Times New Roman" w:eastAsia="宋体"/>
                <w:b/>
                <w:sz w:val="21"/>
              </w:rPr>
              <w:t>英伟达 NVDA</w:t>
            </w:r>
          </w:p>
        </w:tc>
        <w:tc>
          <w:tcPr>
            <w:tcW w:type="dxa" w:w="1215"/>
          </w:tcPr>
          <w:p>
            <w:pPr>
              <w:spacing w:line="264" w:lineRule="auto" w:after="0"/>
            </w:pPr>
            <w:r/>
            <w:r>
              <w:rPr>
                <w:rFonts w:ascii="Times New Roman" w:hAnsi="Times New Roman" w:cs="Times New Roman" w:eastAsia="宋体"/>
                <w:b w:val="0"/>
                <w:sz w:val="21"/>
              </w:rPr>
              <w:t>~0.32</w:t>
            </w:r>
          </w:p>
        </w:tc>
        <w:tc>
          <w:tcPr>
            <w:tcW w:type="dxa" w:w="1215"/>
          </w:tcPr>
          <w:p>
            <w:pPr>
              <w:spacing w:line="264" w:lineRule="auto" w:after="0"/>
            </w:pPr>
            <w:r/>
            <w:r>
              <w:rPr>
                <w:rFonts w:ascii="Times New Roman" w:hAnsi="Times New Roman" w:cs="Times New Roman" w:eastAsia="宋体"/>
                <w:b w:val="0"/>
                <w:sz w:val="21"/>
              </w:rPr>
              <w:t>~0.73</w:t>
            </w:r>
          </w:p>
        </w:tc>
        <w:tc>
          <w:tcPr>
            <w:tcW w:type="dxa" w:w="1215"/>
          </w:tcPr>
          <w:p>
            <w:pPr>
              <w:spacing w:line="264" w:lineRule="auto" w:after="0"/>
            </w:pPr>
            <w:r/>
            <w:r>
              <w:rPr>
                <w:rFonts w:ascii="Times New Roman" w:hAnsi="Times New Roman" w:cs="Times New Roman" w:eastAsia="宋体"/>
                <w:b w:val="0"/>
                <w:sz w:val="21"/>
              </w:rPr>
              <w:t>~0.36</w:t>
            </w:r>
          </w:p>
        </w:tc>
        <w:tc>
          <w:tcPr>
            <w:tcW w:type="dxa" w:w="1215"/>
          </w:tcPr>
          <w:p>
            <w:pPr>
              <w:spacing w:line="264" w:lineRule="auto" w:after="0"/>
            </w:pPr>
            <w:r/>
            <w:r>
              <w:rPr>
                <w:rFonts w:ascii="Times New Roman" w:hAnsi="Times New Roman" w:cs="Times New Roman" w:eastAsia="宋体"/>
                <w:b w:val="0"/>
                <w:sz w:val="21"/>
              </w:rPr>
              <w:t>~1.22</w:t>
            </w:r>
          </w:p>
        </w:tc>
        <w:tc>
          <w:tcPr>
            <w:tcW w:type="dxa" w:w="1215"/>
          </w:tcPr>
          <w:p>
            <w:pPr>
              <w:spacing w:line="264" w:lineRule="auto" w:after="0"/>
            </w:pPr>
            <w:r/>
            <w:r>
              <w:rPr>
                <w:rFonts w:ascii="Times New Roman" w:hAnsi="Times New Roman" w:cs="Times New Roman" w:eastAsia="宋体"/>
                <w:b w:val="0"/>
                <w:sz w:val="21"/>
              </w:rPr>
              <w:t>~3.29</w:t>
            </w:r>
          </w:p>
        </w:tc>
        <w:tc>
          <w:tcPr>
            <w:tcW w:type="dxa" w:w="1215"/>
          </w:tcPr>
          <w:p>
            <w:pPr>
              <w:spacing w:line="264" w:lineRule="auto" w:after="0"/>
            </w:pPr>
            <w:r/>
            <w:r>
              <w:rPr>
                <w:rFonts w:ascii="Times New Roman" w:hAnsi="Times New Roman" w:cs="Times New Roman" w:eastAsia="宋体"/>
                <w:b w:val="0"/>
                <w:sz w:val="21"/>
              </w:rPr>
              <w:t>~4.63</w:t>
            </w:r>
          </w:p>
        </w:tc>
      </w:tr>
      <w:tr>
        <w:tc>
          <w:tcPr>
            <w:tcW w:type="dxa" w:w="1215"/>
          </w:tcPr>
          <w:p>
            <w:pPr>
              <w:spacing w:line="264" w:lineRule="auto" w:after="0"/>
            </w:pPr>
            <w:r/>
            <w:r>
              <w:rPr>
                <w:rFonts w:ascii="Times New Roman" w:hAnsi="Times New Roman" w:cs="Times New Roman" w:eastAsia="宋体"/>
                <w:b/>
                <w:sz w:val="21"/>
              </w:rPr>
              <w:t>Alphabet GOOGL</w:t>
            </w:r>
          </w:p>
        </w:tc>
        <w:tc>
          <w:tcPr>
            <w:tcW w:type="dxa" w:w="1215"/>
          </w:tcPr>
          <w:p>
            <w:pPr>
              <w:spacing w:line="264" w:lineRule="auto" w:after="0"/>
            </w:pPr>
            <w:r/>
            <w:r>
              <w:rPr>
                <w:rFonts w:ascii="Times New Roman" w:hAnsi="Times New Roman" w:cs="Times New Roman" w:eastAsia="宋体"/>
                <w:b w:val="0"/>
                <w:sz w:val="21"/>
              </w:rPr>
              <w:t>~1.19</w:t>
            </w:r>
          </w:p>
        </w:tc>
        <w:tc>
          <w:tcPr>
            <w:tcW w:type="dxa" w:w="1215"/>
          </w:tcPr>
          <w:p>
            <w:pPr>
              <w:spacing w:line="264" w:lineRule="auto" w:after="0"/>
            </w:pPr>
            <w:r/>
            <w:r>
              <w:rPr>
                <w:rFonts w:ascii="Times New Roman" w:hAnsi="Times New Roman" w:cs="Times New Roman" w:eastAsia="宋体"/>
                <w:b w:val="0"/>
                <w:sz w:val="21"/>
              </w:rPr>
              <w:t>~1.92</w:t>
            </w:r>
          </w:p>
        </w:tc>
        <w:tc>
          <w:tcPr>
            <w:tcW w:type="dxa" w:w="1215"/>
          </w:tcPr>
          <w:p>
            <w:pPr>
              <w:spacing w:line="264" w:lineRule="auto" w:after="0"/>
            </w:pPr>
            <w:r/>
            <w:r>
              <w:rPr>
                <w:rFonts w:ascii="Times New Roman" w:hAnsi="Times New Roman" w:cs="Times New Roman" w:eastAsia="宋体"/>
                <w:b w:val="0"/>
                <w:sz w:val="21"/>
              </w:rPr>
              <w:t>~1.15</w:t>
            </w:r>
          </w:p>
        </w:tc>
        <w:tc>
          <w:tcPr>
            <w:tcW w:type="dxa" w:w="1215"/>
          </w:tcPr>
          <w:p>
            <w:pPr>
              <w:spacing w:line="264" w:lineRule="auto" w:after="0"/>
            </w:pPr>
            <w:r/>
            <w:r>
              <w:rPr>
                <w:rFonts w:ascii="Times New Roman" w:hAnsi="Times New Roman" w:cs="Times New Roman" w:eastAsia="宋体"/>
                <w:b w:val="0"/>
                <w:sz w:val="21"/>
              </w:rPr>
              <w:t>~1.76</w:t>
            </w:r>
          </w:p>
        </w:tc>
        <w:tc>
          <w:tcPr>
            <w:tcW w:type="dxa" w:w="1215"/>
          </w:tcPr>
          <w:p>
            <w:pPr>
              <w:spacing w:line="264" w:lineRule="auto" w:after="0"/>
            </w:pPr>
            <w:r/>
            <w:r>
              <w:rPr>
                <w:rFonts w:ascii="Times New Roman" w:hAnsi="Times New Roman" w:cs="Times New Roman" w:eastAsia="宋体"/>
                <w:b w:val="0"/>
                <w:sz w:val="21"/>
              </w:rPr>
              <w:t>~2.37</w:t>
            </w:r>
          </w:p>
        </w:tc>
        <w:tc>
          <w:tcPr>
            <w:tcW w:type="dxa" w:w="1215"/>
          </w:tcPr>
          <w:p>
            <w:pPr>
              <w:spacing w:line="264" w:lineRule="auto" w:after="0"/>
            </w:pPr>
            <w:r/>
            <w:r>
              <w:rPr>
                <w:rFonts w:ascii="Times New Roman" w:hAnsi="Times New Roman" w:cs="Times New Roman" w:eastAsia="宋体"/>
                <w:b w:val="0"/>
                <w:sz w:val="21"/>
              </w:rPr>
              <w:t>~3.80</w:t>
            </w:r>
          </w:p>
        </w:tc>
      </w:tr>
      <w:tr>
        <w:tc>
          <w:tcPr>
            <w:tcW w:type="dxa" w:w="1215"/>
          </w:tcPr>
          <w:p>
            <w:pPr>
              <w:spacing w:line="264" w:lineRule="auto" w:after="0"/>
            </w:pPr>
            <w:r/>
            <w:r>
              <w:rPr>
                <w:rFonts w:ascii="Times New Roman" w:hAnsi="Times New Roman" w:cs="Times New Roman" w:eastAsia="宋体"/>
                <w:b/>
                <w:sz w:val="21"/>
              </w:rPr>
              <w:t>亚马逊 AMZN</w:t>
            </w:r>
          </w:p>
        </w:tc>
        <w:tc>
          <w:tcPr>
            <w:tcW w:type="dxa" w:w="1215"/>
          </w:tcPr>
          <w:p>
            <w:pPr>
              <w:spacing w:line="264" w:lineRule="auto" w:after="0"/>
            </w:pPr>
            <w:r/>
            <w:r>
              <w:rPr>
                <w:rFonts w:ascii="Times New Roman" w:hAnsi="Times New Roman" w:cs="Times New Roman" w:eastAsia="宋体"/>
                <w:b w:val="0"/>
                <w:sz w:val="21"/>
              </w:rPr>
              <w:t>~1.63</w:t>
            </w:r>
          </w:p>
        </w:tc>
        <w:tc>
          <w:tcPr>
            <w:tcW w:type="dxa" w:w="1215"/>
          </w:tcPr>
          <w:p>
            <w:pPr>
              <w:spacing w:line="264" w:lineRule="auto" w:after="0"/>
            </w:pPr>
            <w:r/>
            <w:r>
              <w:rPr>
                <w:rFonts w:ascii="Times New Roman" w:hAnsi="Times New Roman" w:cs="Times New Roman" w:eastAsia="宋体"/>
                <w:b w:val="0"/>
                <w:sz w:val="21"/>
              </w:rPr>
              <w:t>~1.69</w:t>
            </w:r>
          </w:p>
        </w:tc>
        <w:tc>
          <w:tcPr>
            <w:tcW w:type="dxa" w:w="1215"/>
          </w:tcPr>
          <w:p>
            <w:pPr>
              <w:spacing w:line="264" w:lineRule="auto" w:after="0"/>
            </w:pPr>
            <w:r/>
            <w:r>
              <w:rPr>
                <w:rFonts w:ascii="Times New Roman" w:hAnsi="Times New Roman" w:cs="Times New Roman" w:eastAsia="宋体"/>
                <w:b w:val="0"/>
                <w:sz w:val="21"/>
              </w:rPr>
              <w:t>~0.86</w:t>
            </w:r>
          </w:p>
        </w:tc>
        <w:tc>
          <w:tcPr>
            <w:tcW w:type="dxa" w:w="1215"/>
          </w:tcPr>
          <w:p>
            <w:pPr>
              <w:spacing w:line="264" w:lineRule="auto" w:after="0"/>
            </w:pPr>
            <w:r/>
            <w:r>
              <w:rPr>
                <w:rFonts w:ascii="Times New Roman" w:hAnsi="Times New Roman" w:cs="Times New Roman" w:eastAsia="宋体"/>
                <w:b w:val="0"/>
                <w:sz w:val="21"/>
              </w:rPr>
              <w:t>~1.57</w:t>
            </w:r>
          </w:p>
        </w:tc>
        <w:tc>
          <w:tcPr>
            <w:tcW w:type="dxa" w:w="1215"/>
          </w:tcPr>
          <w:p>
            <w:pPr>
              <w:spacing w:line="264" w:lineRule="auto" w:after="0"/>
            </w:pPr>
            <w:r/>
            <w:r>
              <w:rPr>
                <w:rFonts w:ascii="Times New Roman" w:hAnsi="Times New Roman" w:cs="Times New Roman" w:eastAsia="宋体"/>
                <w:b w:val="0"/>
                <w:sz w:val="21"/>
              </w:rPr>
              <w:t>~2.35</w:t>
            </w:r>
          </w:p>
        </w:tc>
        <w:tc>
          <w:tcPr>
            <w:tcW w:type="dxa" w:w="1215"/>
          </w:tcPr>
          <w:p>
            <w:pPr>
              <w:spacing w:line="264" w:lineRule="auto" w:after="0"/>
            </w:pPr>
            <w:r/>
            <w:r>
              <w:rPr>
                <w:rFonts w:ascii="Times New Roman" w:hAnsi="Times New Roman" w:cs="Times New Roman" w:eastAsia="宋体"/>
                <w:b w:val="0"/>
                <w:sz w:val="21"/>
              </w:rPr>
              <w:t>~2.49</w:t>
            </w:r>
          </w:p>
        </w:tc>
      </w:tr>
      <w:tr>
        <w:tc>
          <w:tcPr>
            <w:tcW w:type="dxa" w:w="1215"/>
          </w:tcPr>
          <w:p>
            <w:pPr>
              <w:spacing w:line="264" w:lineRule="auto" w:after="0"/>
            </w:pPr>
            <w:r/>
            <w:r>
              <w:rPr>
                <w:rFonts w:ascii="Times New Roman" w:hAnsi="Times New Roman" w:cs="Times New Roman" w:eastAsia="宋体"/>
                <w:b/>
                <w:sz w:val="21"/>
              </w:rPr>
              <w:t>Meta META</w:t>
            </w:r>
          </w:p>
        </w:tc>
        <w:tc>
          <w:tcPr>
            <w:tcW w:type="dxa" w:w="1215"/>
          </w:tcPr>
          <w:p>
            <w:pPr>
              <w:spacing w:line="264" w:lineRule="auto" w:after="0"/>
            </w:pPr>
            <w:r/>
            <w:r>
              <w:rPr>
                <w:rFonts w:ascii="Times New Roman" w:hAnsi="Times New Roman" w:cs="Times New Roman" w:eastAsia="宋体"/>
                <w:b w:val="0"/>
                <w:sz w:val="21"/>
              </w:rPr>
              <w:t>~0.78</w:t>
            </w:r>
          </w:p>
        </w:tc>
        <w:tc>
          <w:tcPr>
            <w:tcW w:type="dxa" w:w="1215"/>
          </w:tcPr>
          <w:p>
            <w:pPr>
              <w:spacing w:line="264" w:lineRule="auto" w:after="0"/>
            </w:pPr>
            <w:r/>
            <w:r>
              <w:rPr>
                <w:rFonts w:ascii="Times New Roman" w:hAnsi="Times New Roman" w:cs="Times New Roman" w:eastAsia="宋体"/>
                <w:b w:val="0"/>
                <w:sz w:val="21"/>
              </w:rPr>
              <w:t>~0.94</w:t>
            </w:r>
          </w:p>
        </w:tc>
        <w:tc>
          <w:tcPr>
            <w:tcW w:type="dxa" w:w="1215"/>
          </w:tcPr>
          <w:p>
            <w:pPr>
              <w:spacing w:line="264" w:lineRule="auto" w:after="0"/>
            </w:pPr>
            <w:r/>
            <w:r>
              <w:rPr>
                <w:rFonts w:ascii="Times New Roman" w:hAnsi="Times New Roman" w:cs="Times New Roman" w:eastAsia="宋体"/>
                <w:b w:val="0"/>
                <w:sz w:val="21"/>
              </w:rPr>
              <w:t>~0.31</w:t>
            </w:r>
          </w:p>
        </w:tc>
        <w:tc>
          <w:tcPr>
            <w:tcW w:type="dxa" w:w="1215"/>
          </w:tcPr>
          <w:p>
            <w:pPr>
              <w:spacing w:line="264" w:lineRule="auto" w:after="0"/>
            </w:pPr>
            <w:r/>
            <w:r>
              <w:rPr>
                <w:rFonts w:ascii="Times New Roman" w:hAnsi="Times New Roman" w:cs="Times New Roman" w:eastAsia="宋体"/>
                <w:b w:val="0"/>
                <w:sz w:val="21"/>
              </w:rPr>
              <w:t>~0.91</w:t>
            </w:r>
          </w:p>
        </w:tc>
        <w:tc>
          <w:tcPr>
            <w:tcW w:type="dxa" w:w="1215"/>
          </w:tcPr>
          <w:p>
            <w:pPr>
              <w:spacing w:line="264" w:lineRule="auto" w:after="0"/>
            </w:pPr>
            <w:r/>
            <w:r>
              <w:rPr>
                <w:rFonts w:ascii="Times New Roman" w:hAnsi="Times New Roman" w:cs="Times New Roman" w:eastAsia="宋体"/>
                <w:b w:val="0"/>
                <w:sz w:val="21"/>
              </w:rPr>
              <w:t>~1.49</w:t>
            </w:r>
          </w:p>
        </w:tc>
        <w:tc>
          <w:tcPr>
            <w:tcW w:type="dxa" w:w="1215"/>
          </w:tcPr>
          <w:p>
            <w:pPr>
              <w:spacing w:line="264" w:lineRule="auto" w:after="0"/>
            </w:pPr>
            <w:r/>
            <w:r>
              <w:rPr>
                <w:rFonts w:ascii="Times New Roman" w:hAnsi="Times New Roman" w:cs="Times New Roman" w:eastAsia="宋体"/>
                <w:b w:val="0"/>
                <w:sz w:val="21"/>
              </w:rPr>
              <w:t>~1.55</w:t>
            </w:r>
          </w:p>
        </w:tc>
      </w:tr>
      <w:tr>
        <w:tc>
          <w:tcPr>
            <w:tcW w:type="dxa" w:w="1215"/>
          </w:tcPr>
          <w:p>
            <w:pPr>
              <w:spacing w:line="264" w:lineRule="auto" w:after="0"/>
            </w:pPr>
            <w:r/>
            <w:r>
              <w:rPr>
                <w:rFonts w:ascii="Times New Roman" w:hAnsi="Times New Roman" w:cs="Times New Roman" w:eastAsia="宋体"/>
                <w:b/>
                <w:sz w:val="21"/>
              </w:rPr>
              <w:t>特斯拉 TSLA</w:t>
            </w:r>
          </w:p>
        </w:tc>
        <w:tc>
          <w:tcPr>
            <w:tcW w:type="dxa" w:w="1215"/>
          </w:tcPr>
          <w:p>
            <w:pPr>
              <w:spacing w:line="264" w:lineRule="auto" w:after="0"/>
            </w:pPr>
            <w:r/>
            <w:r>
              <w:rPr>
                <w:rFonts w:ascii="Times New Roman" w:hAnsi="Times New Roman" w:cs="Times New Roman" w:eastAsia="宋体"/>
                <w:b w:val="0"/>
                <w:sz w:val="21"/>
              </w:rPr>
              <w:t>~0.69</w:t>
            </w:r>
          </w:p>
        </w:tc>
        <w:tc>
          <w:tcPr>
            <w:tcW w:type="dxa" w:w="1215"/>
          </w:tcPr>
          <w:p>
            <w:pPr>
              <w:spacing w:line="264" w:lineRule="auto" w:after="0"/>
            </w:pPr>
            <w:r/>
            <w:r>
              <w:rPr>
                <w:rFonts w:ascii="Times New Roman" w:hAnsi="Times New Roman" w:cs="Times New Roman" w:eastAsia="宋体"/>
                <w:b w:val="0"/>
                <w:sz w:val="21"/>
              </w:rPr>
              <w:t>~1.06</w:t>
            </w:r>
          </w:p>
        </w:tc>
        <w:tc>
          <w:tcPr>
            <w:tcW w:type="dxa" w:w="1215"/>
          </w:tcPr>
          <w:p>
            <w:pPr>
              <w:spacing w:line="264" w:lineRule="auto" w:after="0"/>
            </w:pPr>
            <w:r/>
            <w:r>
              <w:rPr>
                <w:rFonts w:ascii="Times New Roman" w:hAnsi="Times New Roman" w:cs="Times New Roman" w:eastAsia="宋体"/>
                <w:b w:val="0"/>
                <w:sz w:val="21"/>
              </w:rPr>
              <w:t>~0.39</w:t>
            </w:r>
          </w:p>
        </w:tc>
        <w:tc>
          <w:tcPr>
            <w:tcW w:type="dxa" w:w="1215"/>
          </w:tcPr>
          <w:p>
            <w:pPr>
              <w:spacing w:line="264" w:lineRule="auto" w:after="0"/>
            </w:pPr>
            <w:r/>
            <w:r>
              <w:rPr>
                <w:rFonts w:ascii="Times New Roman" w:hAnsi="Times New Roman" w:cs="Times New Roman" w:eastAsia="宋体"/>
                <w:b w:val="0"/>
                <w:sz w:val="21"/>
              </w:rPr>
              <w:t>~0.79</w:t>
            </w:r>
          </w:p>
        </w:tc>
        <w:tc>
          <w:tcPr>
            <w:tcW w:type="dxa" w:w="1215"/>
          </w:tcPr>
          <w:p>
            <w:pPr>
              <w:spacing w:line="264" w:lineRule="auto" w:after="0"/>
            </w:pPr>
            <w:r/>
            <w:r>
              <w:rPr>
                <w:rFonts w:ascii="Times New Roman" w:hAnsi="Times New Roman" w:cs="Times New Roman" w:eastAsia="宋体"/>
                <w:b w:val="0"/>
                <w:sz w:val="21"/>
              </w:rPr>
              <w:t>~1.39</w:t>
            </w:r>
          </w:p>
        </w:tc>
        <w:tc>
          <w:tcPr>
            <w:tcW w:type="dxa" w:w="1215"/>
          </w:tcPr>
          <w:p>
            <w:pPr>
              <w:spacing w:line="264" w:lineRule="auto" w:after="0"/>
            </w:pPr>
            <w:r/>
            <w:r>
              <w:rPr>
                <w:rFonts w:ascii="Times New Roman" w:hAnsi="Times New Roman" w:cs="Times New Roman" w:eastAsia="宋体"/>
                <w:b w:val="0"/>
                <w:sz w:val="21"/>
              </w:rPr>
              <w:t>~1.58</w:t>
            </w:r>
          </w:p>
        </w:tc>
      </w:tr>
    </w:tbl>
    <w:p>
      <w:pPr>
        <w:spacing w:after="40"/>
      </w:pPr>
    </w:p>
    <w:p>
      <w:pPr>
        <w:spacing w:line="360" w:lineRule="auto" w:after="40"/>
        <w:ind w:left="420"/>
      </w:pPr>
      <w:r>
        <w:rPr>
          <w:rFonts w:ascii="Times New Roman" w:hAnsi="Times New Roman" w:cs="Times New Roman" w:eastAsia="宋体"/>
          <w:b w:val="0"/>
          <w:sz w:val="24"/>
        </w:rPr>
        <w:t xml:space="preserve">注：上表已由使用者对照 </w:t>
      </w:r>
      <w:r>
        <w:rPr>
          <w:rFonts w:ascii="Times New Roman" w:hAnsi="Times New Roman" w:cs="Times New Roman" w:eastAsia="宋体"/>
          <w:b/>
          <w:sz w:val="24"/>
        </w:rPr>
        <w:t>companiesmarketcap 年末市值表</w:t>
      </w:r>
      <w:r>
        <w:rPr>
          <w:rFonts w:ascii="Times New Roman" w:hAnsi="Times New Roman" w:cs="Times New Roman" w:eastAsia="宋体"/>
          <w:b w:val="0"/>
          <w:sz w:val="24"/>
        </w:rPr>
        <w:t>核定（总市值/年末 12月31日口径）。市值随股价实时波动，此处为各年末静态快照；不同数据源/取数日可能有 ±1–3% 口径差异。</w:t>
      </w:r>
    </w:p>
    <w:p>
      <w:pPr>
        <w:spacing w:line="360" w:lineRule="auto" w:after="40"/>
        <w:ind w:firstLine="480"/>
      </w:pPr>
      <w:r>
        <w:rPr>
          <w:rFonts w:ascii="Times New Roman" w:hAnsi="Times New Roman" w:cs="Times New Roman" w:eastAsia="宋体"/>
          <w:b/>
          <w:sz w:val="24"/>
        </w:rPr>
        <w:t>关键里程碑（事件性事实，已核实；精确市值仍以市场数据源为准）</w:t>
      </w:r>
      <w:r>
        <w:rPr>
          <w:rFonts w:ascii="Times New Roman" w:hAnsi="Times New Roman" w:cs="Times New Roman" w:eastAsia="宋体"/>
          <w:b w:val="0"/>
          <w:sz w:val="24"/>
        </w:rPr>
        <w:t>：</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微软：2019/4 破 $1 万亿、2021/6 破 $2 万亿、2024/1 破 $3 万亿。</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英伟达：2023 年市值从约 $0.36 万亿暴涨至 $1.22 万亿，2024 年突破 $3 万亿，2025 年底约 $4.63 万亿，为全球最高市值公司之一。</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Alphabet：2025/9/15 成为继英伟达、微软、苹果之后第四家突破 $3 万亿的公司；2026/1 初市值反超苹果，为 2019 年来首次。</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七巨头合计市值：</w:t>
      </w:r>
      <w:r>
        <w:rPr>
          <w:rFonts w:ascii="Times New Roman" w:hAnsi="Times New Roman" w:cs="Times New Roman" w:eastAsia="宋体"/>
          <w:b/>
          <w:sz w:val="24"/>
        </w:rPr>
        <w:t>2024 年末约 $17.9 万亿</w:t>
      </w:r>
      <w:r>
        <w:rPr>
          <w:rFonts w:ascii="Times New Roman" w:hAnsi="Times New Roman" w:cs="Times New Roman" w:eastAsia="宋体"/>
          <w:b w:val="0"/>
          <w:sz w:val="24"/>
        </w:rPr>
        <w:t>（本表七家年末值加总：3.79+3.20+3.29+2.37+2.35+1.49+1.39）；2025/10 峰值约 $22 万亿，约占标普 500 总市值的 36%。【峰值口径为媒体汇总，待核实；2024 末为本表自洽加总】</w:t>
      </w:r>
    </w:p>
    <w:p>
      <w:pPr>
        <w:spacing w:line="360" w:lineRule="auto" w:after="40"/>
        <w:ind w:left="420"/>
      </w:pPr>
      <w:r>
        <w:rPr>
          <w:rFonts w:ascii="Times New Roman" w:hAnsi="Times New Roman" w:cs="Times New Roman" w:eastAsia="宋体"/>
          <w:b w:val="0"/>
          <w:sz w:val="24"/>
        </w:rPr>
        <w:t>✅ 本节市值已由使用者对照 companiesmarketcap 年末表核定为【已核实（市场数据源，总市值口径）】。提示：市值为市场指标、随股价实时变动，此处为各年末（12/31）静态快照。</w:t>
      </w:r>
    </w:p>
    <w:p>
      <w:pPr>
        <w:spacing w:line="360" w:lineRule="auto" w:after="40"/>
        <w:ind w:firstLine="480"/>
      </w:pPr>
      <w:r>
        <w:rPr>
          <w:rFonts w:ascii="Times New Roman" w:hAnsi="Times New Roman" w:cs="Times New Roman" w:eastAsia="宋体"/>
          <w:b/>
          <w:sz w:val="24"/>
        </w:rPr>
        <w:t>来源</w:t>
      </w:r>
      <w:r>
        <w:rPr>
          <w:rFonts w:ascii="Times New Roman" w:hAnsi="Times New Roman" w:cs="Times New Roman" w:eastAsia="宋体"/>
          <w:b w:val="0"/>
          <w:sz w:val="24"/>
        </w:rPr>
        <w:t>：</w:t>
      </w:r>
    </w:p>
    <w:p>
      <w:pPr>
        <w:spacing w:line="360" w:lineRule="auto" w:after="40"/>
        <w:ind w:left="420" w:hanging="210"/>
      </w:pPr>
      <w:r>
        <w:rPr>
          <w:rFonts w:ascii="Times New Roman" w:hAnsi="Times New Roman" w:cs="Times New Roman" w:eastAsia="宋体"/>
          <w:b w:val="0"/>
          <w:sz w:val="24"/>
        </w:rPr>
        <w:t xml:space="preserve">• </w:t>
      </w:r>
      <w:hyperlink r:id="rId10">
        <w:r>
          <w:rPr>
            <w:rFonts w:ascii="Times New Roman" w:hAnsi="Times New Roman" w:eastAsia="宋体"/>
            <w:color w:val="0563C1"/>
            <w:u w:val="single"/>
            <w:sz w:val="24"/>
          </w:rPr>
          <w:t xml:space="preserve">companiesmarketcap.com – Microsoft 市值历史</w:t>
        </w:r>
      </w:hyperlink>
    </w:p>
    <w:p>
      <w:pPr>
        <w:spacing w:line="360" w:lineRule="auto" w:after="40"/>
        <w:ind w:left="420" w:hanging="210"/>
      </w:pPr>
      <w:r>
        <w:rPr>
          <w:rFonts w:ascii="Times New Roman" w:hAnsi="Times New Roman" w:cs="Times New Roman" w:eastAsia="宋体"/>
          <w:b w:val="0"/>
          <w:sz w:val="24"/>
        </w:rPr>
        <w:t xml:space="preserve">• </w:t>
      </w:r>
      <w:hyperlink r:id="rId11">
        <w:r>
          <w:rPr>
            <w:rFonts w:ascii="Times New Roman" w:hAnsi="Times New Roman" w:eastAsia="宋体"/>
            <w:color w:val="0563C1"/>
            <w:u w:val="single"/>
            <w:sz w:val="24"/>
          </w:rPr>
          <w:t xml:space="preserve">companiesmarketcap.com – Nvidia 市值历史</w:t>
        </w:r>
      </w:hyperlink>
    </w:p>
    <w:p>
      <w:pPr>
        <w:spacing w:line="360" w:lineRule="auto" w:after="40"/>
        <w:ind w:left="420" w:hanging="210"/>
      </w:pPr>
      <w:r>
        <w:rPr>
          <w:rFonts w:ascii="Times New Roman" w:hAnsi="Times New Roman" w:cs="Times New Roman" w:eastAsia="宋体"/>
          <w:b w:val="0"/>
          <w:sz w:val="24"/>
        </w:rPr>
        <w:t xml:space="preserve">• </w:t>
      </w:r>
      <w:hyperlink r:id="rId12">
        <w:r>
          <w:rPr>
            <w:rFonts w:ascii="Times New Roman" w:hAnsi="Times New Roman" w:eastAsia="宋体"/>
            <w:color w:val="0563C1"/>
            <w:u w:val="single"/>
            <w:sz w:val="24"/>
          </w:rPr>
          <w:t xml:space="preserve">companiesmarketcap.com – Meta 市值历史</w:t>
        </w:r>
      </w:hyperlink>
    </w:p>
    <w:p>
      <w:pPr>
        <w:spacing w:line="360" w:lineRule="auto" w:after="40"/>
        <w:ind w:left="420" w:hanging="210"/>
      </w:pPr>
      <w:r>
        <w:rPr>
          <w:rFonts w:ascii="Times New Roman" w:hAnsi="Times New Roman" w:cs="Times New Roman" w:eastAsia="宋体"/>
          <w:b w:val="0"/>
          <w:sz w:val="24"/>
        </w:rPr>
        <w:t xml:space="preserve">• </w:t>
      </w:r>
      <w:hyperlink r:id="rId13">
        <w:r>
          <w:rPr>
            <w:rFonts w:ascii="Times New Roman" w:hAnsi="Times New Roman" w:eastAsia="宋体"/>
            <w:color w:val="0563C1"/>
            <w:u w:val="single"/>
            <w:sz w:val="24"/>
          </w:rPr>
          <w:t xml:space="preserve">companiesmarketcap.com – Tesla 市值历史</w:t>
        </w:r>
      </w:hyperlink>
    </w:p>
    <w:p>
      <w:pPr>
        <w:spacing w:line="360" w:lineRule="auto" w:after="40"/>
        <w:ind w:left="420" w:hanging="210"/>
      </w:pPr>
      <w:r>
        <w:rPr>
          <w:rFonts w:ascii="Times New Roman" w:hAnsi="Times New Roman" w:cs="Times New Roman" w:eastAsia="宋体"/>
          <w:b w:val="0"/>
          <w:sz w:val="24"/>
        </w:rPr>
        <w:t xml:space="preserve">• </w:t>
      </w:r>
      <w:hyperlink r:id="rId14">
        <w:r>
          <w:rPr>
            <w:rFonts w:ascii="Times New Roman" w:hAnsi="Times New Roman" w:eastAsia="宋体"/>
            <w:color w:val="0563C1"/>
            <w:u w:val="single"/>
            <w:sz w:val="24"/>
          </w:rPr>
          <w:t xml:space="preserve">companiesmarketcap.com – Amazon 市值历史</w:t>
        </w:r>
      </w:hyperlink>
    </w:p>
    <w:p>
      <w:pPr>
        <w:spacing w:line="360" w:lineRule="auto" w:after="40"/>
        <w:ind w:left="420" w:hanging="210"/>
      </w:pPr>
      <w:r>
        <w:rPr>
          <w:rFonts w:ascii="Times New Roman" w:hAnsi="Times New Roman" w:cs="Times New Roman" w:eastAsia="宋体"/>
          <w:b w:val="0"/>
          <w:sz w:val="24"/>
        </w:rPr>
        <w:t xml:space="preserve">• </w:t>
      </w:r>
      <w:hyperlink r:id="rId15">
        <w:r>
          <w:rPr>
            <w:rFonts w:ascii="Times New Roman" w:hAnsi="Times New Roman" w:eastAsia="宋体"/>
            <w:color w:val="0563C1"/>
            <w:u w:val="single"/>
            <w:sz w:val="24"/>
          </w:rPr>
          <w:t xml:space="preserve">macrotrends – Microsoft Market Cap</w:t>
        </w:r>
      </w:hyperlink>
    </w:p>
    <w:p>
      <w:pPr>
        <w:spacing w:line="360" w:lineRule="auto" w:after="40"/>
        <w:ind w:left="420" w:hanging="210"/>
      </w:pPr>
      <w:r>
        <w:rPr>
          <w:rFonts w:ascii="Times New Roman" w:hAnsi="Times New Roman" w:cs="Times New Roman" w:eastAsia="宋体"/>
          <w:b w:val="0"/>
          <w:sz w:val="24"/>
        </w:rPr>
        <w:t xml:space="preserve">• </w:t>
      </w:r>
      <w:hyperlink r:id="rId16">
        <w:r>
          <w:rPr>
            <w:rFonts w:ascii="Times New Roman" w:hAnsi="Times New Roman" w:eastAsia="宋体"/>
            <w:color w:val="0563C1"/>
            <w:u w:val="single"/>
            <w:sz w:val="24"/>
          </w:rPr>
          <w:t xml:space="preserve">macrotrends – Meta Market Cap</w:t>
        </w:r>
      </w:hyperlink>
    </w:p>
    <w:p>
      <w:pPr>
        <w:spacing w:line="360" w:lineRule="auto" w:after="40"/>
        <w:ind w:left="420" w:hanging="210"/>
      </w:pPr>
      <w:r>
        <w:rPr>
          <w:rFonts w:ascii="Times New Roman" w:hAnsi="Times New Roman" w:cs="Times New Roman" w:eastAsia="宋体"/>
          <w:b w:val="0"/>
          <w:sz w:val="24"/>
        </w:rPr>
        <w:t xml:space="preserve">• </w:t>
      </w:r>
      <w:hyperlink r:id="rId17">
        <w:r>
          <w:rPr>
            <w:rFonts w:ascii="Times New Roman" w:hAnsi="Times New Roman" w:eastAsia="宋体"/>
            <w:color w:val="0563C1"/>
            <w:u w:val="single"/>
            <w:sz w:val="24"/>
          </w:rPr>
          <w:t xml:space="preserve">macrotrends – Tesla Market Cap</w:t>
        </w:r>
      </w:hyperlink>
    </w:p>
    <w:p>
      <w:pPr>
        <w:spacing w:line="360" w:lineRule="auto" w:after="40"/>
        <w:ind w:left="420" w:hanging="210"/>
      </w:pPr>
      <w:r>
        <w:rPr>
          <w:rFonts w:ascii="Times New Roman" w:hAnsi="Times New Roman" w:cs="Times New Roman" w:eastAsia="宋体"/>
          <w:b w:val="0"/>
          <w:sz w:val="24"/>
        </w:rPr>
        <w:t xml:space="preserve">• </w:t>
      </w:r>
      <w:hyperlink r:id="rId18">
        <w:r>
          <w:rPr>
            <w:rFonts w:ascii="Times New Roman" w:hAnsi="Times New Roman" w:eastAsia="宋体"/>
            <w:color w:val="0563C1"/>
            <w:u w:val="single"/>
            <w:sz w:val="24"/>
          </w:rPr>
          <w:t xml:space="preserve">Visual Capitalist – Magnificent Seven Stock Returns 2025</w:t>
        </w:r>
      </w:hyperlink>
    </w:p>
    <w:p>
      <w:pPr>
        <w:pBdr>
          <w:bottom w:val="single" w:sz="6" w:space="1" w:color="AAAAAA"/>
        </w:pBdr>
        <w:spacing w:after="80"/>
      </w:pPr>
    </w:p>
    <w:p>
      <w:pPr>
        <w:spacing w:before="240" w:after="120" w:line="360" w:lineRule="auto"/>
      </w:pPr>
      <w:r>
        <w:rPr>
          <w:rFonts w:ascii="Times New Roman" w:hAnsi="Times New Roman" w:cs="Times New Roman" w:eastAsia="黑体"/>
          <w:b/>
          <w:sz w:val="32"/>
        </w:rPr>
        <w:t>二、资本性开支 CapEx（2020–2025，单位：十亿美元）</w:t>
      </w:r>
    </w:p>
    <w:p>
      <w:pPr>
        <w:spacing w:line="360" w:lineRule="auto" w:after="40"/>
        <w:ind w:left="420"/>
      </w:pPr>
      <w:r>
        <w:rPr>
          <w:rFonts w:ascii="Times New Roman" w:hAnsi="Times New Roman" w:cs="Times New Roman" w:eastAsia="宋体"/>
          <w:b w:val="0"/>
          <w:sz w:val="24"/>
        </w:rPr>
        <w:t>口径：现金流量表"购置不动产与设备"（详见下方会计口径说明框）。</w:t>
      </w:r>
      <w:r>
        <w:rPr>
          <w:rFonts w:ascii="Times New Roman" w:hAnsi="Times New Roman" w:cs="Times New Roman" w:eastAsia="宋体"/>
          <w:b/>
          <w:sz w:val="24"/>
        </w:rPr>
        <w:t>全部数字均带★【已核实】</w:t>
      </w:r>
      <w:r>
        <w:rPr>
          <w:rFonts w:ascii="Times New Roman" w:hAnsi="Times New Roman" w:cs="Times New Roman" w:eastAsia="宋体"/>
          <w:b w:val="0"/>
          <w:sz w:val="24"/>
        </w:rPr>
        <w:t>，且</w:t>
      </w:r>
      <w:r>
        <w:rPr>
          <w:rFonts w:ascii="Times New Roman" w:hAnsi="Times New Roman" w:cs="Times New Roman" w:eastAsia="宋体"/>
          <w:b/>
          <w:sz w:val="24"/>
        </w:rPr>
        <w:t>绝大部分为一手 10-K</w:t>
      </w:r>
      <w:r>
        <w:rPr>
          <w:rFonts w:ascii="Times New Roman" w:hAnsi="Times New Roman" w:cs="Times New Roman" w:eastAsia="宋体"/>
          <w:b w:val="0"/>
          <w:sz w:val="24"/>
        </w:rPr>
        <w:t>：</w:t>
      </w:r>
      <w:r>
        <w:rPr>
          <w:rFonts w:ascii="Times New Roman" w:hAnsi="Times New Roman" w:cs="Times New Roman" w:eastAsia="宋体"/>
          <w:b/>
          <w:sz w:val="24"/>
        </w:rPr>
        <w:t>2020–2022 取自各公司 FY2022 10-K</w:t>
      </w:r>
      <w:r>
        <w:rPr>
          <w:rFonts w:ascii="Times New Roman" w:hAnsi="Times New Roman" w:cs="Times New Roman" w:eastAsia="宋体"/>
          <w:b w:val="0"/>
          <w:sz w:val="24"/>
        </w:rPr>
        <w:t>、</w:t>
      </w:r>
      <w:r>
        <w:rPr>
          <w:rFonts w:ascii="Times New Roman" w:hAnsi="Times New Roman" w:cs="Times New Roman" w:eastAsia="宋体"/>
          <w:b/>
          <w:sz w:val="24"/>
        </w:rPr>
        <w:t>2023–2025 取自各公司 FY2025 10-K</w:t>
      </w:r>
      <w:r>
        <w:rPr>
          <w:rFonts w:ascii="Times New Roman" w:hAnsi="Times New Roman" w:cs="Times New Roman" w:eastAsia="宋体"/>
          <w:b w:val="0"/>
          <w:sz w:val="24"/>
        </w:rPr>
        <w:t xml:space="preserve"> 现金流量表逐行核实（使用者协助截取；含微软/亚马逊/Alphabet/Meta/英伟达/苹果/特斯拉）。苹果与 Alphabet 的 2023–2025 同时与 fiscal.ai（底层 S&amp;P Market Intelligence）一致。完整一手数值见 §2.2b。</w:t>
      </w:r>
    </w:p>
    <w:p>
      <w:pPr>
        <w:spacing w:line="360" w:lineRule="auto" w:after="40"/>
        <w:ind w:left="420"/>
      </w:pPr>
      <w:r>
        <w:rPr>
          <w:rFonts w:ascii="Times New Roman" w:hAnsi="Times New Roman" w:cs="Times New Roman" w:eastAsia="宋体"/>
          <w:b/>
          <w:sz w:val="24"/>
        </w:rPr>
        <w:t>📌 重要会计口径说明：财报里并没有"Capital Expenditures"这个科目</w:t>
      </w:r>
    </w:p>
    <w:p>
      <w:pPr>
        <w:spacing w:line="360" w:lineRule="auto" w:after="40"/>
        <w:ind w:left="420"/>
      </w:pPr>
      <w:r>
        <w:rPr>
          <w:rFonts w:ascii="Times New Roman" w:hAnsi="Times New Roman" w:cs="Times New Roman" w:eastAsia="宋体"/>
          <w:b w:val="0"/>
          <w:sz w:val="24"/>
        </w:rPr>
        <w:t>GAAP 现金流量表中</w:t>
      </w:r>
      <w:r>
        <w:rPr>
          <w:rFonts w:ascii="Times New Roman" w:hAnsi="Times New Roman" w:cs="Times New Roman" w:eastAsia="宋体"/>
          <w:b/>
          <w:sz w:val="24"/>
        </w:rPr>
        <w:t>并无名为"Capital Expenditures（资本性开支）"的法定行项</w:t>
      </w:r>
      <w:r>
        <w:rPr>
          <w:rFonts w:ascii="Times New Roman" w:hAnsi="Times New Roman" w:cs="Times New Roman" w:eastAsia="宋体"/>
          <w:b w:val="0"/>
          <w:sz w:val="24"/>
        </w:rPr>
        <w:t xml:space="preserve">。各财经网站（stockanalysis、fiscal.ai、macrotrends 等）所显示的"Capital Expenditures"，实为对现金流量表 </w:t>
      </w:r>
      <w:r>
        <w:rPr>
          <w:rFonts w:ascii="Times New Roman" w:hAnsi="Times New Roman" w:cs="Times New Roman" w:eastAsia="宋体"/>
          <w:b/>
          <w:sz w:val="24"/>
        </w:rPr>
        <w:t>"投资活动（Investing activities）"段中"购置不动产、厂房及设备的支出"那一行</w:t>
      </w:r>
      <w:r>
        <w:rPr>
          <w:rFonts w:ascii="Times New Roman" w:hAnsi="Times New Roman" w:cs="Times New Roman" w:eastAsia="宋体"/>
          <w:b w:val="0"/>
          <w:sz w:val="24"/>
        </w:rPr>
        <w:t>的重命名（口径归类）。</w:t>
      </w:r>
    </w:p>
    <w:p>
      <w:pPr>
        <w:spacing w:line="360" w:lineRule="auto" w:after="40"/>
        <w:ind w:left="420"/>
      </w:pPr>
      <w:r>
        <w:rPr>
          <w:rFonts w:ascii="Times New Roman" w:hAnsi="Times New Roman" w:cs="Times New Roman" w:eastAsia="宋体"/>
          <w:b w:val="0"/>
          <w:sz w:val="24"/>
        </w:rPr>
        <w:t>因此核对一手 10-K 时，应在"投资活动"段查找下列对应行（各公司英文措辞略有差异）：</w:t>
      </w:r>
    </w:p>
    <w:tbl>
      <w:tblPr>
        <w:tblStyle w:val="TableGrid"/>
        <w:tblW w:type="auto" w:w="0"/>
        <w:jc w:val="center"/>
        <w:tblLook w:firstColumn="1" w:firstRow="1" w:lastColumn="0" w:lastRow="0" w:noHBand="0" w:noVBand="1" w:val="04A0"/>
      </w:tblPr>
      <w:tblGrid>
        <w:gridCol w:w="4252"/>
        <w:gridCol w:w="4252"/>
      </w:tblGrid>
      <w:tr>
        <w:tc>
          <w:tcPr>
            <w:tcW w:type="dxa" w:w="4252"/>
            <w:shd w:val="clear" w:fill="D9E2F3"/>
          </w:tcPr>
          <w:p>
            <w:pPr>
              <w:spacing w:line="264" w:lineRule="auto" w:after="0"/>
            </w:pPr>
            <w:r/>
            <w:r>
              <w:rPr>
                <w:rFonts w:ascii="Times New Roman" w:hAnsi="Times New Roman" w:cs="Times New Roman" w:eastAsia="宋体"/>
                <w:b/>
                <w:sz w:val="21"/>
              </w:rPr>
              <w:t>公司</w:t>
            </w:r>
          </w:p>
        </w:tc>
        <w:tc>
          <w:tcPr>
            <w:tcW w:type="dxa" w:w="4252"/>
            <w:shd w:val="clear" w:fill="D9E2F3"/>
          </w:tcPr>
          <w:p>
            <w:pPr>
              <w:spacing w:line="264" w:lineRule="auto" w:after="0"/>
            </w:pPr>
            <w:r/>
            <w:r>
              <w:rPr>
                <w:rFonts w:ascii="Times New Roman" w:hAnsi="Times New Roman" w:cs="Times New Roman" w:eastAsia="宋体"/>
                <w:b/>
                <w:sz w:val="21"/>
              </w:rPr>
              <w:t>现金流量表"投资活动"段对应行</w:t>
            </w:r>
          </w:p>
        </w:tc>
      </w:tr>
      <w:tr>
        <w:tc>
          <w:tcPr>
            <w:tcW w:type="dxa" w:w="4252"/>
          </w:tcPr>
          <w:p>
            <w:pPr>
              <w:spacing w:line="264" w:lineRule="auto" w:after="0"/>
            </w:pPr>
            <w:r/>
            <w:r>
              <w:rPr>
                <w:rFonts w:ascii="Times New Roman" w:hAnsi="Times New Roman" w:cs="Times New Roman" w:eastAsia="宋体"/>
                <w:b w:val="0"/>
                <w:sz w:val="21"/>
              </w:rPr>
              <w:t>苹果</w:t>
            </w:r>
          </w:p>
        </w:tc>
        <w:tc>
          <w:tcPr>
            <w:tcW w:type="dxa" w:w="4252"/>
          </w:tcPr>
          <w:p>
            <w:pPr>
              <w:spacing w:line="264" w:lineRule="auto" w:after="0"/>
            </w:pPr>
            <w:r/>
            <w:r>
              <w:rPr>
                <w:rFonts w:ascii="Times New Roman" w:hAnsi="Times New Roman" w:cs="Times New Roman" w:eastAsia="宋体"/>
                <w:b w:val="0"/>
                <w:sz w:val="21"/>
              </w:rPr>
              <w:t>Payments for acquisition of property, plant and equipment</w:t>
            </w:r>
          </w:p>
        </w:tc>
      </w:tr>
      <w:tr>
        <w:tc>
          <w:tcPr>
            <w:tcW w:type="dxa" w:w="4252"/>
          </w:tcPr>
          <w:p>
            <w:pPr>
              <w:spacing w:line="264" w:lineRule="auto" w:after="0"/>
            </w:pPr>
            <w:r/>
            <w:r>
              <w:rPr>
                <w:rFonts w:ascii="Times New Roman" w:hAnsi="Times New Roman" w:cs="Times New Roman" w:eastAsia="宋体"/>
                <w:b w:val="0"/>
                <w:sz w:val="21"/>
              </w:rPr>
              <w:t>Alphabet</w:t>
            </w:r>
          </w:p>
        </w:tc>
        <w:tc>
          <w:tcPr>
            <w:tcW w:type="dxa" w:w="4252"/>
          </w:tcPr>
          <w:p>
            <w:pPr>
              <w:spacing w:line="264" w:lineRule="auto" w:after="0"/>
            </w:pPr>
            <w:r/>
            <w:r>
              <w:rPr>
                <w:rFonts w:ascii="Times New Roman" w:hAnsi="Times New Roman" w:cs="Times New Roman" w:eastAsia="宋体"/>
                <w:b w:val="0"/>
                <w:sz w:val="21"/>
              </w:rPr>
              <w:t>Purchases of property and equipment</w:t>
            </w:r>
          </w:p>
        </w:tc>
      </w:tr>
      <w:tr>
        <w:tc>
          <w:tcPr>
            <w:tcW w:type="dxa" w:w="4252"/>
          </w:tcPr>
          <w:p>
            <w:pPr>
              <w:spacing w:line="264" w:lineRule="auto" w:after="0"/>
            </w:pPr>
            <w:r/>
            <w:r>
              <w:rPr>
                <w:rFonts w:ascii="Times New Roman" w:hAnsi="Times New Roman" w:cs="Times New Roman" w:eastAsia="宋体"/>
                <w:b w:val="0"/>
                <w:sz w:val="21"/>
              </w:rPr>
              <w:t>亚马逊</w:t>
            </w:r>
          </w:p>
        </w:tc>
        <w:tc>
          <w:tcPr>
            <w:tcW w:type="dxa" w:w="4252"/>
          </w:tcPr>
          <w:p>
            <w:pPr>
              <w:spacing w:line="264" w:lineRule="auto" w:after="0"/>
            </w:pPr>
            <w:r/>
            <w:r>
              <w:rPr>
                <w:rFonts w:ascii="Times New Roman" w:hAnsi="Times New Roman" w:cs="Times New Roman" w:eastAsia="宋体"/>
                <w:b w:val="0"/>
                <w:sz w:val="21"/>
              </w:rPr>
              <w:t>Purchases of property and equipment</w:t>
            </w:r>
          </w:p>
        </w:tc>
      </w:tr>
      <w:tr>
        <w:tc>
          <w:tcPr>
            <w:tcW w:type="dxa" w:w="4252"/>
          </w:tcPr>
          <w:p>
            <w:pPr>
              <w:spacing w:line="264" w:lineRule="auto" w:after="0"/>
            </w:pPr>
            <w:r/>
            <w:r>
              <w:rPr>
                <w:rFonts w:ascii="Times New Roman" w:hAnsi="Times New Roman" w:cs="Times New Roman" w:eastAsia="宋体"/>
                <w:b w:val="0"/>
                <w:sz w:val="21"/>
              </w:rPr>
              <w:t>Meta</w:t>
            </w:r>
          </w:p>
        </w:tc>
        <w:tc>
          <w:tcPr>
            <w:tcW w:type="dxa" w:w="4252"/>
          </w:tcPr>
          <w:p>
            <w:pPr>
              <w:spacing w:line="264" w:lineRule="auto" w:after="0"/>
            </w:pPr>
            <w:r/>
            <w:r>
              <w:rPr>
                <w:rFonts w:ascii="Times New Roman" w:hAnsi="Times New Roman" w:cs="Times New Roman" w:eastAsia="宋体"/>
                <w:b w:val="0"/>
                <w:sz w:val="21"/>
              </w:rPr>
              <w:t>Purchases of property and equipment（另披露"含融资租赁本金"的更大口径）</w:t>
            </w:r>
          </w:p>
        </w:tc>
      </w:tr>
      <w:tr>
        <w:tc>
          <w:tcPr>
            <w:tcW w:type="dxa" w:w="4252"/>
          </w:tcPr>
          <w:p>
            <w:pPr>
              <w:spacing w:line="264" w:lineRule="auto" w:after="0"/>
            </w:pPr>
            <w:r/>
            <w:r>
              <w:rPr>
                <w:rFonts w:ascii="Times New Roman" w:hAnsi="Times New Roman" w:cs="Times New Roman" w:eastAsia="宋体"/>
                <w:b w:val="0"/>
                <w:sz w:val="21"/>
              </w:rPr>
              <w:t>微软</w:t>
            </w:r>
          </w:p>
        </w:tc>
        <w:tc>
          <w:tcPr>
            <w:tcW w:type="dxa" w:w="4252"/>
          </w:tcPr>
          <w:p>
            <w:pPr>
              <w:spacing w:line="264" w:lineRule="auto" w:after="0"/>
            </w:pPr>
            <w:r/>
            <w:r>
              <w:rPr>
                <w:rFonts w:ascii="Times New Roman" w:hAnsi="Times New Roman" w:cs="Times New Roman" w:eastAsia="宋体"/>
                <w:b w:val="0"/>
                <w:sz w:val="21"/>
              </w:rPr>
              <w:t>Additions to property and equipment</w:t>
            </w:r>
          </w:p>
        </w:tc>
      </w:tr>
      <w:tr>
        <w:tc>
          <w:tcPr>
            <w:tcW w:type="dxa" w:w="4252"/>
          </w:tcPr>
          <w:p>
            <w:pPr>
              <w:spacing w:line="264" w:lineRule="auto" w:after="0"/>
            </w:pPr>
            <w:r/>
            <w:r>
              <w:rPr>
                <w:rFonts w:ascii="Times New Roman" w:hAnsi="Times New Roman" w:cs="Times New Roman" w:eastAsia="宋体"/>
                <w:b w:val="0"/>
                <w:sz w:val="21"/>
              </w:rPr>
              <w:t>英伟达</w:t>
            </w:r>
          </w:p>
        </w:tc>
        <w:tc>
          <w:tcPr>
            <w:tcW w:type="dxa" w:w="4252"/>
          </w:tcPr>
          <w:p>
            <w:pPr>
              <w:spacing w:line="264" w:lineRule="auto" w:after="0"/>
            </w:pPr>
            <w:r/>
            <w:r>
              <w:rPr>
                <w:rFonts w:ascii="Times New Roman" w:hAnsi="Times New Roman" w:cs="Times New Roman" w:eastAsia="宋体"/>
                <w:b w:val="0"/>
                <w:sz w:val="21"/>
              </w:rPr>
              <w:t>Purchases related to property and equipment and intangible assets</w:t>
            </w:r>
          </w:p>
        </w:tc>
      </w:tr>
    </w:tbl>
    <w:p>
      <w:pPr>
        <w:spacing w:after="40"/>
      </w:pPr>
    </w:p>
    <w:p>
      <w:pPr>
        <w:spacing w:line="360" w:lineRule="auto" w:after="40"/>
        <w:ind w:left="420"/>
      </w:pPr>
      <w:r>
        <w:rPr>
          <w:rFonts w:ascii="Times New Roman" w:hAnsi="Times New Roman" w:cs="Times New Roman" w:eastAsia="宋体"/>
          <w:b w:val="0"/>
          <w:sz w:val="24"/>
        </w:rPr>
        <w:t>表中数字即该行金额；原文中括号或负号代表现金流出，取绝对值。一张 10-K 现金流量表通常同列三个财年（如 FY2022 的 10-K 即含 2022/2021/2020），可据此回溯早年数据。</w:t>
      </w:r>
    </w:p>
    <w:p>
      <w:pPr>
        <w:spacing w:before="160" w:after="120" w:line="360" w:lineRule="auto"/>
      </w:pPr>
      <w:r>
        <w:rPr>
          <w:rFonts w:ascii="Times New Roman" w:hAnsi="Times New Roman" w:cs="Times New Roman" w:eastAsia="黑体"/>
          <w:b/>
          <w:sz w:val="28"/>
        </w:rPr>
        <w:t>2.1 汇总表</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val="clear" w:fill="D9E2F3"/>
          </w:tcPr>
          <w:p>
            <w:pPr>
              <w:spacing w:line="264" w:lineRule="auto" w:after="0"/>
            </w:pPr>
            <w:r/>
            <w:r>
              <w:rPr>
                <w:rFonts w:ascii="Times New Roman" w:hAnsi="Times New Roman" w:cs="Times New Roman" w:eastAsia="宋体"/>
                <w:b/>
                <w:sz w:val="21"/>
              </w:rPr>
              <w:t>公司（财年）</w:t>
            </w:r>
          </w:p>
        </w:tc>
        <w:tc>
          <w:tcPr>
            <w:tcW w:type="dxa" w:w="1063"/>
            <w:shd w:val="clear" w:fill="D9E2F3"/>
          </w:tcPr>
          <w:p>
            <w:pPr>
              <w:spacing w:line="264" w:lineRule="auto" w:after="0"/>
            </w:pPr>
            <w:r/>
            <w:r>
              <w:rPr>
                <w:rFonts w:ascii="Times New Roman" w:hAnsi="Times New Roman" w:cs="Times New Roman" w:eastAsia="宋体"/>
                <w:b/>
                <w:sz w:val="21"/>
              </w:rPr>
              <w:t>2020</w:t>
            </w:r>
          </w:p>
        </w:tc>
        <w:tc>
          <w:tcPr>
            <w:tcW w:type="dxa" w:w="1063"/>
            <w:shd w:val="clear" w:fill="D9E2F3"/>
          </w:tcPr>
          <w:p>
            <w:pPr>
              <w:spacing w:line="264" w:lineRule="auto" w:after="0"/>
            </w:pPr>
            <w:r/>
            <w:r>
              <w:rPr>
                <w:rFonts w:ascii="Times New Roman" w:hAnsi="Times New Roman" w:cs="Times New Roman" w:eastAsia="宋体"/>
                <w:b/>
                <w:sz w:val="21"/>
              </w:rPr>
              <w:t>2021</w:t>
            </w:r>
          </w:p>
        </w:tc>
        <w:tc>
          <w:tcPr>
            <w:tcW w:type="dxa" w:w="1063"/>
            <w:shd w:val="clear" w:fill="D9E2F3"/>
          </w:tcPr>
          <w:p>
            <w:pPr>
              <w:spacing w:line="264" w:lineRule="auto" w:after="0"/>
            </w:pPr>
            <w:r/>
            <w:r>
              <w:rPr>
                <w:rFonts w:ascii="Times New Roman" w:hAnsi="Times New Roman" w:cs="Times New Roman" w:eastAsia="宋体"/>
                <w:b/>
                <w:sz w:val="21"/>
              </w:rPr>
              <w:t>2022</w:t>
            </w:r>
          </w:p>
        </w:tc>
        <w:tc>
          <w:tcPr>
            <w:tcW w:type="dxa" w:w="1063"/>
            <w:shd w:val="clear" w:fill="D9E2F3"/>
          </w:tcPr>
          <w:p>
            <w:pPr>
              <w:spacing w:line="264" w:lineRule="auto" w:after="0"/>
            </w:pPr>
            <w:r/>
            <w:r>
              <w:rPr>
                <w:rFonts w:ascii="Times New Roman" w:hAnsi="Times New Roman" w:cs="Times New Roman" w:eastAsia="宋体"/>
                <w:b/>
                <w:sz w:val="21"/>
              </w:rPr>
              <w:t>2023</w:t>
            </w:r>
          </w:p>
        </w:tc>
        <w:tc>
          <w:tcPr>
            <w:tcW w:type="dxa" w:w="1063"/>
            <w:shd w:val="clear" w:fill="D9E2F3"/>
          </w:tcPr>
          <w:p>
            <w:pPr>
              <w:spacing w:line="264" w:lineRule="auto" w:after="0"/>
            </w:pPr>
            <w:r/>
            <w:r>
              <w:rPr>
                <w:rFonts w:ascii="Times New Roman" w:hAnsi="Times New Roman" w:cs="Times New Roman" w:eastAsia="宋体"/>
                <w:b/>
                <w:sz w:val="21"/>
              </w:rPr>
              <w:t>2024</w:t>
            </w:r>
          </w:p>
        </w:tc>
        <w:tc>
          <w:tcPr>
            <w:tcW w:type="dxa" w:w="1063"/>
            <w:shd w:val="clear" w:fill="D9E2F3"/>
          </w:tcPr>
          <w:p>
            <w:pPr>
              <w:spacing w:line="264" w:lineRule="auto" w:after="0"/>
            </w:pPr>
            <w:r/>
            <w:r>
              <w:rPr>
                <w:rFonts w:ascii="Times New Roman" w:hAnsi="Times New Roman" w:cs="Times New Roman" w:eastAsia="宋体"/>
                <w:b/>
                <w:sz w:val="21"/>
              </w:rPr>
              <w:t>2025</w:t>
            </w:r>
          </w:p>
        </w:tc>
        <w:tc>
          <w:tcPr>
            <w:tcW w:type="dxa" w:w="1063"/>
            <w:shd w:val="clear" w:fill="D9E2F3"/>
          </w:tcPr>
          <w:p>
            <w:pPr>
              <w:spacing w:line="264" w:lineRule="auto" w:after="0"/>
            </w:pPr>
            <w:r/>
            <w:r>
              <w:rPr>
                <w:rFonts w:ascii="Times New Roman" w:hAnsi="Times New Roman" w:cs="Times New Roman" w:eastAsia="宋体"/>
                <w:b/>
                <w:sz w:val="21"/>
              </w:rPr>
              <w:t>核实状态</w:t>
            </w:r>
          </w:p>
        </w:tc>
      </w:tr>
      <w:tr>
        <w:tc>
          <w:tcPr>
            <w:tcW w:type="dxa" w:w="1063"/>
          </w:tcPr>
          <w:p>
            <w:pPr>
              <w:spacing w:line="264" w:lineRule="auto" w:after="0"/>
            </w:pPr>
            <w:r/>
            <w:r>
              <w:rPr>
                <w:rFonts w:ascii="Times New Roman" w:hAnsi="Times New Roman" w:cs="Times New Roman" w:eastAsia="宋体"/>
                <w:b/>
                <w:sz w:val="21"/>
              </w:rPr>
              <w:t>微软</w:t>
            </w:r>
            <w:r>
              <w:rPr>
                <w:rFonts w:ascii="Times New Roman" w:hAnsi="Times New Roman" w:cs="Times New Roman" w:eastAsia="宋体"/>
                <w:b w:val="0"/>
                <w:sz w:val="21"/>
              </w:rPr>
              <w:t>（FY6/30）</w:t>
            </w:r>
          </w:p>
        </w:tc>
        <w:tc>
          <w:tcPr>
            <w:tcW w:type="dxa" w:w="1063"/>
          </w:tcPr>
          <w:p>
            <w:pPr>
              <w:spacing w:line="264" w:lineRule="auto" w:after="0"/>
            </w:pPr>
            <w:r/>
            <w:r>
              <w:rPr>
                <w:rFonts w:ascii="Times New Roman" w:hAnsi="Times New Roman" w:cs="Times New Roman" w:eastAsia="宋体"/>
                <w:b/>
                <w:sz w:val="21"/>
              </w:rPr>
              <w:t>15.4★</w:t>
            </w:r>
          </w:p>
        </w:tc>
        <w:tc>
          <w:tcPr>
            <w:tcW w:type="dxa" w:w="1063"/>
          </w:tcPr>
          <w:p>
            <w:pPr>
              <w:spacing w:line="264" w:lineRule="auto" w:after="0"/>
            </w:pPr>
            <w:r/>
            <w:r>
              <w:rPr>
                <w:rFonts w:ascii="Times New Roman" w:hAnsi="Times New Roman" w:cs="Times New Roman" w:eastAsia="宋体"/>
                <w:b/>
                <w:sz w:val="21"/>
              </w:rPr>
              <w:t>20.6★</w:t>
            </w:r>
          </w:p>
        </w:tc>
        <w:tc>
          <w:tcPr>
            <w:tcW w:type="dxa" w:w="1063"/>
          </w:tcPr>
          <w:p>
            <w:pPr>
              <w:spacing w:line="264" w:lineRule="auto" w:after="0"/>
            </w:pPr>
            <w:r/>
            <w:r>
              <w:rPr>
                <w:rFonts w:ascii="Times New Roman" w:hAnsi="Times New Roman" w:cs="Times New Roman" w:eastAsia="宋体"/>
                <w:b/>
                <w:sz w:val="21"/>
              </w:rPr>
              <w:t>23.9★</w:t>
            </w:r>
          </w:p>
        </w:tc>
        <w:tc>
          <w:tcPr>
            <w:tcW w:type="dxa" w:w="1063"/>
          </w:tcPr>
          <w:p>
            <w:pPr>
              <w:spacing w:line="264" w:lineRule="auto" w:after="0"/>
            </w:pPr>
            <w:r/>
            <w:r>
              <w:rPr>
                <w:rFonts w:ascii="Times New Roman" w:hAnsi="Times New Roman" w:cs="Times New Roman" w:eastAsia="宋体"/>
                <w:b/>
                <w:sz w:val="21"/>
              </w:rPr>
              <w:t>28.1★</w:t>
            </w:r>
          </w:p>
        </w:tc>
        <w:tc>
          <w:tcPr>
            <w:tcW w:type="dxa" w:w="1063"/>
          </w:tcPr>
          <w:p>
            <w:pPr>
              <w:spacing w:line="264" w:lineRule="auto" w:after="0"/>
            </w:pPr>
            <w:r/>
            <w:r>
              <w:rPr>
                <w:rFonts w:ascii="Times New Roman" w:hAnsi="Times New Roman" w:cs="Times New Roman" w:eastAsia="宋体"/>
                <w:b/>
                <w:sz w:val="21"/>
              </w:rPr>
              <w:t>44.5★</w:t>
            </w:r>
          </w:p>
        </w:tc>
        <w:tc>
          <w:tcPr>
            <w:tcW w:type="dxa" w:w="1063"/>
          </w:tcPr>
          <w:p>
            <w:pPr>
              <w:spacing w:line="264" w:lineRule="auto" w:after="0"/>
            </w:pPr>
            <w:r/>
            <w:r>
              <w:rPr>
                <w:rFonts w:ascii="Times New Roman" w:hAnsi="Times New Roman" w:cs="Times New Roman" w:eastAsia="宋体"/>
                <w:b/>
                <w:sz w:val="21"/>
              </w:rPr>
              <w:t>64.6★</w:t>
            </w:r>
          </w:p>
        </w:tc>
        <w:tc>
          <w:tcPr>
            <w:tcW w:type="dxa" w:w="1063"/>
          </w:tcPr>
          <w:p>
            <w:pPr>
              <w:spacing w:line="264" w:lineRule="auto" w:after="0"/>
            </w:pPr>
            <w:r/>
            <w:r>
              <w:rPr>
                <w:rFonts w:ascii="Times New Roman" w:hAnsi="Times New Roman" w:cs="Times New Roman" w:eastAsia="宋体"/>
                <w:b w:val="0"/>
                <w:sz w:val="21"/>
              </w:rPr>
              <w:t>全部已核实</w:t>
            </w:r>
          </w:p>
        </w:tc>
      </w:tr>
      <w:tr>
        <w:tc>
          <w:tcPr>
            <w:tcW w:type="dxa" w:w="1063"/>
          </w:tcPr>
          <w:p>
            <w:pPr>
              <w:spacing w:line="264" w:lineRule="auto" w:after="0"/>
            </w:pPr>
            <w:r/>
            <w:r>
              <w:rPr>
                <w:rFonts w:ascii="Times New Roman" w:hAnsi="Times New Roman" w:cs="Times New Roman" w:eastAsia="宋体"/>
                <w:b/>
                <w:sz w:val="21"/>
              </w:rPr>
              <w:t>亚马逊</w:t>
            </w:r>
            <w:r>
              <w:rPr>
                <w:rFonts w:ascii="Times New Roman" w:hAnsi="Times New Roman" w:cs="Times New Roman" w:eastAsia="宋体"/>
                <w:b w:val="0"/>
                <w:sz w:val="21"/>
              </w:rPr>
              <w:t>（日历年）</w:t>
            </w:r>
          </w:p>
        </w:tc>
        <w:tc>
          <w:tcPr>
            <w:tcW w:type="dxa" w:w="1063"/>
          </w:tcPr>
          <w:p>
            <w:pPr>
              <w:spacing w:line="264" w:lineRule="auto" w:after="0"/>
            </w:pPr>
            <w:r/>
            <w:r>
              <w:rPr>
                <w:rFonts w:ascii="Times New Roman" w:hAnsi="Times New Roman" w:cs="Times New Roman" w:eastAsia="宋体"/>
                <w:b/>
                <w:sz w:val="21"/>
              </w:rPr>
              <w:t>40.1★</w:t>
            </w:r>
          </w:p>
        </w:tc>
        <w:tc>
          <w:tcPr>
            <w:tcW w:type="dxa" w:w="1063"/>
          </w:tcPr>
          <w:p>
            <w:pPr>
              <w:spacing w:line="264" w:lineRule="auto" w:after="0"/>
            </w:pPr>
            <w:r/>
            <w:r>
              <w:rPr>
                <w:rFonts w:ascii="Times New Roman" w:hAnsi="Times New Roman" w:cs="Times New Roman" w:eastAsia="宋体"/>
                <w:b/>
                <w:sz w:val="21"/>
              </w:rPr>
              <w:t>61.1★</w:t>
            </w:r>
          </w:p>
        </w:tc>
        <w:tc>
          <w:tcPr>
            <w:tcW w:type="dxa" w:w="1063"/>
          </w:tcPr>
          <w:p>
            <w:pPr>
              <w:spacing w:line="264" w:lineRule="auto" w:after="0"/>
            </w:pPr>
            <w:r/>
            <w:r>
              <w:rPr>
                <w:rFonts w:ascii="Times New Roman" w:hAnsi="Times New Roman" w:cs="Times New Roman" w:eastAsia="宋体"/>
                <w:b/>
                <w:sz w:val="21"/>
              </w:rPr>
              <w:t>63.6★</w:t>
            </w:r>
          </w:p>
        </w:tc>
        <w:tc>
          <w:tcPr>
            <w:tcW w:type="dxa" w:w="1063"/>
          </w:tcPr>
          <w:p>
            <w:pPr>
              <w:spacing w:line="264" w:lineRule="auto" w:after="0"/>
            </w:pPr>
            <w:r/>
            <w:r>
              <w:rPr>
                <w:rFonts w:ascii="Times New Roman" w:hAnsi="Times New Roman" w:cs="Times New Roman" w:eastAsia="宋体"/>
                <w:b/>
                <w:sz w:val="21"/>
              </w:rPr>
              <w:t>52.7★</w:t>
            </w:r>
          </w:p>
        </w:tc>
        <w:tc>
          <w:tcPr>
            <w:tcW w:type="dxa" w:w="1063"/>
          </w:tcPr>
          <w:p>
            <w:pPr>
              <w:spacing w:line="264" w:lineRule="auto" w:after="0"/>
            </w:pPr>
            <w:r/>
            <w:r>
              <w:rPr>
                <w:rFonts w:ascii="Times New Roman" w:hAnsi="Times New Roman" w:cs="Times New Roman" w:eastAsia="宋体"/>
                <w:b/>
                <w:sz w:val="21"/>
              </w:rPr>
              <w:t>83.0★</w:t>
            </w:r>
          </w:p>
        </w:tc>
        <w:tc>
          <w:tcPr>
            <w:tcW w:type="dxa" w:w="1063"/>
          </w:tcPr>
          <w:p>
            <w:pPr>
              <w:spacing w:line="264" w:lineRule="auto" w:after="0"/>
            </w:pPr>
            <w:r/>
            <w:r>
              <w:rPr>
                <w:rFonts w:ascii="Times New Roman" w:hAnsi="Times New Roman" w:cs="Times New Roman" w:eastAsia="宋体"/>
                <w:b/>
                <w:sz w:val="21"/>
              </w:rPr>
              <w:t>131.8★</w:t>
            </w:r>
          </w:p>
        </w:tc>
        <w:tc>
          <w:tcPr>
            <w:tcW w:type="dxa" w:w="1063"/>
          </w:tcPr>
          <w:p>
            <w:pPr>
              <w:spacing w:line="264" w:lineRule="auto" w:after="0"/>
            </w:pPr>
            <w:r/>
            <w:r>
              <w:rPr>
                <w:rFonts w:ascii="Times New Roman" w:hAnsi="Times New Roman" w:cs="Times New Roman" w:eastAsia="宋体"/>
                <w:b w:val="0"/>
                <w:sz w:val="21"/>
              </w:rPr>
              <w:t>全部已核实</w:t>
            </w:r>
          </w:p>
        </w:tc>
      </w:tr>
      <w:tr>
        <w:tc>
          <w:tcPr>
            <w:tcW w:type="dxa" w:w="1063"/>
          </w:tcPr>
          <w:p>
            <w:pPr>
              <w:spacing w:line="264" w:lineRule="auto" w:after="0"/>
            </w:pPr>
            <w:r/>
            <w:r>
              <w:rPr>
                <w:rFonts w:ascii="Times New Roman" w:hAnsi="Times New Roman" w:cs="Times New Roman" w:eastAsia="宋体"/>
                <w:b/>
                <w:sz w:val="21"/>
              </w:rPr>
              <w:t>Alphabet</w:t>
            </w:r>
            <w:r>
              <w:rPr>
                <w:rFonts w:ascii="Times New Roman" w:hAnsi="Times New Roman" w:cs="Times New Roman" w:eastAsia="宋体"/>
                <w:b w:val="0"/>
                <w:sz w:val="21"/>
              </w:rPr>
              <w:t>（日历年）</w:t>
            </w:r>
          </w:p>
        </w:tc>
        <w:tc>
          <w:tcPr>
            <w:tcW w:type="dxa" w:w="1063"/>
          </w:tcPr>
          <w:p>
            <w:pPr>
              <w:spacing w:line="264" w:lineRule="auto" w:after="0"/>
            </w:pPr>
            <w:r/>
            <w:r>
              <w:rPr>
                <w:rFonts w:ascii="Times New Roman" w:hAnsi="Times New Roman" w:cs="Times New Roman" w:eastAsia="宋体"/>
                <w:b/>
                <w:sz w:val="21"/>
              </w:rPr>
              <w:t>22.3★</w:t>
            </w:r>
          </w:p>
        </w:tc>
        <w:tc>
          <w:tcPr>
            <w:tcW w:type="dxa" w:w="1063"/>
          </w:tcPr>
          <w:p>
            <w:pPr>
              <w:spacing w:line="264" w:lineRule="auto" w:after="0"/>
            </w:pPr>
            <w:r/>
            <w:r>
              <w:rPr>
                <w:rFonts w:ascii="Times New Roman" w:hAnsi="Times New Roman" w:cs="Times New Roman" w:eastAsia="宋体"/>
                <w:b/>
                <w:sz w:val="21"/>
              </w:rPr>
              <w:t>24.6★</w:t>
            </w:r>
          </w:p>
        </w:tc>
        <w:tc>
          <w:tcPr>
            <w:tcW w:type="dxa" w:w="1063"/>
          </w:tcPr>
          <w:p>
            <w:pPr>
              <w:spacing w:line="264" w:lineRule="auto" w:after="0"/>
            </w:pPr>
            <w:r/>
            <w:r>
              <w:rPr>
                <w:rFonts w:ascii="Times New Roman" w:hAnsi="Times New Roman" w:cs="Times New Roman" w:eastAsia="宋体"/>
                <w:b/>
                <w:sz w:val="21"/>
              </w:rPr>
              <w:t>31.5★</w:t>
            </w:r>
          </w:p>
        </w:tc>
        <w:tc>
          <w:tcPr>
            <w:tcW w:type="dxa" w:w="1063"/>
          </w:tcPr>
          <w:p>
            <w:pPr>
              <w:spacing w:line="264" w:lineRule="auto" w:after="0"/>
            </w:pPr>
            <w:r/>
            <w:r>
              <w:rPr>
                <w:rFonts w:ascii="Times New Roman" w:hAnsi="Times New Roman" w:cs="Times New Roman" w:eastAsia="宋体"/>
                <w:b/>
                <w:sz w:val="21"/>
              </w:rPr>
              <w:t>32.3★</w:t>
            </w:r>
          </w:p>
        </w:tc>
        <w:tc>
          <w:tcPr>
            <w:tcW w:type="dxa" w:w="1063"/>
          </w:tcPr>
          <w:p>
            <w:pPr>
              <w:spacing w:line="264" w:lineRule="auto" w:after="0"/>
            </w:pPr>
            <w:r/>
            <w:r>
              <w:rPr>
                <w:rFonts w:ascii="Times New Roman" w:hAnsi="Times New Roman" w:cs="Times New Roman" w:eastAsia="宋体"/>
                <w:b/>
                <w:sz w:val="21"/>
              </w:rPr>
              <w:t>52.5★</w:t>
            </w:r>
          </w:p>
        </w:tc>
        <w:tc>
          <w:tcPr>
            <w:tcW w:type="dxa" w:w="1063"/>
          </w:tcPr>
          <w:p>
            <w:pPr>
              <w:spacing w:line="264" w:lineRule="auto" w:after="0"/>
            </w:pPr>
            <w:r/>
            <w:r>
              <w:rPr>
                <w:rFonts w:ascii="Times New Roman" w:hAnsi="Times New Roman" w:cs="Times New Roman" w:eastAsia="宋体"/>
                <w:b/>
                <w:sz w:val="21"/>
              </w:rPr>
              <w:t>91.4★</w:t>
            </w:r>
          </w:p>
        </w:tc>
        <w:tc>
          <w:tcPr>
            <w:tcW w:type="dxa" w:w="1063"/>
          </w:tcPr>
          <w:p>
            <w:pPr>
              <w:spacing w:line="264" w:lineRule="auto" w:after="0"/>
            </w:pPr>
            <w:r/>
            <w:r>
              <w:rPr>
                <w:rFonts w:ascii="Times New Roman" w:hAnsi="Times New Roman" w:cs="Times New Roman" w:eastAsia="宋体"/>
                <w:b w:val="0"/>
                <w:sz w:val="21"/>
              </w:rPr>
              <w:t>全部已核实</w:t>
            </w:r>
          </w:p>
        </w:tc>
      </w:tr>
      <w:tr>
        <w:tc>
          <w:tcPr>
            <w:tcW w:type="dxa" w:w="1063"/>
          </w:tcPr>
          <w:p>
            <w:pPr>
              <w:spacing w:line="264" w:lineRule="auto" w:after="0"/>
            </w:pPr>
            <w:r/>
            <w:r>
              <w:rPr>
                <w:rFonts w:ascii="Times New Roman" w:hAnsi="Times New Roman" w:cs="Times New Roman" w:eastAsia="宋体"/>
                <w:b/>
                <w:sz w:val="21"/>
              </w:rPr>
              <w:t>Meta</w:t>
            </w:r>
            <w:r>
              <w:rPr>
                <w:rFonts w:ascii="Times New Roman" w:hAnsi="Times New Roman" w:cs="Times New Roman" w:eastAsia="宋体"/>
                <w:b w:val="0"/>
                <w:sz w:val="21"/>
              </w:rPr>
              <w:t>（日历年）</w:t>
            </w:r>
          </w:p>
        </w:tc>
        <w:tc>
          <w:tcPr>
            <w:tcW w:type="dxa" w:w="1063"/>
          </w:tcPr>
          <w:p>
            <w:pPr>
              <w:spacing w:line="264" w:lineRule="auto" w:after="0"/>
            </w:pPr>
            <w:r/>
            <w:r>
              <w:rPr>
                <w:rFonts w:ascii="Times New Roman" w:hAnsi="Times New Roman" w:cs="Times New Roman" w:eastAsia="宋体"/>
                <w:b/>
                <w:sz w:val="21"/>
              </w:rPr>
              <w:t>15.2★</w:t>
            </w:r>
          </w:p>
        </w:tc>
        <w:tc>
          <w:tcPr>
            <w:tcW w:type="dxa" w:w="1063"/>
          </w:tcPr>
          <w:p>
            <w:pPr>
              <w:spacing w:line="264" w:lineRule="auto" w:after="0"/>
            </w:pPr>
            <w:r/>
            <w:r>
              <w:rPr>
                <w:rFonts w:ascii="Times New Roman" w:hAnsi="Times New Roman" w:cs="Times New Roman" w:eastAsia="宋体"/>
                <w:b/>
                <w:sz w:val="21"/>
              </w:rPr>
              <w:t>18.7★</w:t>
            </w:r>
          </w:p>
        </w:tc>
        <w:tc>
          <w:tcPr>
            <w:tcW w:type="dxa" w:w="1063"/>
          </w:tcPr>
          <w:p>
            <w:pPr>
              <w:spacing w:line="264" w:lineRule="auto" w:after="0"/>
            </w:pPr>
            <w:r/>
            <w:r>
              <w:rPr>
                <w:rFonts w:ascii="Times New Roman" w:hAnsi="Times New Roman" w:cs="Times New Roman" w:eastAsia="宋体"/>
                <w:b/>
                <w:sz w:val="21"/>
              </w:rPr>
              <w:t>31.4★</w:t>
            </w:r>
          </w:p>
        </w:tc>
        <w:tc>
          <w:tcPr>
            <w:tcW w:type="dxa" w:w="1063"/>
          </w:tcPr>
          <w:p>
            <w:pPr>
              <w:spacing w:line="264" w:lineRule="auto" w:after="0"/>
            </w:pPr>
            <w:r/>
            <w:r>
              <w:rPr>
                <w:rFonts w:ascii="Times New Roman" w:hAnsi="Times New Roman" w:cs="Times New Roman" w:eastAsia="宋体"/>
                <w:b/>
                <w:sz w:val="21"/>
              </w:rPr>
              <w:t>27.0★</w:t>
            </w:r>
          </w:p>
        </w:tc>
        <w:tc>
          <w:tcPr>
            <w:tcW w:type="dxa" w:w="1063"/>
          </w:tcPr>
          <w:p>
            <w:pPr>
              <w:spacing w:line="264" w:lineRule="auto" w:after="0"/>
            </w:pPr>
            <w:r/>
            <w:r>
              <w:rPr>
                <w:rFonts w:ascii="Times New Roman" w:hAnsi="Times New Roman" w:cs="Times New Roman" w:eastAsia="宋体"/>
                <w:b/>
                <w:sz w:val="21"/>
              </w:rPr>
              <w:t>37.3★</w:t>
            </w:r>
          </w:p>
        </w:tc>
        <w:tc>
          <w:tcPr>
            <w:tcW w:type="dxa" w:w="1063"/>
          </w:tcPr>
          <w:p>
            <w:pPr>
              <w:spacing w:line="264" w:lineRule="auto" w:after="0"/>
            </w:pPr>
            <w:r/>
            <w:r>
              <w:rPr>
                <w:rFonts w:ascii="Times New Roman" w:hAnsi="Times New Roman" w:cs="Times New Roman" w:eastAsia="宋体"/>
                <w:b/>
                <w:sz w:val="21"/>
              </w:rPr>
              <w:t>69.7★</w:t>
            </w:r>
          </w:p>
        </w:tc>
        <w:tc>
          <w:tcPr>
            <w:tcW w:type="dxa" w:w="1063"/>
          </w:tcPr>
          <w:p>
            <w:pPr>
              <w:spacing w:line="264" w:lineRule="auto" w:after="0"/>
            </w:pPr>
            <w:r/>
            <w:r>
              <w:rPr>
                <w:rFonts w:ascii="Times New Roman" w:hAnsi="Times New Roman" w:cs="Times New Roman" w:eastAsia="宋体"/>
                <w:b w:val="0"/>
                <w:sz w:val="21"/>
              </w:rPr>
              <w:t>全部已核实</w:t>
            </w:r>
          </w:p>
        </w:tc>
      </w:tr>
      <w:tr>
        <w:tc>
          <w:tcPr>
            <w:tcW w:type="dxa" w:w="1063"/>
          </w:tcPr>
          <w:p>
            <w:pPr>
              <w:spacing w:line="264" w:lineRule="auto" w:after="0"/>
            </w:pPr>
            <w:r/>
            <w:r>
              <w:rPr>
                <w:rFonts w:ascii="Times New Roman" w:hAnsi="Times New Roman" w:cs="Times New Roman" w:eastAsia="宋体"/>
                <w:b/>
                <w:sz w:val="21"/>
              </w:rPr>
              <w:t>英伟达</w:t>
            </w:r>
            <w:r>
              <w:rPr>
                <w:rFonts w:ascii="Times New Roman" w:hAnsi="Times New Roman" w:cs="Times New Roman" w:eastAsia="宋体"/>
                <w:b w:val="0"/>
                <w:sz w:val="21"/>
              </w:rPr>
              <w:t>（财年止1月）</w:t>
            </w:r>
          </w:p>
        </w:tc>
        <w:tc>
          <w:tcPr>
            <w:tcW w:type="dxa" w:w="1063"/>
          </w:tcPr>
          <w:p>
            <w:pPr>
              <w:spacing w:line="264" w:lineRule="auto" w:after="0"/>
            </w:pPr>
            <w:r/>
            <w:r>
              <w:rPr>
                <w:rFonts w:ascii="Times New Roman" w:hAnsi="Times New Roman" w:cs="Times New Roman" w:eastAsia="宋体"/>
                <w:b/>
                <w:sz w:val="21"/>
              </w:rPr>
              <w:t>0.49★</w:t>
            </w:r>
          </w:p>
        </w:tc>
        <w:tc>
          <w:tcPr>
            <w:tcW w:type="dxa" w:w="1063"/>
          </w:tcPr>
          <w:p>
            <w:pPr>
              <w:spacing w:line="264" w:lineRule="auto" w:after="0"/>
            </w:pPr>
            <w:r/>
            <w:r>
              <w:rPr>
                <w:rFonts w:ascii="Times New Roman" w:hAnsi="Times New Roman" w:cs="Times New Roman" w:eastAsia="宋体"/>
                <w:b/>
                <w:sz w:val="21"/>
              </w:rPr>
              <w:t>1.13★</w:t>
            </w:r>
          </w:p>
        </w:tc>
        <w:tc>
          <w:tcPr>
            <w:tcW w:type="dxa" w:w="1063"/>
          </w:tcPr>
          <w:p>
            <w:pPr>
              <w:spacing w:line="264" w:lineRule="auto" w:after="0"/>
            </w:pPr>
            <w:r/>
            <w:r>
              <w:rPr>
                <w:rFonts w:ascii="Times New Roman" w:hAnsi="Times New Roman" w:cs="Times New Roman" w:eastAsia="宋体"/>
                <w:b/>
                <w:sz w:val="21"/>
              </w:rPr>
              <w:t>0.98★</w:t>
            </w:r>
          </w:p>
        </w:tc>
        <w:tc>
          <w:tcPr>
            <w:tcW w:type="dxa" w:w="1063"/>
          </w:tcPr>
          <w:p>
            <w:pPr>
              <w:spacing w:line="264" w:lineRule="auto" w:after="0"/>
            </w:pPr>
            <w:r/>
            <w:r>
              <w:rPr>
                <w:rFonts w:ascii="Times New Roman" w:hAnsi="Times New Roman" w:cs="Times New Roman" w:eastAsia="宋体"/>
                <w:b/>
                <w:sz w:val="21"/>
              </w:rPr>
              <w:t>1.83★</w:t>
            </w:r>
          </w:p>
        </w:tc>
        <w:tc>
          <w:tcPr>
            <w:tcW w:type="dxa" w:w="1063"/>
          </w:tcPr>
          <w:p>
            <w:pPr>
              <w:spacing w:line="264" w:lineRule="auto" w:after="0"/>
            </w:pPr>
            <w:r/>
            <w:r>
              <w:rPr>
                <w:rFonts w:ascii="Times New Roman" w:hAnsi="Times New Roman" w:cs="Times New Roman" w:eastAsia="宋体"/>
                <w:b/>
                <w:sz w:val="21"/>
              </w:rPr>
              <w:t>1.07★</w:t>
            </w:r>
          </w:p>
        </w:tc>
        <w:tc>
          <w:tcPr>
            <w:tcW w:type="dxa" w:w="1063"/>
          </w:tcPr>
          <w:p>
            <w:pPr>
              <w:spacing w:line="264" w:lineRule="auto" w:after="0"/>
            </w:pPr>
            <w:r/>
            <w:r>
              <w:rPr>
                <w:rFonts w:ascii="Times New Roman" w:hAnsi="Times New Roman" w:cs="Times New Roman" w:eastAsia="宋体"/>
                <w:b/>
                <w:sz w:val="21"/>
              </w:rPr>
              <w:t>3.24★</w:t>
            </w:r>
          </w:p>
        </w:tc>
        <w:tc>
          <w:tcPr>
            <w:tcW w:type="dxa" w:w="1063"/>
          </w:tcPr>
          <w:p>
            <w:pPr>
              <w:spacing w:line="264" w:lineRule="auto" w:after="0"/>
            </w:pPr>
            <w:r/>
            <w:r>
              <w:rPr>
                <w:rFonts w:ascii="Times New Roman" w:hAnsi="Times New Roman" w:cs="Times New Roman" w:eastAsia="宋体"/>
                <w:b w:val="0"/>
                <w:sz w:val="21"/>
              </w:rPr>
              <w:t>全部已核实</w:t>
            </w:r>
          </w:p>
        </w:tc>
      </w:tr>
      <w:tr>
        <w:tc>
          <w:tcPr>
            <w:tcW w:type="dxa" w:w="1063"/>
          </w:tcPr>
          <w:p>
            <w:pPr>
              <w:spacing w:line="264" w:lineRule="auto" w:after="0"/>
            </w:pPr>
            <w:r/>
            <w:r>
              <w:rPr>
                <w:rFonts w:ascii="Times New Roman" w:hAnsi="Times New Roman" w:cs="Times New Roman" w:eastAsia="宋体"/>
                <w:b/>
                <w:sz w:val="21"/>
              </w:rPr>
              <w:t>特斯拉</w:t>
            </w:r>
            <w:r>
              <w:rPr>
                <w:rFonts w:ascii="Times New Roman" w:hAnsi="Times New Roman" w:cs="Times New Roman" w:eastAsia="宋体"/>
                <w:b w:val="0"/>
                <w:sz w:val="21"/>
              </w:rPr>
              <w:t>（日历年）</w:t>
            </w:r>
          </w:p>
        </w:tc>
        <w:tc>
          <w:tcPr>
            <w:tcW w:type="dxa" w:w="1063"/>
          </w:tcPr>
          <w:p>
            <w:pPr>
              <w:spacing w:line="264" w:lineRule="auto" w:after="0"/>
            </w:pPr>
            <w:r/>
            <w:r>
              <w:rPr>
                <w:rFonts w:ascii="Times New Roman" w:hAnsi="Times New Roman" w:cs="Times New Roman" w:eastAsia="宋体"/>
                <w:b/>
                <w:sz w:val="21"/>
              </w:rPr>
              <w:t>3.2★</w:t>
            </w:r>
          </w:p>
        </w:tc>
        <w:tc>
          <w:tcPr>
            <w:tcW w:type="dxa" w:w="1063"/>
          </w:tcPr>
          <w:p>
            <w:pPr>
              <w:spacing w:line="264" w:lineRule="auto" w:after="0"/>
            </w:pPr>
            <w:r/>
            <w:r>
              <w:rPr>
                <w:rFonts w:ascii="Times New Roman" w:hAnsi="Times New Roman" w:cs="Times New Roman" w:eastAsia="宋体"/>
                <w:b/>
                <w:sz w:val="21"/>
              </w:rPr>
              <w:t>6.5★</w:t>
            </w:r>
          </w:p>
        </w:tc>
        <w:tc>
          <w:tcPr>
            <w:tcW w:type="dxa" w:w="1063"/>
          </w:tcPr>
          <w:p>
            <w:pPr>
              <w:spacing w:line="264" w:lineRule="auto" w:after="0"/>
            </w:pPr>
            <w:r/>
            <w:r>
              <w:rPr>
                <w:rFonts w:ascii="Times New Roman" w:hAnsi="Times New Roman" w:cs="Times New Roman" w:eastAsia="宋体"/>
                <w:b/>
                <w:sz w:val="21"/>
              </w:rPr>
              <w:t>7.2★</w:t>
            </w:r>
          </w:p>
        </w:tc>
        <w:tc>
          <w:tcPr>
            <w:tcW w:type="dxa" w:w="1063"/>
          </w:tcPr>
          <w:p>
            <w:pPr>
              <w:spacing w:line="264" w:lineRule="auto" w:after="0"/>
            </w:pPr>
            <w:r/>
            <w:r>
              <w:rPr>
                <w:rFonts w:ascii="Times New Roman" w:hAnsi="Times New Roman" w:cs="Times New Roman" w:eastAsia="宋体"/>
                <w:b/>
                <w:sz w:val="21"/>
              </w:rPr>
              <w:t>8.9★</w:t>
            </w:r>
          </w:p>
        </w:tc>
        <w:tc>
          <w:tcPr>
            <w:tcW w:type="dxa" w:w="1063"/>
          </w:tcPr>
          <w:p>
            <w:pPr>
              <w:spacing w:line="264" w:lineRule="auto" w:after="0"/>
            </w:pPr>
            <w:r/>
            <w:r>
              <w:rPr>
                <w:rFonts w:ascii="Times New Roman" w:hAnsi="Times New Roman" w:cs="Times New Roman" w:eastAsia="宋体"/>
                <w:b/>
                <w:sz w:val="21"/>
              </w:rPr>
              <w:t>11.3★</w:t>
            </w:r>
          </w:p>
        </w:tc>
        <w:tc>
          <w:tcPr>
            <w:tcW w:type="dxa" w:w="1063"/>
          </w:tcPr>
          <w:p>
            <w:pPr>
              <w:spacing w:line="264" w:lineRule="auto" w:after="0"/>
            </w:pPr>
            <w:r/>
            <w:r>
              <w:rPr>
                <w:rFonts w:ascii="Times New Roman" w:hAnsi="Times New Roman" w:cs="Times New Roman" w:eastAsia="宋体"/>
                <w:b/>
                <w:sz w:val="21"/>
              </w:rPr>
              <w:t>8.5★</w:t>
            </w:r>
          </w:p>
        </w:tc>
        <w:tc>
          <w:tcPr>
            <w:tcW w:type="dxa" w:w="1063"/>
          </w:tcPr>
          <w:p>
            <w:pPr>
              <w:spacing w:line="264" w:lineRule="auto" w:after="0"/>
            </w:pPr>
            <w:r/>
            <w:r>
              <w:rPr>
                <w:rFonts w:ascii="Times New Roman" w:hAnsi="Times New Roman" w:cs="Times New Roman" w:eastAsia="宋体"/>
                <w:b w:val="0"/>
                <w:sz w:val="21"/>
              </w:rPr>
              <w:t>全部已核实</w:t>
            </w:r>
          </w:p>
        </w:tc>
      </w:tr>
      <w:tr>
        <w:tc>
          <w:tcPr>
            <w:tcW w:type="dxa" w:w="1063"/>
          </w:tcPr>
          <w:p>
            <w:pPr>
              <w:spacing w:line="264" w:lineRule="auto" w:after="0"/>
            </w:pPr>
            <w:r/>
            <w:r>
              <w:rPr>
                <w:rFonts w:ascii="Times New Roman" w:hAnsi="Times New Roman" w:cs="Times New Roman" w:eastAsia="宋体"/>
                <w:b/>
                <w:sz w:val="21"/>
              </w:rPr>
              <w:t>苹果</w:t>
            </w:r>
            <w:r>
              <w:rPr>
                <w:rFonts w:ascii="Times New Roman" w:hAnsi="Times New Roman" w:cs="Times New Roman" w:eastAsia="宋体"/>
                <w:b w:val="0"/>
                <w:sz w:val="21"/>
              </w:rPr>
              <w:t>（FY9月）</w:t>
            </w:r>
          </w:p>
        </w:tc>
        <w:tc>
          <w:tcPr>
            <w:tcW w:type="dxa" w:w="1063"/>
          </w:tcPr>
          <w:p>
            <w:pPr>
              <w:spacing w:line="264" w:lineRule="auto" w:after="0"/>
            </w:pPr>
            <w:r/>
            <w:r>
              <w:rPr>
                <w:rFonts w:ascii="Times New Roman" w:hAnsi="Times New Roman" w:cs="Times New Roman" w:eastAsia="宋体"/>
                <w:b/>
                <w:sz w:val="21"/>
              </w:rPr>
              <w:t>7.3★</w:t>
            </w:r>
          </w:p>
        </w:tc>
        <w:tc>
          <w:tcPr>
            <w:tcW w:type="dxa" w:w="1063"/>
          </w:tcPr>
          <w:p>
            <w:pPr>
              <w:spacing w:line="264" w:lineRule="auto" w:after="0"/>
            </w:pPr>
            <w:r/>
            <w:r>
              <w:rPr>
                <w:rFonts w:ascii="Times New Roman" w:hAnsi="Times New Roman" w:cs="Times New Roman" w:eastAsia="宋体"/>
                <w:b/>
                <w:sz w:val="21"/>
              </w:rPr>
              <w:t>11.1★</w:t>
            </w:r>
          </w:p>
        </w:tc>
        <w:tc>
          <w:tcPr>
            <w:tcW w:type="dxa" w:w="1063"/>
          </w:tcPr>
          <w:p>
            <w:pPr>
              <w:spacing w:line="264" w:lineRule="auto" w:after="0"/>
            </w:pPr>
            <w:r/>
            <w:r>
              <w:rPr>
                <w:rFonts w:ascii="Times New Roman" w:hAnsi="Times New Roman" w:cs="Times New Roman" w:eastAsia="宋体"/>
                <w:b/>
                <w:sz w:val="21"/>
              </w:rPr>
              <w:t>10.7★</w:t>
            </w:r>
          </w:p>
        </w:tc>
        <w:tc>
          <w:tcPr>
            <w:tcW w:type="dxa" w:w="1063"/>
          </w:tcPr>
          <w:p>
            <w:pPr>
              <w:spacing w:line="264" w:lineRule="auto" w:after="0"/>
            </w:pPr>
            <w:r/>
            <w:r>
              <w:rPr>
                <w:rFonts w:ascii="Times New Roman" w:hAnsi="Times New Roman" w:cs="Times New Roman" w:eastAsia="宋体"/>
                <w:b/>
                <w:sz w:val="21"/>
              </w:rPr>
              <w:t>11.0★</w:t>
            </w:r>
          </w:p>
        </w:tc>
        <w:tc>
          <w:tcPr>
            <w:tcW w:type="dxa" w:w="1063"/>
          </w:tcPr>
          <w:p>
            <w:pPr>
              <w:spacing w:line="264" w:lineRule="auto" w:after="0"/>
            </w:pPr>
            <w:r/>
            <w:r>
              <w:rPr>
                <w:rFonts w:ascii="Times New Roman" w:hAnsi="Times New Roman" w:cs="Times New Roman" w:eastAsia="宋体"/>
                <w:b/>
                <w:sz w:val="21"/>
              </w:rPr>
              <w:t>9.5★</w:t>
            </w:r>
          </w:p>
        </w:tc>
        <w:tc>
          <w:tcPr>
            <w:tcW w:type="dxa" w:w="1063"/>
          </w:tcPr>
          <w:p>
            <w:pPr>
              <w:spacing w:line="264" w:lineRule="auto" w:after="0"/>
            </w:pPr>
            <w:r/>
            <w:r>
              <w:rPr>
                <w:rFonts w:ascii="Times New Roman" w:hAnsi="Times New Roman" w:cs="Times New Roman" w:eastAsia="宋体"/>
                <w:b/>
                <w:sz w:val="21"/>
              </w:rPr>
              <w:t>12.7★</w:t>
            </w:r>
          </w:p>
        </w:tc>
        <w:tc>
          <w:tcPr>
            <w:tcW w:type="dxa" w:w="1063"/>
          </w:tcPr>
          <w:p>
            <w:pPr>
              <w:spacing w:line="264" w:lineRule="auto" w:after="0"/>
            </w:pPr>
            <w:r/>
            <w:r>
              <w:rPr>
                <w:rFonts w:ascii="Times New Roman" w:hAnsi="Times New Roman" w:cs="Times New Roman" w:eastAsia="宋体"/>
                <w:b w:val="0"/>
                <w:sz w:val="21"/>
              </w:rPr>
              <w:t>全部已核实</w:t>
            </w:r>
          </w:p>
        </w:tc>
      </w:tr>
    </w:tbl>
    <w:p>
      <w:pPr>
        <w:spacing w:after="40"/>
      </w:pPr>
    </w:p>
    <w:p>
      <w:pPr>
        <w:spacing w:before="160" w:after="120" w:line="360" w:lineRule="auto"/>
      </w:pPr>
      <w:r>
        <w:rPr>
          <w:rFonts w:ascii="Times New Roman" w:hAnsi="Times New Roman" w:cs="Times New Roman" w:eastAsia="黑体"/>
          <w:b/>
          <w:sz w:val="28"/>
        </w:rPr>
        <w:t>2.2 口径补充（重要）</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微软</w:t>
      </w:r>
      <w:r>
        <w:rPr>
          <w:rFonts w:ascii="Times New Roman" w:hAnsi="Times New Roman" w:cs="Times New Roman" w:eastAsia="宋体"/>
          <w:b w:val="0"/>
          <w:sz w:val="24"/>
        </w:rPr>
        <w:t>：上表为"additions to property and equipment"。微软</w:t>
      </w:r>
      <w:r>
        <w:rPr>
          <w:rFonts w:ascii="Times New Roman" w:hAnsi="Times New Roman" w:cs="Times New Roman" w:eastAsia="宋体"/>
          <w:b/>
          <w:sz w:val="24"/>
        </w:rPr>
        <w:t>含融资租赁本金</w:t>
      </w:r>
      <w:r>
        <w:rPr>
          <w:rFonts w:ascii="Times New Roman" w:hAnsi="Times New Roman" w:cs="Times New Roman" w:eastAsia="宋体"/>
          <w:b w:val="0"/>
          <w:sz w:val="24"/>
        </w:rPr>
        <w:t>的总资本投入更高（FY2024/FY2025显著高于现金CapEx）。微软FY2025经营性现金流约$136B，CapEx基本由内部现金流自筹。【含租赁口径数字——来源待核实】</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亚马逊</w:t>
      </w:r>
      <w:r>
        <w:rPr>
          <w:rFonts w:ascii="Times New Roman" w:hAnsi="Times New Roman" w:cs="Times New Roman" w:eastAsia="宋体"/>
          <w:b w:val="0"/>
          <w:sz w:val="24"/>
        </w:rPr>
        <w:t>：上表为"购置不动产与设备"总额（含自建履约/数据中心）。2022年 ≈ $63.6B【已核实】；含设备融资租赁口径2021年约$68.1B【来源待核实】。</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Meta</w:t>
      </w:r>
      <w:r>
        <w:rPr>
          <w:rFonts w:ascii="Times New Roman" w:hAnsi="Times New Roman" w:cs="Times New Roman" w:eastAsia="宋体"/>
          <w:b w:val="0"/>
          <w:sz w:val="24"/>
        </w:rPr>
        <w:t>：上表为"购置不动产与设备"。Meta另披露"含融资租赁本金的资本开支"：2022年 ≈ $32.04B、2024年 ≈ $39.2B【已核实，来自Meta新闻稿】，略高于纯购置口径。</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特斯拉</w:t>
      </w:r>
      <w:r>
        <w:rPr>
          <w:rFonts w:ascii="Times New Roman" w:hAnsi="Times New Roman" w:cs="Times New Roman" w:eastAsia="宋体"/>
          <w:b w:val="0"/>
          <w:sz w:val="24"/>
        </w:rPr>
        <w:t>：6年数据由Tesla官方口径披露并经多源一致【已核实】。其中2024年约$11.3B，2025年回落至约$8.5B。</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英伟达</w:t>
      </w:r>
      <w:r>
        <w:rPr>
          <w:rFonts w:ascii="Times New Roman" w:hAnsi="Times New Roman" w:cs="Times New Roman" w:eastAsia="宋体"/>
          <w:b w:val="0"/>
          <w:sz w:val="24"/>
        </w:rPr>
        <w:t>：fabless（无晶圆厂）模式，自有CapEx极小；FY2025升至约$3.24B主因AI/数据中心配套投入【已核实】。</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苹果</w:t>
      </w:r>
      <w:r>
        <w:rPr>
          <w:rFonts w:ascii="Times New Roman" w:hAnsi="Times New Roman" w:cs="Times New Roman" w:eastAsia="宋体"/>
          <w:b w:val="0"/>
          <w:sz w:val="24"/>
        </w:rPr>
        <w:t>：FY2020–2022 已由</w:t>
      </w:r>
      <w:r>
        <w:rPr>
          <w:rFonts w:ascii="Times New Roman" w:hAnsi="Times New Roman" w:cs="Times New Roman" w:eastAsia="宋体"/>
          <w:b/>
          <w:sz w:val="24"/>
        </w:rPr>
        <w:t>一手 FY2022 10-K 现金流量表</w:t>
      </w:r>
      <w:r>
        <w:rPr>
          <w:rFonts w:ascii="Times New Roman" w:hAnsi="Times New Roman" w:cs="Times New Roman" w:eastAsia="宋体"/>
          <w:b w:val="0"/>
          <w:sz w:val="24"/>
        </w:rPr>
        <w:t>核实（"Payments for acquisition of property, plant and equipment"：7,309 / 11,085 / 10,708 百万美元）【已核实——一手10-K】；FY2023–2025 由 fiscal.ai（底层 S&amp;P Market Intelligence）确认【已核实】。</w:t>
      </w:r>
    </w:p>
    <w:p>
      <w:pPr>
        <w:spacing w:before="160" w:after="120" w:line="360" w:lineRule="auto"/>
      </w:pPr>
      <w:r>
        <w:rPr>
          <w:rFonts w:ascii="Times New Roman" w:hAnsi="Times New Roman" w:cs="Times New Roman" w:eastAsia="黑体"/>
          <w:b/>
          <w:sz w:val="28"/>
        </w:rPr>
        <w:t>2.2b 一手 10-K 核实记录（2020–2025，单位：百万美元）</w:t>
      </w:r>
    </w:p>
    <w:p>
      <w:pPr>
        <w:spacing w:line="360" w:lineRule="auto" w:after="40"/>
        <w:ind w:left="420"/>
      </w:pPr>
      <w:r>
        <w:rPr>
          <w:rFonts w:ascii="Times New Roman" w:hAnsi="Times New Roman" w:cs="Times New Roman" w:eastAsia="宋体"/>
          <w:b w:val="0"/>
          <w:sz w:val="24"/>
        </w:rPr>
        <w:t>下列数字由使用者从各公司</w:t>
      </w:r>
      <w:r>
        <w:rPr>
          <w:rFonts w:ascii="Times New Roman" w:hAnsi="Times New Roman" w:cs="Times New Roman" w:eastAsia="宋体"/>
          <w:b/>
          <w:sz w:val="24"/>
        </w:rPr>
        <w:t>一手 10-K 现金流量表"投资活动"段</w:t>
      </w:r>
      <w:r>
        <w:rPr>
          <w:rFonts w:ascii="Times New Roman" w:hAnsi="Times New Roman" w:cs="Times New Roman" w:eastAsia="宋体"/>
          <w:b w:val="0"/>
          <w:sz w:val="24"/>
        </w:rPr>
        <w:t>逐行截取核对，</w:t>
      </w:r>
      <w:r>
        <w:rPr>
          <w:rFonts w:ascii="Times New Roman" w:hAnsi="Times New Roman" w:cs="Times New Roman" w:eastAsia="宋体"/>
          <w:b/>
          <w:sz w:val="24"/>
        </w:rPr>
        <w:t>【已核实——一手10-K】</w:t>
      </w:r>
      <w:r>
        <w:rPr>
          <w:rFonts w:ascii="Times New Roman" w:hAnsi="Times New Roman" w:cs="Times New Roman" w:eastAsia="宋体"/>
          <w:b w:val="0"/>
          <w:sz w:val="24"/>
        </w:rPr>
        <w:t>：</w:t>
      </w:r>
      <w:r>
        <w:rPr>
          <w:rFonts w:ascii="Times New Roman" w:hAnsi="Times New Roman" w:cs="Times New Roman" w:eastAsia="宋体"/>
          <w:b/>
          <w:sz w:val="24"/>
        </w:rPr>
        <w:t>2020–2022 取自 FY2022 10-K，2023–2025 取自 FY2025 10-K</w:t>
      </w:r>
      <w:r>
        <w:rPr>
          <w:rFonts w:ascii="Times New Roman" w:hAnsi="Times New Roman" w:cs="Times New Roman" w:eastAsia="宋体"/>
          <w:b w:val="0"/>
          <w:sz w:val="24"/>
        </w:rPr>
        <w:t>（各公司财年末不同，最新年报即为 FY2025）。</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val="clear" w:fill="D9E2F3"/>
          </w:tcPr>
          <w:p>
            <w:pPr>
              <w:spacing w:line="264" w:lineRule="auto" w:after="0"/>
            </w:pPr>
            <w:r/>
            <w:r>
              <w:rPr>
                <w:rFonts w:ascii="Times New Roman" w:hAnsi="Times New Roman" w:cs="Times New Roman" w:eastAsia="宋体"/>
                <w:b/>
                <w:sz w:val="21"/>
              </w:rPr>
              <w:t>公司</w:t>
            </w:r>
          </w:p>
        </w:tc>
        <w:tc>
          <w:tcPr>
            <w:tcW w:type="dxa" w:w="1063"/>
            <w:shd w:val="clear" w:fill="D9E2F3"/>
          </w:tcPr>
          <w:p>
            <w:pPr>
              <w:spacing w:line="264" w:lineRule="auto" w:after="0"/>
            </w:pPr>
            <w:r/>
            <w:r>
              <w:rPr>
                <w:rFonts w:ascii="Times New Roman" w:hAnsi="Times New Roman" w:cs="Times New Roman" w:eastAsia="宋体"/>
                <w:b/>
                <w:sz w:val="21"/>
              </w:rPr>
              <w:t>2020</w:t>
            </w:r>
          </w:p>
        </w:tc>
        <w:tc>
          <w:tcPr>
            <w:tcW w:type="dxa" w:w="1063"/>
            <w:shd w:val="clear" w:fill="D9E2F3"/>
          </w:tcPr>
          <w:p>
            <w:pPr>
              <w:spacing w:line="264" w:lineRule="auto" w:after="0"/>
            </w:pPr>
            <w:r/>
            <w:r>
              <w:rPr>
                <w:rFonts w:ascii="Times New Roman" w:hAnsi="Times New Roman" w:cs="Times New Roman" w:eastAsia="宋体"/>
                <w:b/>
                <w:sz w:val="21"/>
              </w:rPr>
              <w:t>2021</w:t>
            </w:r>
          </w:p>
        </w:tc>
        <w:tc>
          <w:tcPr>
            <w:tcW w:type="dxa" w:w="1063"/>
            <w:shd w:val="clear" w:fill="D9E2F3"/>
          </w:tcPr>
          <w:p>
            <w:pPr>
              <w:spacing w:line="264" w:lineRule="auto" w:after="0"/>
            </w:pPr>
            <w:r/>
            <w:r>
              <w:rPr>
                <w:rFonts w:ascii="Times New Roman" w:hAnsi="Times New Roman" w:cs="Times New Roman" w:eastAsia="宋体"/>
                <w:b/>
                <w:sz w:val="21"/>
              </w:rPr>
              <w:t>2022</w:t>
            </w:r>
          </w:p>
        </w:tc>
        <w:tc>
          <w:tcPr>
            <w:tcW w:type="dxa" w:w="1063"/>
            <w:shd w:val="clear" w:fill="D9E2F3"/>
          </w:tcPr>
          <w:p>
            <w:pPr>
              <w:spacing w:line="264" w:lineRule="auto" w:after="0"/>
            </w:pPr>
            <w:r/>
            <w:r>
              <w:rPr>
                <w:rFonts w:ascii="Times New Roman" w:hAnsi="Times New Roman" w:cs="Times New Roman" w:eastAsia="宋体"/>
                <w:b/>
                <w:sz w:val="21"/>
              </w:rPr>
              <w:t>2023</w:t>
            </w:r>
          </w:p>
        </w:tc>
        <w:tc>
          <w:tcPr>
            <w:tcW w:type="dxa" w:w="1063"/>
            <w:shd w:val="clear" w:fill="D9E2F3"/>
          </w:tcPr>
          <w:p>
            <w:pPr>
              <w:spacing w:line="264" w:lineRule="auto" w:after="0"/>
            </w:pPr>
            <w:r/>
            <w:r>
              <w:rPr>
                <w:rFonts w:ascii="Times New Roman" w:hAnsi="Times New Roman" w:cs="Times New Roman" w:eastAsia="宋体"/>
                <w:b/>
                <w:sz w:val="21"/>
              </w:rPr>
              <w:t>2024</w:t>
            </w:r>
          </w:p>
        </w:tc>
        <w:tc>
          <w:tcPr>
            <w:tcW w:type="dxa" w:w="1063"/>
            <w:shd w:val="clear" w:fill="D9E2F3"/>
          </w:tcPr>
          <w:p>
            <w:pPr>
              <w:spacing w:line="264" w:lineRule="auto" w:after="0"/>
            </w:pPr>
            <w:r/>
            <w:r>
              <w:rPr>
                <w:rFonts w:ascii="Times New Roman" w:hAnsi="Times New Roman" w:cs="Times New Roman" w:eastAsia="宋体"/>
                <w:b/>
                <w:sz w:val="21"/>
              </w:rPr>
              <w:t>2025</w:t>
            </w:r>
          </w:p>
        </w:tc>
        <w:tc>
          <w:tcPr>
            <w:tcW w:type="dxa" w:w="1063"/>
            <w:shd w:val="clear" w:fill="D9E2F3"/>
          </w:tcPr>
          <w:p>
            <w:pPr>
              <w:spacing w:line="264" w:lineRule="auto" w:after="0"/>
            </w:pPr>
            <w:r/>
            <w:r>
              <w:rPr>
                <w:rFonts w:ascii="Times New Roman" w:hAnsi="Times New Roman" w:cs="Times New Roman" w:eastAsia="宋体"/>
                <w:b/>
                <w:sz w:val="21"/>
              </w:rPr>
              <w:t>现金流量表对应行项</w:t>
            </w:r>
          </w:p>
        </w:tc>
      </w:tr>
      <w:tr>
        <w:tc>
          <w:tcPr>
            <w:tcW w:type="dxa" w:w="1063"/>
          </w:tcPr>
          <w:p>
            <w:pPr>
              <w:spacing w:line="264" w:lineRule="auto" w:after="0"/>
            </w:pPr>
            <w:r/>
            <w:r>
              <w:rPr>
                <w:rFonts w:ascii="Times New Roman" w:hAnsi="Times New Roman" w:cs="Times New Roman" w:eastAsia="宋体"/>
                <w:b w:val="0"/>
                <w:sz w:val="21"/>
              </w:rPr>
              <w:t>微软（FY6/30）</w:t>
            </w:r>
          </w:p>
        </w:tc>
        <w:tc>
          <w:tcPr>
            <w:tcW w:type="dxa" w:w="1063"/>
          </w:tcPr>
          <w:p>
            <w:pPr>
              <w:spacing w:line="264" w:lineRule="auto" w:after="0"/>
            </w:pPr>
            <w:r/>
            <w:r>
              <w:rPr>
                <w:rFonts w:ascii="Times New Roman" w:hAnsi="Times New Roman" w:cs="Times New Roman" w:eastAsia="宋体"/>
                <w:b w:val="0"/>
                <w:sz w:val="21"/>
              </w:rPr>
              <w:t>15,441</w:t>
            </w:r>
          </w:p>
        </w:tc>
        <w:tc>
          <w:tcPr>
            <w:tcW w:type="dxa" w:w="1063"/>
          </w:tcPr>
          <w:p>
            <w:pPr>
              <w:spacing w:line="264" w:lineRule="auto" w:after="0"/>
            </w:pPr>
            <w:r/>
            <w:r>
              <w:rPr>
                <w:rFonts w:ascii="Times New Roman" w:hAnsi="Times New Roman" w:cs="Times New Roman" w:eastAsia="宋体"/>
                <w:b w:val="0"/>
                <w:sz w:val="21"/>
              </w:rPr>
              <w:t>20,622</w:t>
            </w:r>
          </w:p>
        </w:tc>
        <w:tc>
          <w:tcPr>
            <w:tcW w:type="dxa" w:w="1063"/>
          </w:tcPr>
          <w:p>
            <w:pPr>
              <w:spacing w:line="264" w:lineRule="auto" w:after="0"/>
            </w:pPr>
            <w:r/>
            <w:r>
              <w:rPr>
                <w:rFonts w:ascii="Times New Roman" w:hAnsi="Times New Roman" w:cs="Times New Roman" w:eastAsia="宋体"/>
                <w:b w:val="0"/>
                <w:sz w:val="21"/>
              </w:rPr>
              <w:t>23,886</w:t>
            </w:r>
          </w:p>
        </w:tc>
        <w:tc>
          <w:tcPr>
            <w:tcW w:type="dxa" w:w="1063"/>
          </w:tcPr>
          <w:p>
            <w:pPr>
              <w:spacing w:line="264" w:lineRule="auto" w:after="0"/>
            </w:pPr>
            <w:r/>
            <w:r>
              <w:rPr>
                <w:rFonts w:ascii="Times New Roman" w:hAnsi="Times New Roman" w:cs="Times New Roman" w:eastAsia="宋体"/>
                <w:b w:val="0"/>
                <w:sz w:val="21"/>
              </w:rPr>
              <w:t>28,107</w:t>
            </w:r>
          </w:p>
        </w:tc>
        <w:tc>
          <w:tcPr>
            <w:tcW w:type="dxa" w:w="1063"/>
          </w:tcPr>
          <w:p>
            <w:pPr>
              <w:spacing w:line="264" w:lineRule="auto" w:after="0"/>
            </w:pPr>
            <w:r/>
            <w:r>
              <w:rPr>
                <w:rFonts w:ascii="Times New Roman" w:hAnsi="Times New Roman" w:cs="Times New Roman" w:eastAsia="宋体"/>
                <w:b w:val="0"/>
                <w:sz w:val="21"/>
              </w:rPr>
              <w:t>44,477</w:t>
            </w:r>
          </w:p>
        </w:tc>
        <w:tc>
          <w:tcPr>
            <w:tcW w:type="dxa" w:w="1063"/>
          </w:tcPr>
          <w:p>
            <w:pPr>
              <w:spacing w:line="264" w:lineRule="auto" w:after="0"/>
            </w:pPr>
            <w:r/>
            <w:r>
              <w:rPr>
                <w:rFonts w:ascii="Times New Roman" w:hAnsi="Times New Roman" w:cs="Times New Roman" w:eastAsia="宋体"/>
                <w:b w:val="0"/>
                <w:sz w:val="21"/>
              </w:rPr>
              <w:t>64,551</w:t>
            </w:r>
          </w:p>
        </w:tc>
        <w:tc>
          <w:tcPr>
            <w:tcW w:type="dxa" w:w="1063"/>
          </w:tcPr>
          <w:p>
            <w:pPr>
              <w:spacing w:line="264" w:lineRule="auto" w:after="0"/>
            </w:pPr>
            <w:r/>
            <w:r>
              <w:rPr>
                <w:rFonts w:ascii="Times New Roman" w:hAnsi="Times New Roman" w:cs="Times New Roman" w:eastAsia="宋体"/>
                <w:b w:val="0"/>
                <w:sz w:val="21"/>
              </w:rPr>
              <w:t>Additions to property and equipment</w:t>
            </w:r>
          </w:p>
        </w:tc>
      </w:tr>
      <w:tr>
        <w:tc>
          <w:tcPr>
            <w:tcW w:type="dxa" w:w="1063"/>
          </w:tcPr>
          <w:p>
            <w:pPr>
              <w:spacing w:line="264" w:lineRule="auto" w:after="0"/>
            </w:pPr>
            <w:r/>
            <w:r>
              <w:rPr>
                <w:rFonts w:ascii="Times New Roman" w:hAnsi="Times New Roman" w:cs="Times New Roman" w:eastAsia="宋体"/>
                <w:b w:val="0"/>
                <w:sz w:val="21"/>
              </w:rPr>
              <w:t>亚马逊（日历年）</w:t>
            </w:r>
          </w:p>
        </w:tc>
        <w:tc>
          <w:tcPr>
            <w:tcW w:type="dxa" w:w="1063"/>
          </w:tcPr>
          <w:p>
            <w:pPr>
              <w:spacing w:line="264" w:lineRule="auto" w:after="0"/>
            </w:pPr>
            <w:r/>
            <w:r>
              <w:rPr>
                <w:rFonts w:ascii="Times New Roman" w:hAnsi="Times New Roman" w:cs="Times New Roman" w:eastAsia="宋体"/>
                <w:b w:val="0"/>
                <w:sz w:val="21"/>
              </w:rPr>
              <w:t>40,140</w:t>
            </w:r>
          </w:p>
        </w:tc>
        <w:tc>
          <w:tcPr>
            <w:tcW w:type="dxa" w:w="1063"/>
          </w:tcPr>
          <w:p>
            <w:pPr>
              <w:spacing w:line="264" w:lineRule="auto" w:after="0"/>
            </w:pPr>
            <w:r/>
            <w:r>
              <w:rPr>
                <w:rFonts w:ascii="Times New Roman" w:hAnsi="Times New Roman" w:cs="Times New Roman" w:eastAsia="宋体"/>
                <w:b w:val="0"/>
                <w:sz w:val="21"/>
              </w:rPr>
              <w:t>61,053</w:t>
            </w:r>
          </w:p>
        </w:tc>
        <w:tc>
          <w:tcPr>
            <w:tcW w:type="dxa" w:w="1063"/>
          </w:tcPr>
          <w:p>
            <w:pPr>
              <w:spacing w:line="264" w:lineRule="auto" w:after="0"/>
            </w:pPr>
            <w:r/>
            <w:r>
              <w:rPr>
                <w:rFonts w:ascii="Times New Roman" w:hAnsi="Times New Roman" w:cs="Times New Roman" w:eastAsia="宋体"/>
                <w:b w:val="0"/>
                <w:sz w:val="21"/>
              </w:rPr>
              <w:t>63,645</w:t>
            </w:r>
          </w:p>
        </w:tc>
        <w:tc>
          <w:tcPr>
            <w:tcW w:type="dxa" w:w="1063"/>
          </w:tcPr>
          <w:p>
            <w:pPr>
              <w:spacing w:line="264" w:lineRule="auto" w:after="0"/>
            </w:pPr>
            <w:r/>
            <w:r>
              <w:rPr>
                <w:rFonts w:ascii="Times New Roman" w:hAnsi="Times New Roman" w:cs="Times New Roman" w:eastAsia="宋体"/>
                <w:b w:val="0"/>
                <w:sz w:val="21"/>
              </w:rPr>
              <w:t>52,729</w:t>
            </w:r>
          </w:p>
        </w:tc>
        <w:tc>
          <w:tcPr>
            <w:tcW w:type="dxa" w:w="1063"/>
          </w:tcPr>
          <w:p>
            <w:pPr>
              <w:spacing w:line="264" w:lineRule="auto" w:after="0"/>
            </w:pPr>
            <w:r/>
            <w:r>
              <w:rPr>
                <w:rFonts w:ascii="Times New Roman" w:hAnsi="Times New Roman" w:cs="Times New Roman" w:eastAsia="宋体"/>
                <w:b w:val="0"/>
                <w:sz w:val="21"/>
              </w:rPr>
              <w:t>82,999</w:t>
            </w:r>
          </w:p>
        </w:tc>
        <w:tc>
          <w:tcPr>
            <w:tcW w:type="dxa" w:w="1063"/>
          </w:tcPr>
          <w:p>
            <w:pPr>
              <w:spacing w:line="264" w:lineRule="auto" w:after="0"/>
            </w:pPr>
            <w:r/>
            <w:r>
              <w:rPr>
                <w:rFonts w:ascii="Times New Roman" w:hAnsi="Times New Roman" w:cs="Times New Roman" w:eastAsia="宋体"/>
                <w:b w:val="0"/>
                <w:sz w:val="21"/>
              </w:rPr>
              <w:t>131,819</w:t>
            </w:r>
          </w:p>
        </w:tc>
        <w:tc>
          <w:tcPr>
            <w:tcW w:type="dxa" w:w="1063"/>
          </w:tcPr>
          <w:p>
            <w:pPr>
              <w:spacing w:line="264" w:lineRule="auto" w:after="0"/>
            </w:pPr>
            <w:r/>
            <w:r>
              <w:rPr>
                <w:rFonts w:ascii="Times New Roman" w:hAnsi="Times New Roman" w:cs="Times New Roman" w:eastAsia="宋体"/>
                <w:b w:val="0"/>
                <w:sz w:val="21"/>
              </w:rPr>
              <w:t>Purchases of property and equipment</w:t>
            </w:r>
          </w:p>
        </w:tc>
      </w:tr>
      <w:tr>
        <w:tc>
          <w:tcPr>
            <w:tcW w:type="dxa" w:w="1063"/>
          </w:tcPr>
          <w:p>
            <w:pPr>
              <w:spacing w:line="264" w:lineRule="auto" w:after="0"/>
            </w:pPr>
            <w:r/>
            <w:r>
              <w:rPr>
                <w:rFonts w:ascii="Times New Roman" w:hAnsi="Times New Roman" w:cs="Times New Roman" w:eastAsia="宋体"/>
                <w:b w:val="0"/>
                <w:sz w:val="21"/>
              </w:rPr>
              <w:t>Alphabet（日历年）</w:t>
            </w:r>
          </w:p>
        </w:tc>
        <w:tc>
          <w:tcPr>
            <w:tcW w:type="dxa" w:w="1063"/>
          </w:tcPr>
          <w:p>
            <w:pPr>
              <w:spacing w:line="264" w:lineRule="auto" w:after="0"/>
            </w:pPr>
            <w:r/>
            <w:r>
              <w:rPr>
                <w:rFonts w:ascii="Times New Roman" w:hAnsi="Times New Roman" w:cs="Times New Roman" w:eastAsia="宋体"/>
                <w:b w:val="0"/>
                <w:sz w:val="21"/>
              </w:rPr>
              <w:t>22,281</w:t>
            </w:r>
          </w:p>
        </w:tc>
        <w:tc>
          <w:tcPr>
            <w:tcW w:type="dxa" w:w="1063"/>
          </w:tcPr>
          <w:p>
            <w:pPr>
              <w:spacing w:line="264" w:lineRule="auto" w:after="0"/>
            </w:pPr>
            <w:r/>
            <w:r>
              <w:rPr>
                <w:rFonts w:ascii="Times New Roman" w:hAnsi="Times New Roman" w:cs="Times New Roman" w:eastAsia="宋体"/>
                <w:b w:val="0"/>
                <w:sz w:val="21"/>
              </w:rPr>
              <w:t>24,640</w:t>
            </w:r>
          </w:p>
        </w:tc>
        <w:tc>
          <w:tcPr>
            <w:tcW w:type="dxa" w:w="1063"/>
          </w:tcPr>
          <w:p>
            <w:pPr>
              <w:spacing w:line="264" w:lineRule="auto" w:after="0"/>
            </w:pPr>
            <w:r/>
            <w:r>
              <w:rPr>
                <w:rFonts w:ascii="Times New Roman" w:hAnsi="Times New Roman" w:cs="Times New Roman" w:eastAsia="宋体"/>
                <w:b w:val="0"/>
                <w:sz w:val="21"/>
              </w:rPr>
              <w:t>31,485</w:t>
            </w:r>
          </w:p>
        </w:tc>
        <w:tc>
          <w:tcPr>
            <w:tcW w:type="dxa" w:w="1063"/>
          </w:tcPr>
          <w:p>
            <w:pPr>
              <w:spacing w:line="264" w:lineRule="auto" w:after="0"/>
            </w:pPr>
            <w:r/>
            <w:r>
              <w:rPr>
                <w:rFonts w:ascii="Times New Roman" w:hAnsi="Times New Roman" w:cs="Times New Roman" w:eastAsia="宋体"/>
                <w:b w:val="0"/>
                <w:sz w:val="21"/>
              </w:rPr>
              <w:t>32,251</w:t>
            </w:r>
          </w:p>
        </w:tc>
        <w:tc>
          <w:tcPr>
            <w:tcW w:type="dxa" w:w="1063"/>
          </w:tcPr>
          <w:p>
            <w:pPr>
              <w:spacing w:line="264" w:lineRule="auto" w:after="0"/>
            </w:pPr>
            <w:r/>
            <w:r>
              <w:rPr>
                <w:rFonts w:ascii="Times New Roman" w:hAnsi="Times New Roman" w:cs="Times New Roman" w:eastAsia="宋体"/>
                <w:b w:val="0"/>
                <w:sz w:val="21"/>
              </w:rPr>
              <w:t>52,535</w:t>
            </w:r>
          </w:p>
        </w:tc>
        <w:tc>
          <w:tcPr>
            <w:tcW w:type="dxa" w:w="1063"/>
          </w:tcPr>
          <w:p>
            <w:pPr>
              <w:spacing w:line="264" w:lineRule="auto" w:after="0"/>
            </w:pPr>
            <w:r/>
            <w:r>
              <w:rPr>
                <w:rFonts w:ascii="Times New Roman" w:hAnsi="Times New Roman" w:cs="Times New Roman" w:eastAsia="宋体"/>
                <w:b w:val="0"/>
                <w:sz w:val="21"/>
              </w:rPr>
              <w:t>91,447</w:t>
            </w:r>
          </w:p>
        </w:tc>
        <w:tc>
          <w:tcPr>
            <w:tcW w:type="dxa" w:w="1063"/>
          </w:tcPr>
          <w:p>
            <w:pPr>
              <w:spacing w:line="264" w:lineRule="auto" w:after="0"/>
            </w:pPr>
            <w:r/>
            <w:r>
              <w:rPr>
                <w:rFonts w:ascii="Times New Roman" w:hAnsi="Times New Roman" w:cs="Times New Roman" w:eastAsia="宋体"/>
                <w:b w:val="0"/>
                <w:sz w:val="21"/>
              </w:rPr>
              <w:t>Purchases of property and equipment</w:t>
            </w:r>
          </w:p>
        </w:tc>
      </w:tr>
      <w:tr>
        <w:tc>
          <w:tcPr>
            <w:tcW w:type="dxa" w:w="1063"/>
          </w:tcPr>
          <w:p>
            <w:pPr>
              <w:spacing w:line="264" w:lineRule="auto" w:after="0"/>
            </w:pPr>
            <w:r/>
            <w:r>
              <w:rPr>
                <w:rFonts w:ascii="Times New Roman" w:hAnsi="Times New Roman" w:cs="Times New Roman" w:eastAsia="宋体"/>
                <w:b w:val="0"/>
                <w:sz w:val="21"/>
              </w:rPr>
              <w:t>Meta（日历年）</w:t>
            </w:r>
          </w:p>
        </w:tc>
        <w:tc>
          <w:tcPr>
            <w:tcW w:type="dxa" w:w="1063"/>
          </w:tcPr>
          <w:p>
            <w:pPr>
              <w:spacing w:line="264" w:lineRule="auto" w:after="0"/>
            </w:pPr>
            <w:r/>
            <w:r>
              <w:rPr>
                <w:rFonts w:ascii="Times New Roman" w:hAnsi="Times New Roman" w:cs="Times New Roman" w:eastAsia="宋体"/>
                <w:b w:val="0"/>
                <w:sz w:val="21"/>
              </w:rPr>
              <w:t>15,163</w:t>
            </w:r>
          </w:p>
        </w:tc>
        <w:tc>
          <w:tcPr>
            <w:tcW w:type="dxa" w:w="1063"/>
          </w:tcPr>
          <w:p>
            <w:pPr>
              <w:spacing w:line="264" w:lineRule="auto" w:after="0"/>
            </w:pPr>
            <w:r/>
            <w:r>
              <w:rPr>
                <w:rFonts w:ascii="Times New Roman" w:hAnsi="Times New Roman" w:cs="Times New Roman" w:eastAsia="宋体"/>
                <w:b w:val="0"/>
                <w:sz w:val="21"/>
              </w:rPr>
              <w:t>18,690</w:t>
            </w:r>
          </w:p>
        </w:tc>
        <w:tc>
          <w:tcPr>
            <w:tcW w:type="dxa" w:w="1063"/>
          </w:tcPr>
          <w:p>
            <w:pPr>
              <w:spacing w:line="264" w:lineRule="auto" w:after="0"/>
            </w:pPr>
            <w:r/>
            <w:r>
              <w:rPr>
                <w:rFonts w:ascii="Times New Roman" w:hAnsi="Times New Roman" w:cs="Times New Roman" w:eastAsia="宋体"/>
                <w:b w:val="0"/>
                <w:sz w:val="21"/>
              </w:rPr>
              <w:t>31,431</w:t>
            </w:r>
          </w:p>
        </w:tc>
        <w:tc>
          <w:tcPr>
            <w:tcW w:type="dxa" w:w="1063"/>
          </w:tcPr>
          <w:p>
            <w:pPr>
              <w:spacing w:line="264" w:lineRule="auto" w:after="0"/>
            </w:pPr>
            <w:r/>
            <w:r>
              <w:rPr>
                <w:rFonts w:ascii="Times New Roman" w:hAnsi="Times New Roman" w:cs="Times New Roman" w:eastAsia="宋体"/>
                <w:b w:val="0"/>
                <w:sz w:val="21"/>
              </w:rPr>
              <w:t>27,045</w:t>
            </w:r>
          </w:p>
        </w:tc>
        <w:tc>
          <w:tcPr>
            <w:tcW w:type="dxa" w:w="1063"/>
          </w:tcPr>
          <w:p>
            <w:pPr>
              <w:spacing w:line="264" w:lineRule="auto" w:after="0"/>
            </w:pPr>
            <w:r/>
            <w:r>
              <w:rPr>
                <w:rFonts w:ascii="Times New Roman" w:hAnsi="Times New Roman" w:cs="Times New Roman" w:eastAsia="宋体"/>
                <w:b w:val="0"/>
                <w:sz w:val="21"/>
              </w:rPr>
              <w:t>37,256</w:t>
            </w:r>
          </w:p>
        </w:tc>
        <w:tc>
          <w:tcPr>
            <w:tcW w:type="dxa" w:w="1063"/>
          </w:tcPr>
          <w:p>
            <w:pPr>
              <w:spacing w:line="264" w:lineRule="auto" w:after="0"/>
            </w:pPr>
            <w:r/>
            <w:r>
              <w:rPr>
                <w:rFonts w:ascii="Times New Roman" w:hAnsi="Times New Roman" w:cs="Times New Roman" w:eastAsia="宋体"/>
                <w:b w:val="0"/>
                <w:sz w:val="21"/>
              </w:rPr>
              <w:t>69,691</w:t>
            </w:r>
          </w:p>
        </w:tc>
        <w:tc>
          <w:tcPr>
            <w:tcW w:type="dxa" w:w="1063"/>
          </w:tcPr>
          <w:p>
            <w:pPr>
              <w:spacing w:line="264" w:lineRule="auto" w:after="0"/>
            </w:pPr>
            <w:r/>
            <w:r>
              <w:rPr>
                <w:rFonts w:ascii="Times New Roman" w:hAnsi="Times New Roman" w:cs="Times New Roman" w:eastAsia="宋体"/>
                <w:b w:val="0"/>
                <w:sz w:val="21"/>
              </w:rPr>
              <w:t>Purchases of property and equipment</w:t>
            </w:r>
          </w:p>
        </w:tc>
      </w:tr>
      <w:tr>
        <w:tc>
          <w:tcPr>
            <w:tcW w:type="dxa" w:w="1063"/>
          </w:tcPr>
          <w:p>
            <w:pPr>
              <w:spacing w:line="264" w:lineRule="auto" w:after="0"/>
            </w:pPr>
            <w:r/>
            <w:r>
              <w:rPr>
                <w:rFonts w:ascii="Times New Roman" w:hAnsi="Times New Roman" w:cs="Times New Roman" w:eastAsia="宋体"/>
                <w:b w:val="0"/>
                <w:sz w:val="21"/>
              </w:rPr>
              <w:t>英伟达（FY止1月）</w:t>
            </w:r>
          </w:p>
        </w:tc>
        <w:tc>
          <w:tcPr>
            <w:tcW w:type="dxa" w:w="1063"/>
          </w:tcPr>
          <w:p>
            <w:pPr>
              <w:spacing w:line="264" w:lineRule="auto" w:after="0"/>
            </w:pPr>
            <w:r/>
            <w:r>
              <w:rPr>
                <w:rFonts w:ascii="Times New Roman" w:hAnsi="Times New Roman" w:cs="Times New Roman" w:eastAsia="宋体"/>
                <w:b w:val="0"/>
                <w:sz w:val="21"/>
              </w:rPr>
              <w:t>489</w:t>
            </w:r>
          </w:p>
        </w:tc>
        <w:tc>
          <w:tcPr>
            <w:tcW w:type="dxa" w:w="1063"/>
          </w:tcPr>
          <w:p>
            <w:pPr>
              <w:spacing w:line="264" w:lineRule="auto" w:after="0"/>
            </w:pPr>
            <w:r/>
            <w:r>
              <w:rPr>
                <w:rFonts w:ascii="Times New Roman" w:hAnsi="Times New Roman" w:cs="Times New Roman" w:eastAsia="宋体"/>
                <w:b w:val="0"/>
                <w:sz w:val="21"/>
              </w:rPr>
              <w:t>1,128</w:t>
            </w:r>
          </w:p>
        </w:tc>
        <w:tc>
          <w:tcPr>
            <w:tcW w:type="dxa" w:w="1063"/>
          </w:tcPr>
          <w:p>
            <w:pPr>
              <w:spacing w:line="264" w:lineRule="auto" w:after="0"/>
            </w:pPr>
            <w:r/>
            <w:r>
              <w:rPr>
                <w:rFonts w:ascii="Times New Roman" w:hAnsi="Times New Roman" w:cs="Times New Roman" w:eastAsia="宋体"/>
                <w:b w:val="0"/>
                <w:sz w:val="21"/>
              </w:rPr>
              <w:t>976</w:t>
            </w:r>
          </w:p>
        </w:tc>
        <w:tc>
          <w:tcPr>
            <w:tcW w:type="dxa" w:w="1063"/>
          </w:tcPr>
          <w:p>
            <w:pPr>
              <w:spacing w:line="264" w:lineRule="auto" w:after="0"/>
            </w:pPr>
            <w:r/>
            <w:r>
              <w:rPr>
                <w:rFonts w:ascii="Times New Roman" w:hAnsi="Times New Roman" w:cs="Times New Roman" w:eastAsia="宋体"/>
                <w:b w:val="0"/>
                <w:sz w:val="21"/>
              </w:rPr>
              <w:t>1,833</w:t>
            </w:r>
          </w:p>
        </w:tc>
        <w:tc>
          <w:tcPr>
            <w:tcW w:type="dxa" w:w="1063"/>
          </w:tcPr>
          <w:p>
            <w:pPr>
              <w:spacing w:line="264" w:lineRule="auto" w:after="0"/>
            </w:pPr>
            <w:r/>
            <w:r>
              <w:rPr>
                <w:rFonts w:ascii="Times New Roman" w:hAnsi="Times New Roman" w:cs="Times New Roman" w:eastAsia="宋体"/>
                <w:b w:val="0"/>
                <w:sz w:val="21"/>
              </w:rPr>
              <w:t>1,069</w:t>
            </w:r>
          </w:p>
        </w:tc>
        <w:tc>
          <w:tcPr>
            <w:tcW w:type="dxa" w:w="1063"/>
          </w:tcPr>
          <w:p>
            <w:pPr>
              <w:spacing w:line="264" w:lineRule="auto" w:after="0"/>
            </w:pPr>
            <w:r/>
            <w:r>
              <w:rPr>
                <w:rFonts w:ascii="Times New Roman" w:hAnsi="Times New Roman" w:cs="Times New Roman" w:eastAsia="宋体"/>
                <w:b w:val="0"/>
                <w:sz w:val="21"/>
              </w:rPr>
              <w:t>3,236</w:t>
            </w:r>
          </w:p>
        </w:tc>
        <w:tc>
          <w:tcPr>
            <w:tcW w:type="dxa" w:w="1063"/>
          </w:tcPr>
          <w:p>
            <w:pPr>
              <w:spacing w:line="264" w:lineRule="auto" w:after="0"/>
            </w:pPr>
            <w:r/>
            <w:r>
              <w:rPr>
                <w:rFonts w:ascii="Times New Roman" w:hAnsi="Times New Roman" w:cs="Times New Roman" w:eastAsia="宋体"/>
                <w:b w:val="0"/>
                <w:sz w:val="21"/>
              </w:rPr>
              <w:t>Purchases related to property and equipment and intangible assets</w:t>
            </w:r>
          </w:p>
        </w:tc>
      </w:tr>
      <w:tr>
        <w:tc>
          <w:tcPr>
            <w:tcW w:type="dxa" w:w="1063"/>
          </w:tcPr>
          <w:p>
            <w:pPr>
              <w:spacing w:line="264" w:lineRule="auto" w:after="0"/>
            </w:pPr>
            <w:r/>
            <w:r>
              <w:rPr>
                <w:rFonts w:ascii="Times New Roman" w:hAnsi="Times New Roman" w:cs="Times New Roman" w:eastAsia="宋体"/>
                <w:b w:val="0"/>
                <w:sz w:val="21"/>
              </w:rPr>
              <w:t>苹果（FY9月）</w:t>
            </w:r>
          </w:p>
        </w:tc>
        <w:tc>
          <w:tcPr>
            <w:tcW w:type="dxa" w:w="1063"/>
          </w:tcPr>
          <w:p>
            <w:pPr>
              <w:spacing w:line="264" w:lineRule="auto" w:after="0"/>
            </w:pPr>
            <w:r/>
            <w:r>
              <w:rPr>
                <w:rFonts w:ascii="Times New Roman" w:hAnsi="Times New Roman" w:cs="Times New Roman" w:eastAsia="宋体"/>
                <w:b w:val="0"/>
                <w:sz w:val="21"/>
              </w:rPr>
              <w:t>7,309</w:t>
            </w:r>
          </w:p>
        </w:tc>
        <w:tc>
          <w:tcPr>
            <w:tcW w:type="dxa" w:w="1063"/>
          </w:tcPr>
          <w:p>
            <w:pPr>
              <w:spacing w:line="264" w:lineRule="auto" w:after="0"/>
            </w:pPr>
            <w:r/>
            <w:r>
              <w:rPr>
                <w:rFonts w:ascii="Times New Roman" w:hAnsi="Times New Roman" w:cs="Times New Roman" w:eastAsia="宋体"/>
                <w:b w:val="0"/>
                <w:sz w:val="21"/>
              </w:rPr>
              <w:t>11,085</w:t>
            </w:r>
          </w:p>
        </w:tc>
        <w:tc>
          <w:tcPr>
            <w:tcW w:type="dxa" w:w="1063"/>
          </w:tcPr>
          <w:p>
            <w:pPr>
              <w:spacing w:line="264" w:lineRule="auto" w:after="0"/>
            </w:pPr>
            <w:r/>
            <w:r>
              <w:rPr>
                <w:rFonts w:ascii="Times New Roman" w:hAnsi="Times New Roman" w:cs="Times New Roman" w:eastAsia="宋体"/>
                <w:b w:val="0"/>
                <w:sz w:val="21"/>
              </w:rPr>
              <w:t>10,708</w:t>
            </w:r>
          </w:p>
        </w:tc>
        <w:tc>
          <w:tcPr>
            <w:tcW w:type="dxa" w:w="1063"/>
          </w:tcPr>
          <w:p>
            <w:pPr>
              <w:spacing w:line="264" w:lineRule="auto" w:after="0"/>
            </w:pPr>
            <w:r/>
            <w:r>
              <w:rPr>
                <w:rFonts w:ascii="Times New Roman" w:hAnsi="Times New Roman" w:cs="Times New Roman" w:eastAsia="宋体"/>
                <w:b w:val="0"/>
                <w:sz w:val="21"/>
              </w:rPr>
              <w:t>10,959</w:t>
            </w:r>
          </w:p>
        </w:tc>
        <w:tc>
          <w:tcPr>
            <w:tcW w:type="dxa" w:w="1063"/>
          </w:tcPr>
          <w:p>
            <w:pPr>
              <w:spacing w:line="264" w:lineRule="auto" w:after="0"/>
            </w:pPr>
            <w:r/>
            <w:r>
              <w:rPr>
                <w:rFonts w:ascii="Times New Roman" w:hAnsi="Times New Roman" w:cs="Times New Roman" w:eastAsia="宋体"/>
                <w:b w:val="0"/>
                <w:sz w:val="21"/>
              </w:rPr>
              <w:t>9,447</w:t>
            </w:r>
          </w:p>
        </w:tc>
        <w:tc>
          <w:tcPr>
            <w:tcW w:type="dxa" w:w="1063"/>
          </w:tcPr>
          <w:p>
            <w:pPr>
              <w:spacing w:line="264" w:lineRule="auto" w:after="0"/>
            </w:pPr>
            <w:r/>
            <w:r>
              <w:rPr>
                <w:rFonts w:ascii="Times New Roman" w:hAnsi="Times New Roman" w:cs="Times New Roman" w:eastAsia="宋体"/>
                <w:b w:val="0"/>
                <w:sz w:val="21"/>
              </w:rPr>
              <w:t>12,715</w:t>
            </w:r>
          </w:p>
        </w:tc>
        <w:tc>
          <w:tcPr>
            <w:tcW w:type="dxa" w:w="1063"/>
          </w:tcPr>
          <w:p>
            <w:pPr>
              <w:spacing w:line="264" w:lineRule="auto" w:after="0"/>
            </w:pPr>
            <w:r/>
            <w:r>
              <w:rPr>
                <w:rFonts w:ascii="Times New Roman" w:hAnsi="Times New Roman" w:cs="Times New Roman" w:eastAsia="宋体"/>
                <w:b w:val="0"/>
                <w:sz w:val="21"/>
              </w:rPr>
              <w:t>Payments for acquisition of property, plant and equipment</w:t>
            </w:r>
          </w:p>
        </w:tc>
      </w:tr>
      <w:tr>
        <w:tc>
          <w:tcPr>
            <w:tcW w:type="dxa" w:w="1063"/>
          </w:tcPr>
          <w:p>
            <w:pPr>
              <w:spacing w:line="264" w:lineRule="auto" w:after="0"/>
            </w:pPr>
            <w:r/>
            <w:r>
              <w:rPr>
                <w:rFonts w:ascii="Times New Roman" w:hAnsi="Times New Roman" w:cs="Times New Roman" w:eastAsia="宋体"/>
                <w:b w:val="0"/>
                <w:sz w:val="21"/>
              </w:rPr>
              <w:t>特斯拉（日历年）</w:t>
            </w:r>
          </w:p>
        </w:tc>
        <w:tc>
          <w:tcPr>
            <w:tcW w:type="dxa" w:w="1063"/>
          </w:tcPr>
          <w:p>
            <w:pPr>
              <w:spacing w:line="264" w:lineRule="auto" w:after="0"/>
            </w:pPr>
            <w:r/>
            <w:r>
              <w:rPr>
                <w:rFonts w:ascii="Times New Roman" w:hAnsi="Times New Roman" w:cs="Times New Roman" w:eastAsia="宋体"/>
                <w:b w:val="0"/>
                <w:sz w:val="21"/>
              </w:rPr>
              <w:t>3,157</w:t>
            </w:r>
          </w:p>
        </w:tc>
        <w:tc>
          <w:tcPr>
            <w:tcW w:type="dxa" w:w="1063"/>
          </w:tcPr>
          <w:p>
            <w:pPr>
              <w:spacing w:line="264" w:lineRule="auto" w:after="0"/>
            </w:pPr>
            <w:r/>
            <w:r>
              <w:rPr>
                <w:rFonts w:ascii="Times New Roman" w:hAnsi="Times New Roman" w:cs="Times New Roman" w:eastAsia="宋体"/>
                <w:b w:val="0"/>
                <w:sz w:val="21"/>
              </w:rPr>
              <w:t>6,482</w:t>
            </w:r>
          </w:p>
        </w:tc>
        <w:tc>
          <w:tcPr>
            <w:tcW w:type="dxa" w:w="1063"/>
          </w:tcPr>
          <w:p>
            <w:pPr>
              <w:spacing w:line="264" w:lineRule="auto" w:after="0"/>
            </w:pPr>
            <w:r/>
            <w:r>
              <w:rPr>
                <w:rFonts w:ascii="Times New Roman" w:hAnsi="Times New Roman" w:cs="Times New Roman" w:eastAsia="宋体"/>
                <w:b w:val="0"/>
                <w:sz w:val="21"/>
              </w:rPr>
              <w:t>7,158</w:t>
            </w:r>
          </w:p>
        </w:tc>
        <w:tc>
          <w:tcPr>
            <w:tcW w:type="dxa" w:w="1063"/>
          </w:tcPr>
          <w:p>
            <w:pPr>
              <w:spacing w:line="264" w:lineRule="auto" w:after="0"/>
            </w:pPr>
            <w:r/>
            <w:r>
              <w:rPr>
                <w:rFonts w:ascii="Times New Roman" w:hAnsi="Times New Roman" w:cs="Times New Roman" w:eastAsia="宋体"/>
                <w:b w:val="0"/>
                <w:sz w:val="21"/>
              </w:rPr>
              <w:t>8,899</w:t>
            </w:r>
          </w:p>
        </w:tc>
        <w:tc>
          <w:tcPr>
            <w:tcW w:type="dxa" w:w="1063"/>
          </w:tcPr>
          <w:p>
            <w:pPr>
              <w:spacing w:line="264" w:lineRule="auto" w:after="0"/>
            </w:pPr>
            <w:r/>
            <w:r>
              <w:rPr>
                <w:rFonts w:ascii="Times New Roman" w:hAnsi="Times New Roman" w:cs="Times New Roman" w:eastAsia="宋体"/>
                <w:b w:val="0"/>
                <w:sz w:val="21"/>
              </w:rPr>
              <w:t>11,342</w:t>
            </w:r>
          </w:p>
        </w:tc>
        <w:tc>
          <w:tcPr>
            <w:tcW w:type="dxa" w:w="1063"/>
          </w:tcPr>
          <w:p>
            <w:pPr>
              <w:spacing w:line="264" w:lineRule="auto" w:after="0"/>
            </w:pPr>
            <w:r/>
            <w:r>
              <w:rPr>
                <w:rFonts w:ascii="Times New Roman" w:hAnsi="Times New Roman" w:cs="Times New Roman" w:eastAsia="宋体"/>
                <w:b w:val="0"/>
                <w:sz w:val="21"/>
              </w:rPr>
              <w:t>8,527</w:t>
            </w:r>
          </w:p>
        </w:tc>
        <w:tc>
          <w:tcPr>
            <w:tcW w:type="dxa" w:w="1063"/>
          </w:tcPr>
          <w:p>
            <w:pPr>
              <w:spacing w:line="264" w:lineRule="auto" w:after="0"/>
            </w:pPr>
            <w:r/>
            <w:r>
              <w:rPr>
                <w:rFonts w:ascii="Times New Roman" w:hAnsi="Times New Roman" w:cs="Times New Roman" w:eastAsia="宋体"/>
                <w:b w:val="0"/>
                <w:sz w:val="21"/>
              </w:rPr>
              <w:t>Purchases of property and equipment excluding finance leases, net of sales</w:t>
            </w:r>
          </w:p>
        </w:tc>
      </w:tr>
    </w:tbl>
    <w:p>
      <w:pPr>
        <w:spacing w:after="40"/>
      </w:pPr>
    </w:p>
    <w:p>
      <w:pPr>
        <w:spacing w:line="360" w:lineRule="auto" w:after="40"/>
        <w:ind w:left="420"/>
      </w:pPr>
      <w:r>
        <w:rPr>
          <w:rFonts w:ascii="Times New Roman" w:hAnsi="Times New Roman" w:cs="Times New Roman" w:eastAsia="宋体"/>
          <w:b w:val="0"/>
          <w:sz w:val="24"/>
        </w:rPr>
        <w:t>备注：</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Meta 两口径并存</w:t>
      </w:r>
      <w:r>
        <w:rPr>
          <w:rFonts w:ascii="Times New Roman" w:hAnsi="Times New Roman" w:cs="Times New Roman" w:eastAsia="宋体"/>
          <w:b w:val="0"/>
          <w:sz w:val="24"/>
        </w:rPr>
        <w:t>：上表为"购置 PP&amp;E"口径；其"含融资租赁本金"的资本开支更大——2020≈15,720、2022≈32,036、2023≈28,102、2024≈39,230、2025≈约 72,200。媒体常引用的 Meta 2025"约 72B"即含租赁口径。</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特斯拉</w:t>
      </w:r>
      <w:r>
        <w:rPr>
          <w:rFonts w:ascii="Times New Roman" w:hAnsi="Times New Roman" w:cs="Times New Roman" w:eastAsia="宋体"/>
          <w:b w:val="0"/>
          <w:sz w:val="24"/>
        </w:rPr>
        <w:t>口径为"不含融资租赁、且已扣除资产出售净额"，与其余各家口径略有差异。</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英伟达财年止于 1 月底，故其"2025"为截至 2025/1 的财年。</w:t>
      </w:r>
    </w:p>
    <w:p>
      <w:pPr>
        <w:spacing w:before="160" w:after="120" w:line="360" w:lineRule="auto"/>
      </w:pPr>
      <w:r>
        <w:rPr>
          <w:rFonts w:ascii="Times New Roman" w:hAnsi="Times New Roman" w:cs="Times New Roman" w:eastAsia="黑体"/>
          <w:b/>
          <w:sz w:val="28"/>
        </w:rPr>
        <w:t>2.3 趋势要点（均有来源支撑）</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微软、亚马逊、Alphabet、Meta四家"重资产建AI"巨头2024→2025 CapEx集体跳升，2025年分别约 </w:t>
      </w:r>
      <w:r>
        <w:rPr>
          <w:rFonts w:ascii="Times New Roman" w:hAnsi="Times New Roman" w:cs="Times New Roman" w:eastAsia="宋体"/>
          <w:b/>
          <w:sz w:val="24"/>
        </w:rPr>
        <w:t>$64.6B / $131.8B / $91.4B / $69.7B</w:t>
      </w:r>
      <w:r>
        <w:rPr>
          <w:rFonts w:ascii="Times New Roman" w:hAnsi="Times New Roman" w:cs="Times New Roman" w:eastAsia="宋体"/>
          <w:b w:val="0"/>
          <w:sz w:val="24"/>
        </w:rPr>
        <w:t>（Meta 含融资租赁口径约 $72.2B）。</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前瞻（公司 2026 指引）：</w:t>
      </w:r>
      <w:r>
        <w:rPr>
          <w:rFonts w:ascii="Times New Roman" w:hAnsi="Times New Roman" w:cs="Times New Roman" w:eastAsia="宋体"/>
          <w:b/>
          <w:sz w:val="24"/>
        </w:rPr>
        <w:t>亚马逊 $200B</w:t>
      </w:r>
      <w:r>
        <w:rPr>
          <w:rFonts w:ascii="Times New Roman" w:hAnsi="Times New Roman" w:cs="Times New Roman" w:eastAsia="宋体"/>
          <w:b w:val="0"/>
          <w:sz w:val="24"/>
        </w:rPr>
        <w:t>、</w:t>
      </w:r>
      <w:r>
        <w:rPr>
          <w:rFonts w:ascii="Times New Roman" w:hAnsi="Times New Roman" w:cs="Times New Roman" w:eastAsia="宋体"/>
          <w:b/>
          <w:sz w:val="24"/>
        </w:rPr>
        <w:t>谷歌 $180B</w:t>
      </w:r>
      <w:r>
        <w:rPr>
          <w:rFonts w:ascii="Times New Roman" w:hAnsi="Times New Roman" w:cs="Times New Roman" w:eastAsia="宋体"/>
          <w:b w:val="0"/>
          <w:sz w:val="24"/>
        </w:rPr>
        <w:t>（另有上调至最高 $190B 报道）、</w:t>
      </w:r>
      <w:r>
        <w:rPr>
          <w:rFonts w:ascii="Times New Roman" w:hAnsi="Times New Roman" w:cs="Times New Roman" w:eastAsia="宋体"/>
          <w:b/>
          <w:sz w:val="24"/>
        </w:rPr>
        <w:t>Meta $125B</w:t>
      </w:r>
      <w:r>
        <w:rPr>
          <w:rFonts w:ascii="Times New Roman" w:hAnsi="Times New Roman" w:cs="Times New Roman" w:eastAsia="宋体"/>
          <w:b w:val="0"/>
          <w:sz w:val="24"/>
        </w:rPr>
        <w:t>、</w:t>
      </w:r>
      <w:r>
        <w:rPr>
          <w:rFonts w:ascii="Times New Roman" w:hAnsi="Times New Roman" w:cs="Times New Roman" w:eastAsia="宋体"/>
          <w:b/>
          <w:sz w:val="24"/>
        </w:rPr>
        <w:t>微软 $140B+</w:t>
      </w:r>
      <w:r>
        <w:rPr>
          <w:rFonts w:ascii="Times New Roman" w:hAnsi="Times New Roman" w:cs="Times New Roman" w:eastAsia="宋体"/>
          <w:b w:val="0"/>
          <w:sz w:val="24"/>
        </w:rPr>
        <w:t>（不提供日历年指引）、</w:t>
      </w:r>
      <w:r>
        <w:rPr>
          <w:rFonts w:ascii="Times New Roman" w:hAnsi="Times New Roman" w:cs="Times New Roman" w:eastAsia="宋体"/>
          <w:b/>
          <w:sz w:val="24"/>
        </w:rPr>
        <w:t>特斯拉 $25B</w:t>
      </w:r>
      <w:r>
        <w:rPr>
          <w:rFonts w:ascii="Times New Roman" w:hAnsi="Times New Roman" w:cs="Times New Roman" w:eastAsia="宋体"/>
          <w:b w:val="0"/>
          <w:sz w:val="24"/>
        </w:rPr>
        <w:t>（1 月 &gt;$20B，4 月上调；Q1 季度 $2.5B）。</w:t>
      </w:r>
      <w:r>
        <w:rPr>
          <w:rFonts w:ascii="Times New Roman" w:hAnsi="Times New Roman" w:cs="Times New Roman" w:eastAsia="宋体"/>
          <w:b/>
          <w:sz w:val="24"/>
        </w:rPr>
        <w:t>【已核实】</w:t>
      </w:r>
      <w:r>
        <w:rPr>
          <w:rFonts w:ascii="Times New Roman" w:hAnsi="Times New Roman" w:cs="Times New Roman" w:eastAsia="宋体"/>
          <w:b w:val="0"/>
          <w:sz w:val="24"/>
        </w:rPr>
        <w:t xml:space="preserve">——四大云 2026 指引来源 </w:t>
      </w:r>
      <w:hyperlink r:id="rId19">
        <w:r>
          <w:rPr>
            <w:rFonts w:ascii="Times New Roman" w:hAnsi="Times New Roman" w:eastAsia="宋体"/>
            <w:color w:val="0563C1"/>
            <w:u w:val="single"/>
            <w:sz w:val="24"/>
          </w:rPr>
          <w:t xml:space="preserve">Platformonomics 2025 回顾</w:t>
        </w:r>
      </w:hyperlink>
      <w:r>
        <w:rPr>
          <w:rFonts w:ascii="Times New Roman" w:hAnsi="Times New Roman" w:cs="Times New Roman" w:eastAsia="宋体"/>
          <w:b w:val="0"/>
          <w:sz w:val="24"/>
        </w:rPr>
        <w:t xml:space="preserve">（其 2025 营收现金流 vs 2026 指引对照表）；特斯拉来源 </w:t>
      </w:r>
      <w:hyperlink r:id="rId20">
        <w:r>
          <w:rPr>
            <w:rFonts w:ascii="Times New Roman" w:hAnsi="Times New Roman" w:eastAsia="宋体"/>
            <w:color w:val="0563C1"/>
            <w:u w:val="single"/>
            <w:sz w:val="24"/>
          </w:rPr>
          <w:t xml:space="preserve">TechCrunch 2026-04-22</w:t>
        </w:r>
      </w:hyperlink>
      <w:r>
        <w:rPr>
          <w:rFonts w:ascii="Times New Roman" w:hAnsi="Times New Roman" w:cs="Times New Roman" w:eastAsia="宋体"/>
          <w:b w:val="0"/>
          <w:sz w:val="24"/>
        </w:rPr>
        <w:t>。</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2025 经营性现金流（日历年，Platformonomics）：亚马逊 $139.5B、谷歌 $164.7B、Meta $115.8B、微软 $160.5B——</w:t>
      </w:r>
      <w:r>
        <w:rPr>
          <w:rFonts w:ascii="Times New Roman" w:hAnsi="Times New Roman" w:cs="Times New Roman" w:eastAsia="宋体"/>
          <w:b/>
          <w:sz w:val="24"/>
        </w:rPr>
        <w:t>四家 2026 指引普遍逼近或超过其经营现金流</w:t>
      </w:r>
      <w:r>
        <w:rPr>
          <w:rFonts w:ascii="Times New Roman" w:hAnsi="Times New Roman" w:cs="Times New Roman" w:eastAsia="宋体"/>
          <w:b w:val="0"/>
          <w:sz w:val="24"/>
        </w:rPr>
        <w:t>，除微软外或将转为自由现金流为负。</w:t>
      </w:r>
      <w:r>
        <w:rPr>
          <w:rFonts w:ascii="Times New Roman" w:hAnsi="Times New Roman" w:cs="Times New Roman" w:eastAsia="宋体"/>
          <w:b/>
          <w:sz w:val="24"/>
        </w:rPr>
        <w:t>【已核实——Platformonomics 2025 回顾】</w:t>
      </w:r>
    </w:p>
    <w:p>
      <w:pPr>
        <w:spacing w:line="360" w:lineRule="auto" w:after="40"/>
        <w:ind w:firstLine="480"/>
      </w:pPr>
      <w:r>
        <w:rPr>
          <w:rFonts w:ascii="Times New Roman" w:hAnsi="Times New Roman" w:cs="Times New Roman" w:eastAsia="宋体"/>
          <w:b/>
          <w:sz w:val="24"/>
        </w:rPr>
        <w:t>来源</w:t>
      </w:r>
      <w:r>
        <w:rPr>
          <w:rFonts w:ascii="Times New Roman" w:hAnsi="Times New Roman" w:cs="Times New Roman" w:eastAsia="宋体"/>
          <w:b w:val="0"/>
          <w:sz w:val="24"/>
        </w:rPr>
        <w:t>：</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微软：</w:t>
      </w:r>
      <w:hyperlink r:id="rId21">
        <w:r>
          <w:rPr>
            <w:rFonts w:ascii="Times New Roman" w:hAnsi="Times New Roman" w:eastAsia="宋体"/>
            <w:color w:val="0563C1"/>
            <w:u w:val="single"/>
            <w:sz w:val="24"/>
          </w:rPr>
          <w:t xml:space="preserve">SEC 10-K FY2024</w:t>
        </w:r>
      </w:hyperlink>
      <w:r>
        <w:rPr>
          <w:rFonts w:ascii="Times New Roman" w:hAnsi="Times New Roman" w:cs="Times New Roman" w:eastAsia="宋体"/>
          <w:b w:val="0"/>
          <w:sz w:val="24"/>
        </w:rPr>
        <w:t>、</w:t>
      </w:r>
      <w:hyperlink r:id="rId22">
        <w:r>
          <w:rPr>
            <w:rFonts w:ascii="Times New Roman" w:hAnsi="Times New Roman" w:eastAsia="宋体"/>
            <w:color w:val="0563C1"/>
            <w:u w:val="single"/>
            <w:sz w:val="24"/>
          </w:rPr>
          <w:t xml:space="preserve">Microsoft FY2025 业绩 8-K</w:t>
        </w:r>
      </w:hyperlink>
      <w:r>
        <w:rPr>
          <w:rFonts w:ascii="Times New Roman" w:hAnsi="Times New Roman" w:cs="Times New Roman" w:eastAsia="宋体"/>
          <w:b w:val="0"/>
          <w:sz w:val="24"/>
        </w:rPr>
        <w:t>、</w:t>
      </w:r>
      <w:hyperlink r:id="rId23">
        <w:r>
          <w:rPr>
            <w:rFonts w:ascii="Times New Roman" w:hAnsi="Times New Roman" w:eastAsia="宋体"/>
            <w:color w:val="0563C1"/>
            <w:u w:val="single"/>
            <w:sz w:val="24"/>
          </w:rPr>
          <w:t xml:space="preserve">financecharts MSFT CapEx</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亚马逊：</w:t>
      </w:r>
      <w:hyperlink r:id="rId24">
        <w:r>
          <w:rPr>
            <w:rFonts w:ascii="Times New Roman" w:hAnsi="Times New Roman" w:eastAsia="宋体"/>
            <w:color w:val="0563C1"/>
            <w:u w:val="single"/>
            <w:sz w:val="24"/>
          </w:rPr>
          <w:t xml:space="preserve">macrotrends AMZN PP&amp;E</w:t>
        </w:r>
      </w:hyperlink>
      <w:r>
        <w:rPr>
          <w:rFonts w:ascii="Times New Roman" w:hAnsi="Times New Roman" w:cs="Times New Roman" w:eastAsia="宋体"/>
          <w:b w:val="0"/>
          <w:sz w:val="24"/>
        </w:rPr>
        <w:t>、</w:t>
      </w:r>
      <w:hyperlink r:id="rId25">
        <w:r>
          <w:rPr>
            <w:rFonts w:ascii="Times New Roman" w:hAnsi="Times New Roman" w:eastAsia="宋体"/>
            <w:color w:val="0563C1"/>
            <w:u w:val="single"/>
            <w:sz w:val="24"/>
          </w:rPr>
          <w:t xml:space="preserve">CNBC：Amazon capex surges 81%</w:t>
        </w:r>
      </w:hyperlink>
      <w:r>
        <w:rPr>
          <w:rFonts w:ascii="Times New Roman" w:hAnsi="Times New Roman" w:cs="Times New Roman" w:eastAsia="宋体"/>
          <w:b w:val="0"/>
          <w:sz w:val="24"/>
        </w:rPr>
        <w:t>、</w:t>
      </w:r>
      <w:hyperlink r:id="rId19">
        <w:r>
          <w:rPr>
            <w:rFonts w:ascii="Times New Roman" w:hAnsi="Times New Roman" w:eastAsia="宋体"/>
            <w:color w:val="0563C1"/>
            <w:u w:val="single"/>
            <w:sz w:val="24"/>
          </w:rPr>
          <w:t xml:space="preserve">Platformonomics CapEx 2025回顾</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Alphabet：</w:t>
      </w:r>
      <w:hyperlink r:id="rId26">
        <w:r>
          <w:rPr>
            <w:rFonts w:ascii="Times New Roman" w:hAnsi="Times New Roman" w:eastAsia="宋体"/>
            <w:color w:val="0563C1"/>
            <w:u w:val="single"/>
            <w:sz w:val="24"/>
          </w:rPr>
          <w:t xml:space="preserve">Alphabet FY2024 业绩 8-K（SEC）</w:t>
        </w:r>
      </w:hyperlink>
      <w:r>
        <w:rPr>
          <w:rFonts w:ascii="Times New Roman" w:hAnsi="Times New Roman" w:cs="Times New Roman" w:eastAsia="宋体"/>
          <w:b w:val="0"/>
          <w:sz w:val="24"/>
        </w:rPr>
        <w:t>、</w:t>
      </w:r>
      <w:hyperlink r:id="rId27">
        <w:r>
          <w:rPr>
            <w:rFonts w:ascii="Times New Roman" w:hAnsi="Times New Roman" w:eastAsia="宋体"/>
            <w:color w:val="0563C1"/>
            <w:u w:val="single"/>
            <w:sz w:val="24"/>
          </w:rPr>
          <w:t xml:space="preserve">Alphabet FY2025 业绩 8-K（SEC）</w:t>
        </w:r>
      </w:hyperlink>
      <w:r>
        <w:rPr>
          <w:rFonts w:ascii="Times New Roman" w:hAnsi="Times New Roman" w:cs="Times New Roman" w:eastAsia="宋体"/>
          <w:b w:val="0"/>
          <w:sz w:val="24"/>
        </w:rPr>
        <w:t>、</w:t>
      </w:r>
      <w:hyperlink r:id="rId28">
        <w:r>
          <w:rPr>
            <w:rFonts w:ascii="Times New Roman" w:hAnsi="Times New Roman" w:eastAsia="宋体"/>
            <w:color w:val="0563C1"/>
            <w:u w:val="single"/>
            <w:sz w:val="24"/>
          </w:rPr>
          <w:t xml:space="preserve">GOOG 10-K 2025</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Meta：</w:t>
      </w:r>
      <w:hyperlink r:id="rId29">
        <w:r>
          <w:rPr>
            <w:rFonts w:ascii="Times New Roman" w:hAnsi="Times New Roman" w:eastAsia="宋体"/>
            <w:color w:val="0563C1"/>
            <w:u w:val="single"/>
            <w:sz w:val="24"/>
          </w:rPr>
          <w:t xml:space="preserve">Meta 2025 Q4 &amp; 全年业绩（投资者关系）</w:t>
        </w:r>
      </w:hyperlink>
      <w:r>
        <w:rPr>
          <w:rFonts w:ascii="Times New Roman" w:hAnsi="Times New Roman" w:cs="Times New Roman" w:eastAsia="宋体"/>
          <w:b w:val="0"/>
          <w:sz w:val="24"/>
        </w:rPr>
        <w:t>、</w:t>
      </w:r>
      <w:hyperlink r:id="rId30">
        <w:r>
          <w:rPr>
            <w:rFonts w:ascii="Times New Roman" w:hAnsi="Times New Roman" w:eastAsia="宋体"/>
            <w:color w:val="0563C1"/>
            <w:u w:val="single"/>
            <w:sz w:val="24"/>
          </w:rPr>
          <w:t xml:space="preserve">Meta 2022全年业绩（PRNewswire）</w:t>
        </w:r>
      </w:hyperlink>
      <w:r>
        <w:rPr>
          <w:rFonts w:ascii="Times New Roman" w:hAnsi="Times New Roman" w:cs="Times New Roman" w:eastAsia="宋体"/>
          <w:b w:val="0"/>
          <w:sz w:val="24"/>
        </w:rPr>
        <w:t>、</w:t>
      </w:r>
      <w:hyperlink r:id="rId31">
        <w:r>
          <w:rPr>
            <w:rFonts w:ascii="Times New Roman" w:hAnsi="Times New Roman" w:eastAsia="宋体"/>
            <w:color w:val="0563C1"/>
            <w:u w:val="single"/>
            <w:sz w:val="24"/>
          </w:rPr>
          <w:t xml:space="preserve">Statista：Meta CapEx</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英伟达：</w:t>
      </w:r>
      <w:hyperlink r:id="rId32">
        <w:r>
          <w:rPr>
            <w:rFonts w:ascii="Times New Roman" w:hAnsi="Times New Roman" w:eastAsia="宋体"/>
            <w:color w:val="0563C1"/>
            <w:u w:val="single"/>
            <w:sz w:val="24"/>
          </w:rPr>
          <w:t xml:space="preserve">NVIDIA 10-K FY2025 财务表（SEC）</w:t>
        </w:r>
      </w:hyperlink>
      <w:r>
        <w:rPr>
          <w:rFonts w:ascii="Times New Roman" w:hAnsi="Times New Roman" w:cs="Times New Roman" w:eastAsia="宋体"/>
          <w:b w:val="0"/>
          <w:sz w:val="24"/>
        </w:rPr>
        <w:t>、</w:t>
      </w:r>
      <w:hyperlink r:id="rId33">
        <w:r>
          <w:rPr>
            <w:rFonts w:ascii="Times New Roman" w:hAnsi="Times New Roman" w:eastAsia="宋体"/>
            <w:color w:val="0563C1"/>
            <w:u w:val="single"/>
            <w:sz w:val="24"/>
          </w:rPr>
          <w:t xml:space="preserve">Bullfincher NVDA 财报</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特斯拉：</w:t>
      </w:r>
      <w:hyperlink r:id="rId34">
        <w:r>
          <w:rPr>
            <w:rFonts w:ascii="Times New Roman" w:hAnsi="Times New Roman" w:eastAsia="宋体"/>
            <w:color w:val="0563C1"/>
            <w:u w:val="single"/>
            <w:sz w:val="24"/>
          </w:rPr>
          <w:t xml:space="preserve">Tesla 2024 Q4 8-K（SEC）</w:t>
        </w:r>
      </w:hyperlink>
      <w:r>
        <w:rPr>
          <w:rFonts w:ascii="Times New Roman" w:hAnsi="Times New Roman" w:cs="Times New Roman" w:eastAsia="宋体"/>
          <w:b w:val="0"/>
          <w:sz w:val="24"/>
        </w:rPr>
        <w:t>、</w:t>
      </w:r>
      <w:hyperlink r:id="rId20">
        <w:r>
          <w:rPr>
            <w:rFonts w:ascii="Times New Roman" w:hAnsi="Times New Roman" w:eastAsia="宋体"/>
            <w:color w:val="0563C1"/>
            <w:u w:val="single"/>
            <w:sz w:val="24"/>
          </w:rPr>
          <w:t xml:space="preserve">TechCrunch：Tesla capex $25B</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苹果：</w:t>
      </w:r>
      <w:hyperlink r:id="rId35">
        <w:r>
          <w:rPr>
            <w:rFonts w:ascii="Times New Roman" w:hAnsi="Times New Roman" w:eastAsia="宋体"/>
            <w:color w:val="0563C1"/>
            <w:u w:val="single"/>
            <w:sz w:val="24"/>
          </w:rPr>
          <w:t xml:space="preserve">Apple Financial Statements (Bullfincher)</w:t>
        </w:r>
      </w:hyperlink>
      <w:r>
        <w:rPr>
          <w:rFonts w:ascii="Times New Roman" w:hAnsi="Times New Roman" w:cs="Times New Roman" w:eastAsia="宋体"/>
          <w:b w:val="0"/>
          <w:sz w:val="24"/>
        </w:rPr>
        <w:t>、</w:t>
      </w:r>
      <w:hyperlink r:id="rId36">
        <w:r>
          <w:rPr>
            <w:rFonts w:ascii="Times New Roman" w:hAnsi="Times New Roman" w:eastAsia="宋体"/>
            <w:color w:val="0563C1"/>
            <w:u w:val="single"/>
            <w:sz w:val="24"/>
          </w:rPr>
          <w:t xml:space="preserve">financecharts AAPL CapEx</w:t>
        </w:r>
      </w:hyperlink>
    </w:p>
    <w:p>
      <w:pPr>
        <w:pBdr>
          <w:bottom w:val="single" w:sz="6" w:space="1" w:color="AAAAAA"/>
        </w:pBdr>
        <w:spacing w:after="80"/>
      </w:pPr>
    </w:p>
    <w:p>
      <w:pPr>
        <w:spacing w:before="240" w:after="120" w:line="360" w:lineRule="auto"/>
      </w:pPr>
      <w:r>
        <w:rPr>
          <w:rFonts w:ascii="Times New Roman" w:hAnsi="Times New Roman" w:cs="Times New Roman" w:eastAsia="黑体"/>
          <w:b/>
          <w:sz w:val="32"/>
        </w:rPr>
        <w:t>三、用于数据中心建设的资本性开支</w:t>
      </w:r>
    </w:p>
    <w:p>
      <w:pPr>
        <w:spacing w:line="360" w:lineRule="auto" w:after="40"/>
        <w:ind w:left="420"/>
      </w:pPr>
      <w:r>
        <w:rPr>
          <w:rFonts w:ascii="Times New Roman" w:hAnsi="Times New Roman" w:cs="Times New Roman" w:eastAsia="宋体"/>
          <w:b/>
          <w:sz w:val="24"/>
        </w:rPr>
        <w:t>核心事实</w:t>
      </w:r>
      <w:r>
        <w:rPr>
          <w:rFonts w:ascii="Times New Roman" w:hAnsi="Times New Roman" w:cs="Times New Roman" w:eastAsia="宋体"/>
          <w:b w:val="0"/>
          <w:sz w:val="24"/>
        </w:rPr>
        <w:t>：七家中</w:t>
      </w:r>
      <w:r>
        <w:rPr>
          <w:rFonts w:ascii="Times New Roman" w:hAnsi="Times New Roman" w:cs="Times New Roman" w:eastAsia="宋体"/>
          <w:b/>
          <w:sz w:val="24"/>
        </w:rPr>
        <w:t>只有亚马逊在 10-K 里单独披露 AWS 资本开支</w:t>
      </w:r>
      <w:r>
        <w:rPr>
          <w:rFonts w:ascii="Times New Roman" w:hAnsi="Times New Roman" w:cs="Times New Roman" w:eastAsia="宋体"/>
          <w:b w:val="0"/>
          <w:sz w:val="24"/>
        </w:rPr>
        <w:t>（最接近"数据中心专项 capex"的官方数字）；其余公司</w:t>
      </w:r>
      <w:r>
        <w:rPr>
          <w:rFonts w:ascii="Times New Roman" w:hAnsi="Times New Roman" w:cs="Times New Roman" w:eastAsia="宋体"/>
          <w:b/>
          <w:sz w:val="24"/>
        </w:rPr>
        <w:t>不单列</w:t>
      </w:r>
      <w:r>
        <w:rPr>
          <w:rFonts w:ascii="Times New Roman" w:hAnsi="Times New Roman" w:cs="Times New Roman" w:eastAsia="宋体"/>
          <w:b w:val="0"/>
          <w:sz w:val="24"/>
        </w:rPr>
        <w:t xml:space="preserve">，只能借助分析师估算。本节据此分三块：§3.1 逐年数据中心 capex 估算（基于业内权威分析 </w:t>
      </w:r>
      <w:r>
        <w:rPr>
          <w:rFonts w:ascii="Times New Roman" w:hAnsi="Times New Roman" w:cs="Times New Roman" w:eastAsia="宋体"/>
          <w:b/>
          <w:sz w:val="24"/>
        </w:rPr>
        <w:t>Platformonomics – Charles Fitzgerald《Follow the CAPEX》年度回顾</w:t>
      </w:r>
      <w:r>
        <w:rPr>
          <w:rFonts w:ascii="Times New Roman" w:hAnsi="Times New Roman" w:cs="Times New Roman" w:eastAsia="宋体"/>
          <w:b w:val="0"/>
          <w:sz w:val="24"/>
        </w:rPr>
        <w:t xml:space="preserve"> + 亚马逊 10-K）；§3.2 各公司定性 + 双语引述。</w:t>
      </w:r>
    </w:p>
    <w:p>
      <w:pPr>
        <w:spacing w:line="360" w:lineRule="auto" w:after="40"/>
        <w:ind w:left="420"/>
      </w:pPr>
      <w:r>
        <w:rPr>
          <w:rFonts w:ascii="Times New Roman" w:hAnsi="Times New Roman" w:cs="Times New Roman" w:eastAsia="宋体"/>
          <w:b w:val="0"/>
          <w:sz w:val="24"/>
        </w:rPr>
        <w:t xml:space="preserve">⚠️ </w:t>
      </w:r>
      <w:r>
        <w:rPr>
          <w:rFonts w:ascii="Times New Roman" w:hAnsi="Times New Roman" w:cs="Times New Roman" w:eastAsia="宋体"/>
          <w:b/>
          <w:sz w:val="24"/>
        </w:rPr>
        <w:t>口径警示（与第二节不同，务必注意，非矛盾）</w:t>
      </w:r>
      <w:r>
        <w:rPr>
          <w:rFonts w:ascii="Times New Roman" w:hAnsi="Times New Roman" w:cs="Times New Roman" w:eastAsia="宋体"/>
          <w:b w:val="0"/>
          <w:sz w:val="24"/>
        </w:rPr>
        <w:t xml:space="preserve">：§3.1 的 Platformonomics 数字为 </w:t>
      </w:r>
      <w:r>
        <w:rPr>
          <w:rFonts w:ascii="Times New Roman" w:hAnsi="Times New Roman" w:cs="Times New Roman" w:eastAsia="宋体"/>
          <w:b/>
          <w:sz w:val="24"/>
        </w:rPr>
        <w:t>① 日历年、② 公司整体 capex、③ 含融资租赁</w:t>
      </w:r>
      <w:r>
        <w:rPr>
          <w:rFonts w:ascii="Times New Roman" w:hAnsi="Times New Roman" w:cs="Times New Roman" w:eastAsia="宋体"/>
          <w:b w:val="0"/>
          <w:sz w:val="24"/>
        </w:rPr>
        <w:t>（亚马逊/微软/Meta 含融资租赁；</w:t>
      </w:r>
      <w:r>
        <w:rPr>
          <w:rFonts w:ascii="Times New Roman" w:hAnsi="Times New Roman" w:cs="Times New Roman" w:eastAsia="宋体"/>
          <w:b/>
          <w:sz w:val="24"/>
        </w:rPr>
        <w:t>谷歌不使用融资租赁</w:t>
      </w:r>
      <w:r>
        <w:rPr>
          <w:rFonts w:ascii="Times New Roman" w:hAnsi="Times New Roman" w:cs="Times New Roman" w:eastAsia="宋体"/>
          <w:b w:val="0"/>
          <w:sz w:val="24"/>
        </w:rPr>
        <w:t>）。故与第二节"购置 PP&amp;E（微软/苹果/英伟达为财年）"</w:t>
      </w:r>
      <w:r>
        <w:rPr>
          <w:rFonts w:ascii="Times New Roman" w:hAnsi="Times New Roman" w:cs="Times New Roman" w:eastAsia="宋体"/>
          <w:b/>
          <w:sz w:val="24"/>
        </w:rPr>
        <w:t>不可直接相等</w:t>
      </w:r>
      <w:r>
        <w:rPr>
          <w:rFonts w:ascii="Times New Roman" w:hAnsi="Times New Roman" w:cs="Times New Roman" w:eastAsia="宋体"/>
          <w:b w:val="0"/>
          <w:sz w:val="24"/>
        </w:rPr>
        <w:t xml:space="preserve">——例：微软 2024 日历年含租赁约 </w:t>
      </w:r>
      <w:r>
        <w:rPr>
          <w:rFonts w:ascii="Times New Roman" w:hAnsi="Times New Roman" w:cs="Times New Roman" w:eastAsia="宋体"/>
          <w:b/>
          <w:sz w:val="24"/>
        </w:rPr>
        <w:t>$75.6B</w:t>
      </w:r>
      <w:r>
        <w:rPr>
          <w:rFonts w:ascii="Times New Roman" w:hAnsi="Times New Roman" w:cs="Times New Roman" w:eastAsia="宋体"/>
          <w:b w:val="0"/>
          <w:sz w:val="24"/>
        </w:rPr>
        <w:t xml:space="preserve">，而第二节微软 FY2024 购置 PP&amp;E 为 </w:t>
      </w:r>
      <w:r>
        <w:rPr>
          <w:rFonts w:ascii="Times New Roman" w:hAnsi="Times New Roman" w:cs="Times New Roman" w:eastAsia="宋体"/>
          <w:b/>
          <w:sz w:val="24"/>
        </w:rPr>
        <w:t>$44.5B</w:t>
      </w:r>
      <w:r>
        <w:rPr>
          <w:rFonts w:ascii="Times New Roman" w:hAnsi="Times New Roman" w:cs="Times New Roman" w:eastAsia="宋体"/>
          <w:b w:val="0"/>
          <w:sz w:val="24"/>
        </w:rPr>
        <w:t>，系不同口径。</w:t>
      </w:r>
    </w:p>
    <w:p>
      <w:pPr>
        <w:spacing w:before="160" w:after="120" w:line="360" w:lineRule="auto"/>
      </w:pPr>
      <w:r>
        <w:rPr>
          <w:rFonts w:ascii="Times New Roman" w:hAnsi="Times New Roman" w:cs="Times New Roman" w:eastAsia="黑体"/>
          <w:b/>
          <w:sz w:val="28"/>
        </w:rPr>
        <w:t>3.1 数据中心 / AI 基础设施 capex 逐年估算</w:t>
      </w:r>
    </w:p>
    <w:p>
      <w:pPr>
        <w:spacing w:line="360" w:lineRule="auto" w:after="40"/>
        <w:ind w:firstLine="480"/>
      </w:pPr>
      <w:r>
        <w:rPr>
          <w:rFonts w:ascii="Times New Roman" w:hAnsi="Times New Roman" w:cs="Times New Roman" w:eastAsia="宋体"/>
          <w:b/>
          <w:sz w:val="24"/>
        </w:rPr>
        <w:t>① 公司整体 capex（日历年，含融资租赁；十亿美元）—— 来源 Platformonomics 各年回顾</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val="clear" w:fill="D9E2F3"/>
          </w:tcPr>
          <w:p>
            <w:pPr>
              <w:spacing w:line="264" w:lineRule="auto" w:after="0"/>
            </w:pPr>
            <w:r/>
            <w:r>
              <w:rPr>
                <w:rFonts w:ascii="Times New Roman" w:hAnsi="Times New Roman" w:cs="Times New Roman" w:eastAsia="宋体"/>
                <w:b/>
                <w:sz w:val="21"/>
              </w:rPr>
              <w:t>年份</w:t>
            </w:r>
          </w:p>
        </w:tc>
        <w:tc>
          <w:tcPr>
            <w:tcW w:type="dxa" w:w="1063"/>
            <w:shd w:val="clear" w:fill="D9E2F3"/>
          </w:tcPr>
          <w:p>
            <w:pPr>
              <w:spacing w:line="264" w:lineRule="auto" w:after="0"/>
            </w:pPr>
            <w:r/>
            <w:r>
              <w:rPr>
                <w:rFonts w:ascii="Times New Roman" w:hAnsi="Times New Roman" w:cs="Times New Roman" w:eastAsia="宋体"/>
                <w:b/>
                <w:sz w:val="21"/>
              </w:rPr>
              <w:t>亚马逊</w:t>
            </w:r>
          </w:p>
        </w:tc>
        <w:tc>
          <w:tcPr>
            <w:tcW w:type="dxa" w:w="1063"/>
            <w:shd w:val="clear" w:fill="D9E2F3"/>
          </w:tcPr>
          <w:p>
            <w:pPr>
              <w:spacing w:line="264" w:lineRule="auto" w:after="0"/>
            </w:pPr>
            <w:r/>
            <w:r>
              <w:rPr>
                <w:rFonts w:ascii="Times New Roman" w:hAnsi="Times New Roman" w:cs="Times New Roman" w:eastAsia="宋体"/>
                <w:b/>
                <w:sz w:val="21"/>
              </w:rPr>
              <w:t>谷歌</w:t>
            </w:r>
          </w:p>
        </w:tc>
        <w:tc>
          <w:tcPr>
            <w:tcW w:type="dxa" w:w="1063"/>
            <w:shd w:val="clear" w:fill="D9E2F3"/>
          </w:tcPr>
          <w:p>
            <w:pPr>
              <w:spacing w:line="264" w:lineRule="auto" w:after="0"/>
            </w:pPr>
            <w:r/>
            <w:r>
              <w:rPr>
                <w:rFonts w:ascii="Times New Roman" w:hAnsi="Times New Roman" w:cs="Times New Roman" w:eastAsia="宋体"/>
                <w:b/>
                <w:sz w:val="21"/>
              </w:rPr>
              <w:t>微软</w:t>
            </w:r>
          </w:p>
        </w:tc>
        <w:tc>
          <w:tcPr>
            <w:tcW w:type="dxa" w:w="1063"/>
            <w:shd w:val="clear" w:fill="D9E2F3"/>
          </w:tcPr>
          <w:p>
            <w:pPr>
              <w:spacing w:line="264" w:lineRule="auto" w:after="0"/>
            </w:pPr>
            <w:r/>
            <w:r>
              <w:rPr>
                <w:rFonts w:ascii="Times New Roman" w:hAnsi="Times New Roman" w:cs="Times New Roman" w:eastAsia="宋体"/>
                <w:b/>
                <w:sz w:val="21"/>
              </w:rPr>
              <w:t>Meta</w:t>
            </w:r>
          </w:p>
        </w:tc>
        <w:tc>
          <w:tcPr>
            <w:tcW w:type="dxa" w:w="1063"/>
            <w:shd w:val="clear" w:fill="D9E2F3"/>
          </w:tcPr>
          <w:p>
            <w:pPr>
              <w:spacing w:line="264" w:lineRule="auto" w:after="0"/>
            </w:pPr>
            <w:r/>
            <w:r>
              <w:rPr>
                <w:rFonts w:ascii="Times New Roman" w:hAnsi="Times New Roman" w:cs="Times New Roman" w:eastAsia="宋体"/>
                <w:b/>
                <w:sz w:val="21"/>
              </w:rPr>
              <w:t>三云合计(AMZN+GOOG+MSFT，</w:t>
            </w:r>
            <w:r>
              <w:rPr>
                <w:rFonts w:ascii="Times New Roman" w:hAnsi="Times New Roman" w:cs="Times New Roman" w:eastAsia="宋体"/>
                <w:b/>
                <w:sz w:val="21"/>
              </w:rPr>
              <w:t>含微软、不含Meta</w:t>
            </w:r>
            <w:r>
              <w:rPr>
                <w:rFonts w:ascii="Times New Roman" w:hAnsi="Times New Roman" w:cs="Times New Roman" w:eastAsia="宋体"/>
                <w:b/>
                <w:sz w:val="21"/>
              </w:rPr>
              <w:t>)</w:t>
            </w:r>
          </w:p>
        </w:tc>
        <w:tc>
          <w:tcPr>
            <w:tcW w:type="dxa" w:w="1063"/>
            <w:shd w:val="clear" w:fill="D9E2F3"/>
          </w:tcPr>
          <w:p>
            <w:pPr>
              <w:spacing w:line="264" w:lineRule="auto" w:after="0"/>
            </w:pPr>
            <w:r/>
            <w:r>
              <w:rPr>
                <w:rFonts w:ascii="Times New Roman" w:hAnsi="Times New Roman" w:cs="Times New Roman" w:eastAsia="宋体"/>
                <w:b/>
                <w:sz w:val="21"/>
              </w:rPr>
              <w:t>四家合计(含Meta)</w:t>
            </w:r>
          </w:p>
        </w:tc>
        <w:tc>
          <w:tcPr>
            <w:tcW w:type="dxa" w:w="1063"/>
            <w:shd w:val="clear" w:fill="D9E2F3"/>
          </w:tcPr>
          <w:p>
            <w:pPr>
              <w:spacing w:line="264" w:lineRule="auto" w:after="0"/>
            </w:pPr>
            <w:r/>
            <w:r>
              <w:rPr>
                <w:rFonts w:ascii="Times New Roman" w:hAnsi="Times New Roman" w:cs="Times New Roman" w:eastAsia="宋体"/>
                <w:b/>
                <w:sz w:val="21"/>
              </w:rPr>
              <w:t>三云同比</w:t>
            </w:r>
          </w:p>
        </w:tc>
      </w:tr>
      <w:tr>
        <w:tc>
          <w:tcPr>
            <w:tcW w:type="dxa" w:w="1063"/>
          </w:tcPr>
          <w:p>
            <w:pPr>
              <w:spacing w:line="264" w:lineRule="auto" w:after="0"/>
            </w:pPr>
            <w:r/>
            <w:r>
              <w:rPr>
                <w:rFonts w:ascii="Times New Roman" w:hAnsi="Times New Roman" w:cs="Times New Roman" w:eastAsia="宋体"/>
                <w:b w:val="0"/>
                <w:sz w:val="21"/>
              </w:rPr>
              <w:t>2019</w:t>
            </w:r>
          </w:p>
        </w:tc>
        <w:tc>
          <w:tcPr>
            <w:tcW w:type="dxa" w:w="1063"/>
          </w:tcPr>
          <w:p>
            <w:pPr>
              <w:spacing w:line="264" w:lineRule="auto" w:after="0"/>
            </w:pPr>
            <w:r/>
            <w:r>
              <w:rPr>
                <w:rFonts w:ascii="Times New Roman" w:hAnsi="Times New Roman" w:cs="Times New Roman" w:eastAsia="宋体"/>
                <w:b w:val="0"/>
                <w:sz w:val="21"/>
              </w:rPr>
              <w:t>—</w:t>
            </w:r>
          </w:p>
        </w:tc>
        <w:tc>
          <w:tcPr>
            <w:tcW w:type="dxa" w:w="1063"/>
          </w:tcPr>
          <w:p>
            <w:pPr>
              <w:spacing w:line="264" w:lineRule="auto" w:after="0"/>
            </w:pPr>
            <w:r/>
            <w:r>
              <w:rPr>
                <w:rFonts w:ascii="Times New Roman" w:hAnsi="Times New Roman" w:cs="Times New Roman" w:eastAsia="宋体"/>
                <w:b w:val="0"/>
                <w:sz w:val="21"/>
              </w:rPr>
              <w:t>—</w:t>
            </w:r>
          </w:p>
        </w:tc>
        <w:tc>
          <w:tcPr>
            <w:tcW w:type="dxa" w:w="1063"/>
          </w:tcPr>
          <w:p>
            <w:pPr>
              <w:spacing w:line="264" w:lineRule="auto" w:after="0"/>
            </w:pPr>
            <w:r/>
            <w:r>
              <w:rPr>
                <w:rFonts w:ascii="Times New Roman" w:hAnsi="Times New Roman" w:cs="Times New Roman" w:eastAsia="宋体"/>
                <w:b w:val="0"/>
                <w:sz w:val="21"/>
              </w:rPr>
              <w:t>—</w:t>
            </w:r>
          </w:p>
        </w:tc>
        <w:tc>
          <w:tcPr>
            <w:tcW w:type="dxa" w:w="1063"/>
          </w:tcPr>
          <w:p>
            <w:pPr>
              <w:spacing w:line="264" w:lineRule="auto" w:after="0"/>
            </w:pPr>
            <w:r/>
            <w:r>
              <w:rPr>
                <w:rFonts w:ascii="Times New Roman" w:hAnsi="Times New Roman" w:cs="Times New Roman" w:eastAsia="宋体"/>
                <w:b w:val="0"/>
                <w:sz w:val="21"/>
              </w:rPr>
              <w:t>—</w:t>
            </w:r>
          </w:p>
        </w:tc>
        <w:tc>
          <w:tcPr>
            <w:tcW w:type="dxa" w:w="1063"/>
          </w:tcPr>
          <w:p>
            <w:pPr>
              <w:spacing w:line="264" w:lineRule="auto" w:after="0"/>
            </w:pPr>
            <w:r/>
            <w:r>
              <w:rPr>
                <w:rFonts w:ascii="Times New Roman" w:hAnsi="Times New Roman" w:cs="Times New Roman" w:eastAsia="宋体"/>
                <w:b w:val="0"/>
                <w:sz w:val="21"/>
              </w:rPr>
              <w:t>73.5</w:t>
            </w:r>
          </w:p>
        </w:tc>
        <w:tc>
          <w:tcPr>
            <w:tcW w:type="dxa" w:w="1063"/>
          </w:tcPr>
          <w:p>
            <w:pPr>
              <w:spacing w:line="264" w:lineRule="auto" w:after="0"/>
            </w:pPr>
            <w:r/>
            <w:r>
              <w:rPr>
                <w:rFonts w:ascii="Times New Roman" w:hAnsi="Times New Roman" w:cs="Times New Roman" w:eastAsia="宋体"/>
                <w:b w:val="0"/>
                <w:sz w:val="21"/>
              </w:rPr>
              <w:t>—</w:t>
            </w:r>
          </w:p>
        </w:tc>
        <w:tc>
          <w:tcPr>
            <w:tcW w:type="dxa" w:w="1063"/>
          </w:tcPr>
          <w:p>
            <w:pPr>
              <w:spacing w:line="264" w:lineRule="auto" w:after="0"/>
            </w:pPr>
            <w:r/>
            <w:r>
              <w:rPr>
                <w:rFonts w:ascii="Times New Roman" w:hAnsi="Times New Roman" w:cs="Times New Roman" w:eastAsia="宋体"/>
                <w:b w:val="0"/>
                <w:sz w:val="21"/>
              </w:rPr>
              <w:t>—</w:t>
            </w:r>
          </w:p>
        </w:tc>
      </w:tr>
      <w:tr>
        <w:tc>
          <w:tcPr>
            <w:tcW w:type="dxa" w:w="1063"/>
          </w:tcPr>
          <w:p>
            <w:pPr>
              <w:spacing w:line="264" w:lineRule="auto" w:after="0"/>
            </w:pPr>
            <w:r/>
            <w:r>
              <w:rPr>
                <w:rFonts w:ascii="Times New Roman" w:hAnsi="Times New Roman" w:cs="Times New Roman" w:eastAsia="宋体"/>
                <w:b w:val="0"/>
                <w:sz w:val="21"/>
              </w:rPr>
              <w:t>2020</w:t>
            </w:r>
          </w:p>
        </w:tc>
        <w:tc>
          <w:tcPr>
            <w:tcW w:type="dxa" w:w="1063"/>
          </w:tcPr>
          <w:p>
            <w:pPr>
              <w:spacing w:line="264" w:lineRule="auto" w:after="0"/>
            </w:pPr>
            <w:r/>
            <w:r>
              <w:rPr>
                <w:rFonts w:ascii="Times New Roman" w:hAnsi="Times New Roman" w:cs="Times New Roman" w:eastAsia="宋体"/>
                <w:b w:val="0"/>
                <w:sz w:val="21"/>
              </w:rPr>
              <w:t>~54</w:t>
            </w:r>
          </w:p>
        </w:tc>
        <w:tc>
          <w:tcPr>
            <w:tcW w:type="dxa" w:w="1063"/>
          </w:tcPr>
          <w:p>
            <w:pPr>
              <w:spacing w:line="264" w:lineRule="auto" w:after="0"/>
            </w:pPr>
            <w:r/>
            <w:r>
              <w:rPr>
                <w:rFonts w:ascii="Times New Roman" w:hAnsi="Times New Roman" w:cs="Times New Roman" w:eastAsia="宋体"/>
                <w:b w:val="0"/>
                <w:sz w:val="21"/>
              </w:rPr>
              <w:t>22.3</w:t>
            </w:r>
          </w:p>
        </w:tc>
        <w:tc>
          <w:tcPr>
            <w:tcW w:type="dxa" w:w="1063"/>
          </w:tcPr>
          <w:p>
            <w:pPr>
              <w:spacing w:line="264" w:lineRule="auto" w:after="0"/>
            </w:pPr>
            <w:r/>
            <w:r>
              <w:rPr>
                <w:rFonts w:ascii="Times New Roman" w:hAnsi="Times New Roman" w:cs="Times New Roman" w:eastAsia="宋体"/>
                <w:b w:val="0"/>
                <w:sz w:val="21"/>
              </w:rPr>
              <w:t>20.6</w:t>
            </w:r>
          </w:p>
        </w:tc>
        <w:tc>
          <w:tcPr>
            <w:tcW w:type="dxa" w:w="1063"/>
          </w:tcPr>
          <w:p>
            <w:pPr>
              <w:spacing w:line="264" w:lineRule="auto" w:after="0"/>
            </w:pPr>
            <w:r/>
            <w:r>
              <w:rPr>
                <w:rFonts w:ascii="Times New Roman" w:hAnsi="Times New Roman" w:cs="Times New Roman" w:eastAsia="宋体"/>
                <w:b w:val="0"/>
                <w:sz w:val="21"/>
              </w:rPr>
              <w:t>~15.7</w:t>
            </w:r>
          </w:p>
        </w:tc>
        <w:tc>
          <w:tcPr>
            <w:tcW w:type="dxa" w:w="1063"/>
          </w:tcPr>
          <w:p>
            <w:pPr>
              <w:spacing w:line="264" w:lineRule="auto" w:after="0"/>
            </w:pPr>
            <w:r/>
            <w:r>
              <w:rPr>
                <w:rFonts w:ascii="Times New Roman" w:hAnsi="Times New Roman" w:cs="Times New Roman" w:eastAsia="宋体"/>
                <w:b w:val="0"/>
                <w:sz w:val="21"/>
              </w:rPr>
              <w:t>~97</w:t>
            </w:r>
          </w:p>
        </w:tc>
        <w:tc>
          <w:tcPr>
            <w:tcW w:type="dxa" w:w="1063"/>
          </w:tcPr>
          <w:p>
            <w:pPr>
              <w:spacing w:line="264" w:lineRule="auto" w:after="0"/>
            </w:pPr>
            <w:r/>
            <w:r>
              <w:rPr>
                <w:rFonts w:ascii="Times New Roman" w:hAnsi="Times New Roman" w:cs="Times New Roman" w:eastAsia="宋体"/>
                <w:b w:val="0"/>
                <w:sz w:val="21"/>
              </w:rPr>
              <w:t>~113</w:t>
            </w:r>
          </w:p>
        </w:tc>
        <w:tc>
          <w:tcPr>
            <w:tcW w:type="dxa" w:w="1063"/>
          </w:tcPr>
          <w:p>
            <w:pPr>
              <w:spacing w:line="264" w:lineRule="auto" w:after="0"/>
            </w:pPr>
            <w:r/>
            <w:r>
              <w:rPr>
                <w:rFonts w:ascii="Times New Roman" w:hAnsi="Times New Roman" w:cs="Times New Roman" w:eastAsia="宋体"/>
                <w:b w:val="0"/>
                <w:sz w:val="21"/>
              </w:rPr>
              <w:t>+32%</w:t>
            </w:r>
          </w:p>
        </w:tc>
      </w:tr>
      <w:tr>
        <w:tc>
          <w:tcPr>
            <w:tcW w:type="dxa" w:w="1063"/>
          </w:tcPr>
          <w:p>
            <w:pPr>
              <w:spacing w:line="264" w:lineRule="auto" w:after="0"/>
            </w:pPr>
            <w:r/>
            <w:r>
              <w:rPr>
                <w:rFonts w:ascii="Times New Roman" w:hAnsi="Times New Roman" w:cs="Times New Roman" w:eastAsia="宋体"/>
                <w:b w:val="0"/>
                <w:sz w:val="21"/>
              </w:rPr>
              <w:t>2021</w:t>
            </w:r>
          </w:p>
        </w:tc>
        <w:tc>
          <w:tcPr>
            <w:tcW w:type="dxa" w:w="1063"/>
          </w:tcPr>
          <w:p>
            <w:pPr>
              <w:spacing w:line="264" w:lineRule="auto" w:after="0"/>
            </w:pPr>
            <w:r/>
            <w:r>
              <w:rPr>
                <w:rFonts w:ascii="Times New Roman" w:hAnsi="Times New Roman" w:cs="Times New Roman" w:eastAsia="宋体"/>
                <w:b w:val="0"/>
                <w:sz w:val="21"/>
              </w:rPr>
              <w:t>73.7</w:t>
            </w:r>
          </w:p>
        </w:tc>
        <w:tc>
          <w:tcPr>
            <w:tcW w:type="dxa" w:w="1063"/>
          </w:tcPr>
          <w:p>
            <w:pPr>
              <w:spacing w:line="264" w:lineRule="auto" w:after="0"/>
            </w:pPr>
            <w:r/>
            <w:r>
              <w:rPr>
                <w:rFonts w:ascii="Times New Roman" w:hAnsi="Times New Roman" w:cs="Times New Roman" w:eastAsia="宋体"/>
                <w:b w:val="0"/>
                <w:sz w:val="21"/>
              </w:rPr>
              <w:t>24.6</w:t>
            </w:r>
          </w:p>
        </w:tc>
        <w:tc>
          <w:tcPr>
            <w:tcW w:type="dxa" w:w="1063"/>
          </w:tcPr>
          <w:p>
            <w:pPr>
              <w:spacing w:line="264" w:lineRule="auto" w:after="0"/>
            </w:pPr>
            <w:r/>
            <w:r>
              <w:rPr>
                <w:rFonts w:ascii="Times New Roman" w:hAnsi="Times New Roman" w:cs="Times New Roman" w:eastAsia="宋体"/>
                <w:b w:val="0"/>
                <w:sz w:val="21"/>
              </w:rPr>
              <w:t>25.9</w:t>
            </w:r>
          </w:p>
        </w:tc>
        <w:tc>
          <w:tcPr>
            <w:tcW w:type="dxa" w:w="1063"/>
          </w:tcPr>
          <w:p>
            <w:pPr>
              <w:spacing w:line="264" w:lineRule="auto" w:after="0"/>
            </w:pPr>
            <w:r/>
            <w:r>
              <w:rPr>
                <w:rFonts w:ascii="Times New Roman" w:hAnsi="Times New Roman" w:cs="Times New Roman" w:eastAsia="宋体"/>
                <w:b w:val="0"/>
                <w:sz w:val="21"/>
              </w:rPr>
              <w:t>~19</w:t>
            </w:r>
          </w:p>
        </w:tc>
        <w:tc>
          <w:tcPr>
            <w:tcW w:type="dxa" w:w="1063"/>
          </w:tcPr>
          <w:p>
            <w:pPr>
              <w:spacing w:line="264" w:lineRule="auto" w:after="0"/>
            </w:pPr>
            <w:r/>
            <w:r>
              <w:rPr>
                <w:rFonts w:ascii="Times New Roman" w:hAnsi="Times New Roman" w:cs="Times New Roman" w:eastAsia="宋体"/>
                <w:b w:val="0"/>
                <w:sz w:val="21"/>
              </w:rPr>
              <w:t>124</w:t>
            </w:r>
          </w:p>
        </w:tc>
        <w:tc>
          <w:tcPr>
            <w:tcW w:type="dxa" w:w="1063"/>
          </w:tcPr>
          <w:p>
            <w:pPr>
              <w:spacing w:line="264" w:lineRule="auto" w:after="0"/>
            </w:pPr>
            <w:r/>
            <w:r>
              <w:rPr>
                <w:rFonts w:ascii="Times New Roman" w:hAnsi="Times New Roman" w:cs="Times New Roman" w:eastAsia="宋体"/>
                <w:b w:val="0"/>
                <w:sz w:val="21"/>
              </w:rPr>
              <w:t>~143</w:t>
            </w:r>
          </w:p>
        </w:tc>
        <w:tc>
          <w:tcPr>
            <w:tcW w:type="dxa" w:w="1063"/>
          </w:tcPr>
          <w:p>
            <w:pPr>
              <w:spacing w:line="264" w:lineRule="auto" w:after="0"/>
            </w:pPr>
            <w:r/>
            <w:r>
              <w:rPr>
                <w:rFonts w:ascii="Times New Roman" w:hAnsi="Times New Roman" w:cs="Times New Roman" w:eastAsia="宋体"/>
                <w:b w:val="0"/>
                <w:sz w:val="21"/>
              </w:rPr>
              <w:t>+28%</w:t>
            </w:r>
          </w:p>
        </w:tc>
      </w:tr>
      <w:tr>
        <w:tc>
          <w:tcPr>
            <w:tcW w:type="dxa" w:w="1063"/>
          </w:tcPr>
          <w:p>
            <w:pPr>
              <w:spacing w:line="264" w:lineRule="auto" w:after="0"/>
            </w:pPr>
            <w:r/>
            <w:r>
              <w:rPr>
                <w:rFonts w:ascii="Times New Roman" w:hAnsi="Times New Roman" w:cs="Times New Roman" w:eastAsia="宋体"/>
                <w:b w:val="0"/>
                <w:sz w:val="21"/>
              </w:rPr>
              <w:t>2022</w:t>
            </w:r>
          </w:p>
        </w:tc>
        <w:tc>
          <w:tcPr>
            <w:tcW w:type="dxa" w:w="1063"/>
          </w:tcPr>
          <w:p>
            <w:pPr>
              <w:spacing w:line="264" w:lineRule="auto" w:after="0"/>
            </w:pPr>
            <w:r/>
            <w:r>
              <w:rPr>
                <w:rFonts w:ascii="Times New Roman" w:hAnsi="Times New Roman" w:cs="Times New Roman" w:eastAsia="宋体"/>
                <w:b w:val="0"/>
                <w:sz w:val="21"/>
              </w:rPr>
              <w:t>67.5</w:t>
            </w:r>
          </w:p>
        </w:tc>
        <w:tc>
          <w:tcPr>
            <w:tcW w:type="dxa" w:w="1063"/>
          </w:tcPr>
          <w:p>
            <w:pPr>
              <w:spacing w:line="264" w:lineRule="auto" w:after="0"/>
            </w:pPr>
            <w:r/>
            <w:r>
              <w:rPr>
                <w:rFonts w:ascii="Times New Roman" w:hAnsi="Times New Roman" w:cs="Times New Roman" w:eastAsia="宋体"/>
                <w:b w:val="0"/>
                <w:sz w:val="21"/>
              </w:rPr>
              <w:t>31.5</w:t>
            </w:r>
          </w:p>
        </w:tc>
        <w:tc>
          <w:tcPr>
            <w:tcW w:type="dxa" w:w="1063"/>
          </w:tcPr>
          <w:p>
            <w:pPr>
              <w:spacing w:line="264" w:lineRule="auto" w:after="0"/>
            </w:pPr>
            <w:r/>
            <w:r>
              <w:rPr>
                <w:rFonts w:ascii="Times New Roman" w:hAnsi="Times New Roman" w:cs="Times New Roman" w:eastAsia="宋体"/>
                <w:b w:val="0"/>
                <w:sz w:val="21"/>
              </w:rPr>
              <w:t>28.4</w:t>
            </w:r>
          </w:p>
        </w:tc>
        <w:tc>
          <w:tcPr>
            <w:tcW w:type="dxa" w:w="1063"/>
          </w:tcPr>
          <w:p>
            <w:pPr>
              <w:spacing w:line="264" w:lineRule="auto" w:after="0"/>
            </w:pPr>
            <w:r/>
            <w:r>
              <w:rPr>
                <w:rFonts w:ascii="Times New Roman" w:hAnsi="Times New Roman" w:cs="Times New Roman" w:eastAsia="宋体"/>
                <w:b w:val="0"/>
                <w:sz w:val="21"/>
              </w:rPr>
              <w:t>32.0</w:t>
            </w:r>
          </w:p>
        </w:tc>
        <w:tc>
          <w:tcPr>
            <w:tcW w:type="dxa" w:w="1063"/>
          </w:tcPr>
          <w:p>
            <w:pPr>
              <w:spacing w:line="264" w:lineRule="auto" w:after="0"/>
            </w:pPr>
            <w:r/>
            <w:r>
              <w:rPr>
                <w:rFonts w:ascii="Times New Roman" w:hAnsi="Times New Roman" w:cs="Times New Roman" w:eastAsia="宋体"/>
                <w:b w:val="0"/>
                <w:sz w:val="21"/>
              </w:rPr>
              <w:t>127</w:t>
            </w:r>
          </w:p>
        </w:tc>
        <w:tc>
          <w:tcPr>
            <w:tcW w:type="dxa" w:w="1063"/>
          </w:tcPr>
          <w:p>
            <w:pPr>
              <w:spacing w:line="264" w:lineRule="auto" w:after="0"/>
            </w:pPr>
            <w:r/>
            <w:r>
              <w:rPr>
                <w:rFonts w:ascii="Times New Roman" w:hAnsi="Times New Roman" w:cs="Times New Roman" w:eastAsia="宋体"/>
                <w:b w:val="0"/>
                <w:sz w:val="21"/>
              </w:rPr>
              <w:t>159</w:t>
            </w:r>
          </w:p>
        </w:tc>
        <w:tc>
          <w:tcPr>
            <w:tcW w:type="dxa" w:w="1063"/>
          </w:tcPr>
          <w:p>
            <w:pPr>
              <w:spacing w:line="264" w:lineRule="auto" w:after="0"/>
            </w:pPr>
            <w:r/>
            <w:r>
              <w:rPr>
                <w:rFonts w:ascii="Times New Roman" w:hAnsi="Times New Roman" w:cs="Times New Roman" w:eastAsia="宋体"/>
                <w:b w:val="0"/>
                <w:sz w:val="21"/>
              </w:rPr>
              <w:t>+2.5%</w:t>
            </w:r>
          </w:p>
        </w:tc>
      </w:tr>
      <w:tr>
        <w:tc>
          <w:tcPr>
            <w:tcW w:type="dxa" w:w="1063"/>
          </w:tcPr>
          <w:p>
            <w:pPr>
              <w:spacing w:line="264" w:lineRule="auto" w:after="0"/>
            </w:pPr>
            <w:r/>
            <w:r>
              <w:rPr>
                <w:rFonts w:ascii="Times New Roman" w:hAnsi="Times New Roman" w:cs="Times New Roman" w:eastAsia="宋体"/>
                <w:b w:val="0"/>
                <w:sz w:val="21"/>
              </w:rPr>
              <w:t>2023</w:t>
            </w:r>
          </w:p>
        </w:tc>
        <w:tc>
          <w:tcPr>
            <w:tcW w:type="dxa" w:w="1063"/>
          </w:tcPr>
          <w:p>
            <w:pPr>
              <w:spacing w:line="264" w:lineRule="auto" w:after="0"/>
            </w:pPr>
            <w:r/>
            <w:r>
              <w:rPr>
                <w:rFonts w:ascii="Times New Roman" w:hAnsi="Times New Roman" w:cs="Times New Roman" w:eastAsia="宋体"/>
                <w:b w:val="0"/>
                <w:sz w:val="21"/>
              </w:rPr>
              <w:t>53.7</w:t>
            </w:r>
          </w:p>
        </w:tc>
        <w:tc>
          <w:tcPr>
            <w:tcW w:type="dxa" w:w="1063"/>
          </w:tcPr>
          <w:p>
            <w:pPr>
              <w:spacing w:line="264" w:lineRule="auto" w:after="0"/>
            </w:pPr>
            <w:r/>
            <w:r>
              <w:rPr>
                <w:rFonts w:ascii="Times New Roman" w:hAnsi="Times New Roman" w:cs="Times New Roman" w:eastAsia="宋体"/>
                <w:b w:val="0"/>
                <w:sz w:val="21"/>
              </w:rPr>
              <w:t>32.3</w:t>
            </w:r>
          </w:p>
        </w:tc>
        <w:tc>
          <w:tcPr>
            <w:tcW w:type="dxa" w:w="1063"/>
          </w:tcPr>
          <w:p>
            <w:pPr>
              <w:spacing w:line="264" w:lineRule="auto" w:after="0"/>
            </w:pPr>
            <w:r/>
            <w:r>
              <w:rPr>
                <w:rFonts w:ascii="Times New Roman" w:hAnsi="Times New Roman" w:cs="Times New Roman" w:eastAsia="宋体"/>
                <w:b w:val="0"/>
                <w:sz w:val="21"/>
              </w:rPr>
              <w:t>41.2</w:t>
            </w:r>
          </w:p>
        </w:tc>
        <w:tc>
          <w:tcPr>
            <w:tcW w:type="dxa" w:w="1063"/>
          </w:tcPr>
          <w:p>
            <w:pPr>
              <w:spacing w:line="264" w:lineRule="auto" w:after="0"/>
            </w:pPr>
            <w:r/>
            <w:r>
              <w:rPr>
                <w:rFonts w:ascii="Times New Roman" w:hAnsi="Times New Roman" w:cs="Times New Roman" w:eastAsia="宋体"/>
                <w:b w:val="0"/>
                <w:sz w:val="21"/>
              </w:rPr>
              <w:t>28.1</w:t>
            </w:r>
          </w:p>
        </w:tc>
        <w:tc>
          <w:tcPr>
            <w:tcW w:type="dxa" w:w="1063"/>
          </w:tcPr>
          <w:p>
            <w:pPr>
              <w:spacing w:line="264" w:lineRule="auto" w:after="0"/>
            </w:pPr>
            <w:r/>
            <w:r>
              <w:rPr>
                <w:rFonts w:ascii="Times New Roman" w:hAnsi="Times New Roman" w:cs="Times New Roman" w:eastAsia="宋体"/>
                <w:b w:val="0"/>
                <w:sz w:val="21"/>
              </w:rPr>
              <w:t>127</w:t>
            </w:r>
          </w:p>
        </w:tc>
        <w:tc>
          <w:tcPr>
            <w:tcW w:type="dxa" w:w="1063"/>
          </w:tcPr>
          <w:p>
            <w:pPr>
              <w:spacing w:line="264" w:lineRule="auto" w:after="0"/>
            </w:pPr>
            <w:r/>
            <w:r>
              <w:rPr>
                <w:rFonts w:ascii="Times New Roman" w:hAnsi="Times New Roman" w:cs="Times New Roman" w:eastAsia="宋体"/>
                <w:b w:val="0"/>
                <w:sz w:val="21"/>
              </w:rPr>
              <w:t>155</w:t>
            </w:r>
          </w:p>
        </w:tc>
        <w:tc>
          <w:tcPr>
            <w:tcW w:type="dxa" w:w="1063"/>
          </w:tcPr>
          <w:p>
            <w:pPr>
              <w:spacing w:line="264" w:lineRule="auto" w:after="0"/>
            </w:pPr>
            <w:r/>
            <w:r>
              <w:rPr>
                <w:rFonts w:ascii="Times New Roman" w:hAnsi="Times New Roman" w:cs="Times New Roman" w:eastAsia="宋体"/>
                <w:b w:val="0"/>
                <w:sz w:val="21"/>
              </w:rPr>
              <w:t>持平</w:t>
            </w:r>
          </w:p>
        </w:tc>
      </w:tr>
      <w:tr>
        <w:tc>
          <w:tcPr>
            <w:tcW w:type="dxa" w:w="1063"/>
          </w:tcPr>
          <w:p>
            <w:pPr>
              <w:spacing w:line="264" w:lineRule="auto" w:after="0"/>
            </w:pPr>
            <w:r/>
            <w:r>
              <w:rPr>
                <w:rFonts w:ascii="Times New Roman" w:hAnsi="Times New Roman" w:cs="Times New Roman" w:eastAsia="宋体"/>
                <w:b w:val="0"/>
                <w:sz w:val="21"/>
              </w:rPr>
              <w:t>2024</w:t>
            </w:r>
          </w:p>
        </w:tc>
        <w:tc>
          <w:tcPr>
            <w:tcW w:type="dxa" w:w="1063"/>
          </w:tcPr>
          <w:p>
            <w:pPr>
              <w:spacing w:line="264" w:lineRule="auto" w:after="0"/>
            </w:pPr>
            <w:r/>
            <w:r>
              <w:rPr>
                <w:rFonts w:ascii="Times New Roman" w:hAnsi="Times New Roman" w:cs="Times New Roman" w:eastAsia="宋体"/>
                <w:b w:val="0"/>
                <w:sz w:val="21"/>
              </w:rPr>
              <w:t>83.9</w:t>
            </w:r>
          </w:p>
        </w:tc>
        <w:tc>
          <w:tcPr>
            <w:tcW w:type="dxa" w:w="1063"/>
          </w:tcPr>
          <w:p>
            <w:pPr>
              <w:spacing w:line="264" w:lineRule="auto" w:after="0"/>
            </w:pPr>
            <w:r/>
            <w:r>
              <w:rPr>
                <w:rFonts w:ascii="Times New Roman" w:hAnsi="Times New Roman" w:cs="Times New Roman" w:eastAsia="宋体"/>
                <w:b w:val="0"/>
                <w:sz w:val="21"/>
              </w:rPr>
              <w:t>52.5</w:t>
            </w:r>
          </w:p>
        </w:tc>
        <w:tc>
          <w:tcPr>
            <w:tcW w:type="dxa" w:w="1063"/>
          </w:tcPr>
          <w:p>
            <w:pPr>
              <w:spacing w:line="264" w:lineRule="auto" w:after="0"/>
            </w:pPr>
            <w:r/>
            <w:r>
              <w:rPr>
                <w:rFonts w:ascii="Times New Roman" w:hAnsi="Times New Roman" w:cs="Times New Roman" w:eastAsia="宋体"/>
                <w:b w:val="0"/>
                <w:sz w:val="21"/>
              </w:rPr>
              <w:t>75.6</w:t>
            </w:r>
          </w:p>
        </w:tc>
        <w:tc>
          <w:tcPr>
            <w:tcW w:type="dxa" w:w="1063"/>
          </w:tcPr>
          <w:p>
            <w:pPr>
              <w:spacing w:line="264" w:lineRule="auto" w:after="0"/>
            </w:pPr>
            <w:r/>
            <w:r>
              <w:rPr>
                <w:rFonts w:ascii="Times New Roman" w:hAnsi="Times New Roman" w:cs="Times New Roman" w:eastAsia="宋体"/>
                <w:b w:val="0"/>
                <w:sz w:val="21"/>
              </w:rPr>
              <w:t>39.23</w:t>
            </w:r>
          </w:p>
        </w:tc>
        <w:tc>
          <w:tcPr>
            <w:tcW w:type="dxa" w:w="1063"/>
          </w:tcPr>
          <w:p>
            <w:pPr>
              <w:spacing w:line="264" w:lineRule="auto" w:after="0"/>
            </w:pPr>
            <w:r/>
            <w:r>
              <w:rPr>
                <w:rFonts w:ascii="Times New Roman" w:hAnsi="Times New Roman" w:cs="Times New Roman" w:eastAsia="宋体"/>
                <w:b w:val="0"/>
                <w:sz w:val="21"/>
              </w:rPr>
              <w:t>212</w:t>
            </w:r>
          </w:p>
        </w:tc>
        <w:tc>
          <w:tcPr>
            <w:tcW w:type="dxa" w:w="1063"/>
          </w:tcPr>
          <w:p>
            <w:pPr>
              <w:spacing w:line="264" w:lineRule="auto" w:after="0"/>
            </w:pPr>
            <w:r/>
            <w:r>
              <w:rPr>
                <w:rFonts w:ascii="Times New Roman" w:hAnsi="Times New Roman" w:cs="Times New Roman" w:eastAsia="宋体"/>
                <w:b w:val="0"/>
                <w:sz w:val="21"/>
              </w:rPr>
              <w:t>251</w:t>
            </w:r>
          </w:p>
        </w:tc>
        <w:tc>
          <w:tcPr>
            <w:tcW w:type="dxa" w:w="1063"/>
          </w:tcPr>
          <w:p>
            <w:pPr>
              <w:spacing w:line="264" w:lineRule="auto" w:after="0"/>
            </w:pPr>
            <w:r/>
            <w:r>
              <w:rPr>
                <w:rFonts w:ascii="Times New Roman" w:hAnsi="Times New Roman" w:cs="Times New Roman" w:eastAsia="宋体"/>
                <w:b w:val="0"/>
                <w:sz w:val="21"/>
              </w:rPr>
              <w:t>+67%</w:t>
            </w:r>
          </w:p>
        </w:tc>
      </w:tr>
      <w:tr>
        <w:tc>
          <w:tcPr>
            <w:tcW w:type="dxa" w:w="1063"/>
          </w:tcPr>
          <w:p>
            <w:pPr>
              <w:spacing w:line="264" w:lineRule="auto" w:after="0"/>
            </w:pPr>
            <w:r/>
            <w:r>
              <w:rPr>
                <w:rFonts w:ascii="Times New Roman" w:hAnsi="Times New Roman" w:cs="Times New Roman" w:eastAsia="宋体"/>
                <w:b w:val="0"/>
                <w:sz w:val="21"/>
              </w:rPr>
              <w:t>2025</w:t>
            </w:r>
          </w:p>
        </w:tc>
        <w:tc>
          <w:tcPr>
            <w:tcW w:type="dxa" w:w="1063"/>
          </w:tcPr>
          <w:p>
            <w:pPr>
              <w:spacing w:line="264" w:lineRule="auto" w:after="0"/>
            </w:pPr>
            <w:r/>
            <w:r>
              <w:rPr>
                <w:rFonts w:ascii="Times New Roman" w:hAnsi="Times New Roman" w:cs="Times New Roman" w:eastAsia="宋体"/>
                <w:b w:val="0"/>
                <w:sz w:val="21"/>
              </w:rPr>
              <w:t>134.7</w:t>
            </w:r>
          </w:p>
        </w:tc>
        <w:tc>
          <w:tcPr>
            <w:tcW w:type="dxa" w:w="1063"/>
          </w:tcPr>
          <w:p>
            <w:pPr>
              <w:spacing w:line="264" w:lineRule="auto" w:after="0"/>
            </w:pPr>
            <w:r/>
            <w:r>
              <w:rPr>
                <w:rFonts w:ascii="Times New Roman" w:hAnsi="Times New Roman" w:cs="Times New Roman" w:eastAsia="宋体"/>
                <w:b w:val="0"/>
                <w:sz w:val="21"/>
              </w:rPr>
              <w:t>91.5</w:t>
            </w:r>
          </w:p>
        </w:tc>
        <w:tc>
          <w:tcPr>
            <w:tcW w:type="dxa" w:w="1063"/>
          </w:tcPr>
          <w:p>
            <w:pPr>
              <w:spacing w:line="264" w:lineRule="auto" w:after="0"/>
            </w:pPr>
            <w:r/>
            <w:r>
              <w:rPr>
                <w:rFonts w:ascii="Times New Roman" w:hAnsi="Times New Roman" w:cs="Times New Roman" w:eastAsia="宋体"/>
                <w:b w:val="0"/>
                <w:sz w:val="21"/>
              </w:rPr>
              <w:t>118</w:t>
            </w:r>
          </w:p>
        </w:tc>
        <w:tc>
          <w:tcPr>
            <w:tcW w:type="dxa" w:w="1063"/>
          </w:tcPr>
          <w:p>
            <w:pPr>
              <w:spacing w:line="264" w:lineRule="auto" w:after="0"/>
            </w:pPr>
            <w:r/>
            <w:r>
              <w:rPr>
                <w:rFonts w:ascii="Times New Roman" w:hAnsi="Times New Roman" w:cs="Times New Roman" w:eastAsia="宋体"/>
                <w:b w:val="0"/>
                <w:sz w:val="21"/>
              </w:rPr>
              <w:t>72.2</w:t>
            </w:r>
          </w:p>
        </w:tc>
        <w:tc>
          <w:tcPr>
            <w:tcW w:type="dxa" w:w="1063"/>
          </w:tcPr>
          <w:p>
            <w:pPr>
              <w:spacing w:line="264" w:lineRule="auto" w:after="0"/>
            </w:pPr>
            <w:r/>
            <w:r>
              <w:rPr>
                <w:rFonts w:ascii="Times New Roman" w:hAnsi="Times New Roman" w:cs="Times New Roman" w:eastAsia="宋体"/>
                <w:b w:val="0"/>
                <w:sz w:val="21"/>
              </w:rPr>
              <w:t>344</w:t>
            </w:r>
          </w:p>
        </w:tc>
        <w:tc>
          <w:tcPr>
            <w:tcW w:type="dxa" w:w="1063"/>
          </w:tcPr>
          <w:p>
            <w:pPr>
              <w:spacing w:line="264" w:lineRule="auto" w:after="0"/>
            </w:pPr>
            <w:r/>
            <w:r>
              <w:rPr>
                <w:rFonts w:ascii="Times New Roman" w:hAnsi="Times New Roman" w:cs="Times New Roman" w:eastAsia="宋体"/>
                <w:b w:val="0"/>
                <w:sz w:val="21"/>
              </w:rPr>
              <w:t>416</w:t>
            </w:r>
          </w:p>
        </w:tc>
        <w:tc>
          <w:tcPr>
            <w:tcW w:type="dxa" w:w="1063"/>
          </w:tcPr>
          <w:p>
            <w:pPr>
              <w:spacing w:line="264" w:lineRule="auto" w:after="0"/>
            </w:pPr>
            <w:r/>
            <w:r>
              <w:rPr>
                <w:rFonts w:ascii="Times New Roman" w:hAnsi="Times New Roman" w:cs="Times New Roman" w:eastAsia="宋体"/>
                <w:b w:val="0"/>
                <w:sz w:val="21"/>
              </w:rPr>
              <w:t>+62%</w:t>
            </w:r>
          </w:p>
        </w:tc>
      </w:tr>
    </w:tbl>
    <w:p>
      <w:pPr>
        <w:spacing w:after="40"/>
      </w:pPr>
    </w:p>
    <w:p>
      <w:pPr>
        <w:spacing w:line="360" w:lineRule="auto" w:after="40"/>
        <w:ind w:left="420"/>
      </w:pPr>
      <w:r>
        <w:rPr>
          <w:rFonts w:ascii="Times New Roman" w:hAnsi="Times New Roman" w:cs="Times New Roman" w:eastAsia="宋体"/>
          <w:b w:val="0"/>
          <w:sz w:val="24"/>
        </w:rPr>
        <w:t xml:space="preserve">注：⓪ </w:t>
      </w:r>
      <w:r>
        <w:rPr>
          <w:rFonts w:ascii="Times New Roman" w:hAnsi="Times New Roman" w:cs="Times New Roman" w:eastAsia="宋体"/>
          <w:b/>
          <w:sz w:val="24"/>
        </w:rPr>
        <w:t>"三云"= 亚马逊 AWS / 谷歌 Cloud / 微软 Azure 三家公有云厂商（含微软 MSFT）；Meta 不经营公有云，故不计入"三云"，仅在"四家合计"中并入。</w:t>
      </w:r>
      <w:r>
        <w:rPr>
          <w:rFonts w:ascii="Times New Roman" w:hAnsi="Times New Roman" w:cs="Times New Roman" w:eastAsia="宋体"/>
          <w:b w:val="0"/>
          <w:sz w:val="24"/>
        </w:rPr>
        <w:t xml:space="preserve"> ① </w:t>
      </w:r>
      <w:r>
        <w:rPr>
          <w:rFonts w:ascii="Times New Roman" w:hAnsi="Times New Roman" w:cs="Times New Roman" w:eastAsia="宋体"/>
          <w:b/>
          <w:sz w:val="24"/>
        </w:rPr>
        <w:t>2025 年四家（含 Meta）合计 $416B（+66% vs 2024 的 $251B）</w:t>
      </w:r>
      <w:r>
        <w:rPr>
          <w:rFonts w:ascii="Times New Roman" w:hAnsi="Times New Roman" w:cs="Times New Roman" w:eastAsia="宋体"/>
          <w:b w:val="0"/>
          <w:sz w:val="24"/>
        </w:rPr>
        <w:t xml:space="preserve">；三云合计约 $344B。均创历史新高（Amazon +61% / Google +74% / Meta +84% / Microsoft +56%）。② </w:t>
      </w:r>
      <w:hyperlink r:id="rId19">
        <w:r>
          <w:rPr>
            <w:rFonts w:ascii="Times New Roman" w:hAnsi="Times New Roman" w:eastAsia="宋体"/>
            <w:color w:val="0563C1"/>
            <w:u w:val="single"/>
            <w:sz w:val="24"/>
          </w:rPr>
          <w:t xml:space="preserve">Platformonomics 2025 回顾</w:t>
        </w:r>
      </w:hyperlink>
      <w:r>
        <w:rPr>
          <w:rFonts w:ascii="Times New Roman" w:hAnsi="Times New Roman" w:cs="Times New Roman" w:eastAsia="宋体"/>
          <w:b w:val="0"/>
          <w:sz w:val="24"/>
        </w:rPr>
        <w:t>："</w:t>
      </w:r>
      <w:r>
        <w:rPr>
          <w:rFonts w:ascii="Times New Roman" w:hAnsi="Times New Roman" w:cs="Times New Roman" w:eastAsia="宋体"/>
          <w:b/>
          <w:sz w:val="24"/>
        </w:rPr>
        <w:t>overwhelmingly data center infrastructure with one exception: Amazon</w:t>
      </w:r>
      <w:r>
        <w:rPr>
          <w:rFonts w:ascii="Times New Roman" w:hAnsi="Times New Roman" w:cs="Times New Roman" w:eastAsia="宋体"/>
          <w:b w:val="0"/>
          <w:sz w:val="24"/>
        </w:rPr>
        <w:t xml:space="preserve">"——即除亚马逊外，谷歌/微软/Meta 的 capex </w:t>
      </w:r>
      <w:r>
        <w:rPr>
          <w:rFonts w:ascii="Times New Roman" w:hAnsi="Times New Roman" w:cs="Times New Roman" w:eastAsia="宋体"/>
          <w:b/>
          <w:sz w:val="24"/>
        </w:rPr>
        <w:t>绝大部分</w:t>
      </w:r>
      <w:r>
        <w:rPr>
          <w:rFonts w:ascii="Times New Roman" w:hAnsi="Times New Roman" w:cs="Times New Roman" w:eastAsia="宋体"/>
          <w:b w:val="0"/>
          <w:sz w:val="24"/>
        </w:rPr>
        <w:t xml:space="preserve">就是数据中心。③ Meta 各年为"含融资租赁"口径（与 §2.2b 备注一致）。④ </w:t>
      </w:r>
      <w:r>
        <w:rPr>
          <w:rFonts w:ascii="Times New Roman" w:hAnsi="Times New Roman" w:cs="Times New Roman" w:eastAsia="宋体"/>
          <w:b/>
          <w:sz w:val="24"/>
        </w:rPr>
        <w:t>微软 2025 年 CAPEX 中约 $29B（约 1/4）经融资租赁</w:t>
      </w:r>
      <w:r>
        <w:rPr>
          <w:rFonts w:ascii="Times New Roman" w:hAnsi="Times New Roman" w:cs="Times New Roman" w:eastAsia="宋体"/>
          <w:b w:val="0"/>
          <w:sz w:val="24"/>
        </w:rPr>
        <w:t>取得（</w:t>
      </w:r>
      <w:hyperlink r:id="rId19">
        <w:r>
          <w:rPr>
            <w:rFonts w:ascii="Times New Roman" w:hAnsi="Times New Roman" w:eastAsia="宋体"/>
            <w:color w:val="0563C1"/>
            <w:u w:val="single"/>
            <w:sz w:val="24"/>
          </w:rPr>
          <w:t xml:space="preserve">Platformonomics 2025 回顾</w:t>
        </w:r>
      </w:hyperlink>
      <w:r>
        <w:rPr>
          <w:rFonts w:ascii="Times New Roman" w:hAnsi="Times New Roman" w:cs="Times New Roman" w:eastAsia="宋体"/>
          <w:b w:val="0"/>
          <w:sz w:val="24"/>
        </w:rPr>
        <w:t xml:space="preserve">："*about a quarter of their spend, $29 billion, was via finance lease*"）。⑤ 2025 年 CAPEX/营收比创纪录：Meta </w:t>
      </w:r>
      <w:r>
        <w:rPr>
          <w:rFonts w:ascii="Times New Roman" w:hAnsi="Times New Roman" w:cs="Times New Roman" w:eastAsia="宋体"/>
          <w:b/>
          <w:sz w:val="24"/>
        </w:rPr>
        <w:t>44%</w:t>
      </w:r>
      <w:r>
        <w:rPr>
          <w:rFonts w:ascii="Times New Roman" w:hAnsi="Times New Roman" w:cs="Times New Roman" w:eastAsia="宋体"/>
          <w:b w:val="0"/>
          <w:sz w:val="24"/>
        </w:rPr>
        <w:t xml:space="preserve">、微软 </w:t>
      </w:r>
      <w:r>
        <w:rPr>
          <w:rFonts w:ascii="Times New Roman" w:hAnsi="Times New Roman" w:cs="Times New Roman" w:eastAsia="宋体"/>
          <w:b/>
          <w:sz w:val="24"/>
        </w:rPr>
        <w:t>39%</w:t>
      </w:r>
      <w:r>
        <w:rPr>
          <w:rFonts w:ascii="Times New Roman" w:hAnsi="Times New Roman" w:cs="Times New Roman" w:eastAsia="宋体"/>
          <w:b w:val="0"/>
          <w:sz w:val="24"/>
        </w:rPr>
        <w:t xml:space="preserve">。⑥ </w:t>
      </w:r>
      <w:r>
        <w:rPr>
          <w:rFonts w:ascii="Times New Roman" w:hAnsi="Times New Roman" w:cs="Times New Roman" w:eastAsia="宋体"/>
          <w:b/>
          <w:sz w:val="24"/>
        </w:rPr>
        <w:t>口径提示（亚马逊 2021：表内 73.7 vs 官方 68.1）</w:t>
      </w:r>
      <w:r>
        <w:rPr>
          <w:rFonts w:ascii="Times New Roman" w:hAnsi="Times New Roman" w:cs="Times New Roman" w:eastAsia="宋体"/>
          <w:b w:val="0"/>
          <w:sz w:val="24"/>
        </w:rPr>
        <w:t xml:space="preserve">：本表 73.7 为 Platformonomics 口径（capex + 设备融资租赁 </w:t>
      </w:r>
      <w:r>
        <w:rPr>
          <w:rFonts w:ascii="Times New Roman" w:hAnsi="Times New Roman" w:cs="Times New Roman" w:eastAsia="宋体"/>
          <w:b/>
          <w:sz w:val="24"/>
        </w:rPr>
        <w:t>+ build-to-suit 房产租约</w:t>
      </w:r>
      <w:r>
        <w:rPr>
          <w:rFonts w:ascii="Times New Roman" w:hAnsi="Times New Roman" w:cs="Times New Roman" w:eastAsia="宋体"/>
          <w:b w:val="0"/>
          <w:sz w:val="24"/>
        </w:rPr>
        <w:t>）；亚马逊 CFO 官方口径 68.1（capex + 设备融资租赁、</w:t>
      </w:r>
      <w:r>
        <w:rPr>
          <w:rFonts w:ascii="Times New Roman" w:hAnsi="Times New Roman" w:cs="Times New Roman" w:eastAsia="宋体"/>
          <w:b/>
          <w:sz w:val="24"/>
        </w:rPr>
        <w:t>不含 build-to-suit</w:t>
      </w:r>
      <w:r>
        <w:rPr>
          <w:rFonts w:ascii="Times New Roman" w:hAnsi="Times New Roman" w:cs="Times New Roman" w:eastAsia="宋体"/>
          <w:b w:val="0"/>
          <w:sz w:val="24"/>
        </w:rPr>
        <w:t xml:space="preserve">，见下方结构拆分与 §2.2）；差额约 $5.6B 即 build-to-suit 房产租约。⑦ </w:t>
      </w:r>
      <w:r>
        <w:rPr>
          <w:rFonts w:ascii="Times New Roman" w:hAnsi="Times New Roman" w:cs="Times New Roman" w:eastAsia="宋体"/>
          <w:b/>
          <w:sz w:val="24"/>
        </w:rPr>
        <w:t>微软口径存疑（视为估算）</w:t>
      </w:r>
      <w:r>
        <w:rPr>
          <w:rFonts w:ascii="Times New Roman" w:hAnsi="Times New Roman" w:cs="Times New Roman" w:eastAsia="宋体"/>
          <w:b w:val="0"/>
          <w:sz w:val="24"/>
        </w:rPr>
        <w:t>：Platformonomics 未公开其对微软（财年止 6/30）→ 日历年的换算方法，且微软 2020/2021 值（20.6/25.9）与另一口径的财年 PP&amp;E 高度巧合，</w:t>
      </w:r>
      <w:r>
        <w:rPr>
          <w:rFonts w:ascii="Times New Roman" w:hAnsi="Times New Roman" w:cs="Times New Roman" w:eastAsia="宋体"/>
          <w:b/>
          <w:sz w:val="24"/>
        </w:rPr>
        <w:t>故微软整行 §3.1 数字按【估算/口径存疑】看待，与亚马逊（本即日历年）不完全同一可信度</w:t>
      </w:r>
      <w:r>
        <w:rPr>
          <w:rFonts w:ascii="Times New Roman" w:hAnsi="Times New Roman" w:cs="Times New Roman" w:eastAsia="宋体"/>
          <w:b w:val="0"/>
          <w:sz w:val="24"/>
        </w:rPr>
        <w:t>。</w:t>
      </w:r>
    </w:p>
    <w:p>
      <w:pPr>
        <w:spacing w:line="360" w:lineRule="auto" w:after="40"/>
        <w:ind w:firstLine="480"/>
      </w:pPr>
      <w:r>
        <w:rPr>
          <w:rFonts w:ascii="Times New Roman" w:hAnsi="Times New Roman" w:cs="Times New Roman" w:eastAsia="宋体"/>
          <w:b/>
          <w:sz w:val="24"/>
        </w:rPr>
        <w:t>② 亚马逊 AWS capex（10-K 官方单列，最接近"数据中心 capex"的硬数字）</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fill="D9E2F3"/>
          </w:tcPr>
          <w:p>
            <w:pPr>
              <w:spacing w:line="264" w:lineRule="auto" w:after="0"/>
            </w:pPr>
            <w:r/>
            <w:r>
              <w:rPr>
                <w:rFonts w:ascii="Times New Roman" w:hAnsi="Times New Roman" w:cs="Times New Roman" w:eastAsia="宋体"/>
                <w:b/>
                <w:sz w:val="21"/>
              </w:rPr>
              <w:t>年份</w:t>
            </w:r>
          </w:p>
        </w:tc>
        <w:tc>
          <w:tcPr>
            <w:tcW w:type="dxa" w:w="2835"/>
            <w:shd w:val="clear" w:fill="D9E2F3"/>
          </w:tcPr>
          <w:p>
            <w:pPr>
              <w:spacing w:line="264" w:lineRule="auto" w:after="0"/>
            </w:pPr>
            <w:r/>
            <w:r>
              <w:rPr>
                <w:rFonts w:ascii="Times New Roman" w:hAnsi="Times New Roman" w:cs="Times New Roman" w:eastAsia="宋体"/>
                <w:b/>
                <w:sz w:val="21"/>
              </w:rPr>
              <w:t>AWS capex</w:t>
            </w:r>
          </w:p>
        </w:tc>
        <w:tc>
          <w:tcPr>
            <w:tcW w:type="dxa" w:w="2835"/>
            <w:shd w:val="clear" w:fill="D9E2F3"/>
          </w:tcPr>
          <w:p>
            <w:pPr>
              <w:spacing w:line="264" w:lineRule="auto" w:after="0"/>
            </w:pPr>
            <w:r/>
            <w:r>
              <w:rPr>
                <w:rFonts w:ascii="Times New Roman" w:hAnsi="Times New Roman" w:cs="Times New Roman" w:eastAsia="宋体"/>
                <w:b/>
                <w:sz w:val="21"/>
              </w:rPr>
              <w:t>来源/说明</w:t>
            </w:r>
          </w:p>
        </w:tc>
      </w:tr>
      <w:tr>
        <w:tc>
          <w:tcPr>
            <w:tcW w:type="dxa" w:w="2835"/>
          </w:tcPr>
          <w:p>
            <w:pPr>
              <w:spacing w:line="264" w:lineRule="auto" w:after="0"/>
            </w:pPr>
            <w:r/>
            <w:r>
              <w:rPr>
                <w:rFonts w:ascii="Times New Roman" w:hAnsi="Times New Roman" w:cs="Times New Roman" w:eastAsia="宋体"/>
                <w:b w:val="0"/>
                <w:sz w:val="21"/>
              </w:rPr>
              <w:t>2021</w:t>
            </w:r>
          </w:p>
        </w:tc>
        <w:tc>
          <w:tcPr>
            <w:tcW w:type="dxa" w:w="2835"/>
          </w:tcPr>
          <w:p>
            <w:pPr>
              <w:spacing w:line="264" w:lineRule="auto" w:after="0"/>
            </w:pPr>
            <w:r/>
            <w:r>
              <w:rPr>
                <w:rFonts w:ascii="Times New Roman" w:hAnsi="Times New Roman" w:cs="Times New Roman" w:eastAsia="宋体"/>
                <w:b w:val="0"/>
                <w:sz w:val="21"/>
              </w:rPr>
              <w:t>≈ $22B</w:t>
            </w:r>
          </w:p>
        </w:tc>
        <w:tc>
          <w:tcPr>
            <w:tcW w:type="dxa" w:w="2835"/>
          </w:tcPr>
          <w:p>
            <w:pPr>
              <w:spacing w:line="264" w:lineRule="auto" w:after="0"/>
            </w:pPr>
            <w:r/>
            <w:r>
              <w:rPr>
                <w:rFonts w:ascii="Times New Roman" w:hAnsi="Times New Roman" w:cs="Times New Roman" w:eastAsia="宋体"/>
                <w:b w:val="0"/>
                <w:sz w:val="21"/>
              </w:rPr>
              <w:t>亚马逊 10-K 年报披露（</w:t>
            </w:r>
            <w:hyperlink r:id="rId37">
              <w:r>
                <w:rPr>
                  <w:rFonts w:ascii="Times New Roman" w:hAnsi="Times New Roman" w:eastAsia="宋体"/>
                  <w:color w:val="0563C1"/>
                  <w:u w:val="single"/>
                  <w:sz w:val="19"/>
                </w:rPr>
                <w:t xml:space="preserve">Platformonomics 2021 回顾</w:t>
              </w:r>
            </w:hyperlink>
            <w:r>
              <w:rPr>
                <w:rFonts w:ascii="Times New Roman" w:hAnsi="Times New Roman" w:cs="Times New Roman" w:eastAsia="宋体"/>
                <w:b w:val="0"/>
                <w:sz w:val="21"/>
              </w:rPr>
              <w:t>评论区引述："*They literally give the AWS capex number in the annual filings every year. $22bn for 2021*"）</w:t>
            </w:r>
          </w:p>
        </w:tc>
      </w:tr>
      <w:tr>
        <w:tc>
          <w:tcPr>
            <w:tcW w:type="dxa" w:w="2835"/>
          </w:tcPr>
          <w:p>
            <w:pPr>
              <w:spacing w:line="264" w:lineRule="auto" w:after="0"/>
            </w:pPr>
            <w:r/>
            <w:r>
              <w:rPr>
                <w:rFonts w:ascii="Times New Roman" w:hAnsi="Times New Roman" w:cs="Times New Roman" w:eastAsia="宋体"/>
                <w:b w:val="0"/>
                <w:sz w:val="21"/>
              </w:rPr>
              <w:t>2022</w:t>
            </w:r>
          </w:p>
        </w:tc>
        <w:tc>
          <w:tcPr>
            <w:tcW w:type="dxa" w:w="2835"/>
          </w:tcPr>
          <w:p>
            <w:pPr>
              <w:spacing w:line="264" w:lineRule="auto" w:after="0"/>
            </w:pPr>
            <w:r/>
            <w:r>
              <w:rPr>
                <w:rFonts w:ascii="Times New Roman" w:hAnsi="Times New Roman" w:cs="Times New Roman" w:eastAsia="宋体"/>
                <w:b w:val="0"/>
                <w:sz w:val="21"/>
              </w:rPr>
              <w:t xml:space="preserve">≈ $27.6B </w:t>
            </w:r>
            <w:r>
              <w:rPr>
                <w:rFonts w:ascii="Times New Roman" w:hAnsi="Times New Roman" w:cs="Times New Roman" w:eastAsia="宋体"/>
                <w:b/>
                <w:sz w:val="21"/>
              </w:rPr>
              <w:t>（反推，非直引）</w:t>
            </w:r>
          </w:p>
        </w:tc>
        <w:tc>
          <w:tcPr>
            <w:tcW w:type="dxa" w:w="2835"/>
          </w:tcPr>
          <w:p>
            <w:pPr>
              <w:spacing w:line="264" w:lineRule="auto" w:after="0"/>
            </w:pPr>
            <w:r/>
            <w:r>
              <w:rPr>
                <w:rFonts w:ascii="Times New Roman" w:hAnsi="Times New Roman" w:cs="Times New Roman" w:eastAsia="宋体"/>
                <w:b w:val="0"/>
                <w:sz w:val="21"/>
              </w:rPr>
              <w:t>由"2023 同比 −10% 至 $24.8B"倒推得出，与本表其余行的 10-K/分析师直引</w:t>
            </w:r>
            <w:r>
              <w:rPr>
                <w:rFonts w:ascii="Times New Roman" w:hAnsi="Times New Roman" w:cs="Times New Roman" w:eastAsia="宋体"/>
                <w:b/>
                <w:sz w:val="21"/>
              </w:rPr>
              <w:t>不同权重</w:t>
            </w:r>
            <w:r>
              <w:rPr>
                <w:rFonts w:ascii="Times New Roman" w:hAnsi="Times New Roman" w:cs="Times New Roman" w:eastAsia="宋体"/>
                <w:b w:val="0"/>
                <w:sz w:val="21"/>
              </w:rPr>
              <w:t>，待 10-K 精确值核</w:t>
            </w:r>
          </w:p>
        </w:tc>
      </w:tr>
      <w:tr>
        <w:tc>
          <w:tcPr>
            <w:tcW w:type="dxa" w:w="2835"/>
          </w:tcPr>
          <w:p>
            <w:pPr>
              <w:spacing w:line="264" w:lineRule="auto" w:after="0"/>
            </w:pPr>
            <w:r/>
            <w:r>
              <w:rPr>
                <w:rFonts w:ascii="Times New Roman" w:hAnsi="Times New Roman" w:cs="Times New Roman" w:eastAsia="宋体"/>
                <w:b w:val="0"/>
                <w:sz w:val="21"/>
              </w:rPr>
              <w:t>2023</w:t>
            </w:r>
          </w:p>
        </w:tc>
        <w:tc>
          <w:tcPr>
            <w:tcW w:type="dxa" w:w="2835"/>
          </w:tcPr>
          <w:p>
            <w:pPr>
              <w:spacing w:line="264" w:lineRule="auto" w:after="0"/>
            </w:pPr>
            <w:r/>
            <w:r>
              <w:rPr>
                <w:rFonts w:ascii="Times New Roman" w:hAnsi="Times New Roman" w:cs="Times New Roman" w:eastAsia="宋体"/>
                <w:b w:val="0"/>
                <w:sz w:val="21"/>
              </w:rPr>
              <w:t>$24.8B</w:t>
            </w:r>
          </w:p>
        </w:tc>
        <w:tc>
          <w:tcPr>
            <w:tcW w:type="dxa" w:w="2835"/>
          </w:tcPr>
          <w:p>
            <w:pPr>
              <w:spacing w:line="264" w:lineRule="auto" w:after="0"/>
            </w:pPr>
            <w:r/>
            <w:hyperlink r:id="rId38">
              <w:r>
                <w:rPr>
                  <w:rFonts w:ascii="Times New Roman" w:hAnsi="Times New Roman" w:eastAsia="宋体"/>
                  <w:color w:val="0563C1"/>
                  <w:u w:val="single"/>
                  <w:sz w:val="19"/>
                </w:rPr>
                <w:t xml:space="preserve">Platformonomics 2024 回顾</w:t>
              </w:r>
            </w:hyperlink>
            <w:r>
              <w:rPr>
                <w:rFonts w:ascii="Times New Roman" w:hAnsi="Times New Roman" w:cs="Times New Roman" w:eastAsia="宋体"/>
                <w:b w:val="0"/>
                <w:sz w:val="21"/>
              </w:rPr>
              <w:t>引 10-K</w:t>
            </w:r>
          </w:p>
        </w:tc>
      </w:tr>
      <w:tr>
        <w:tc>
          <w:tcPr>
            <w:tcW w:type="dxa" w:w="2835"/>
          </w:tcPr>
          <w:p>
            <w:pPr>
              <w:spacing w:line="264" w:lineRule="auto" w:after="0"/>
            </w:pPr>
            <w:r/>
            <w:r>
              <w:rPr>
                <w:rFonts w:ascii="Times New Roman" w:hAnsi="Times New Roman" w:cs="Times New Roman" w:eastAsia="宋体"/>
                <w:b w:val="0"/>
                <w:sz w:val="21"/>
              </w:rPr>
              <w:t>2024</w:t>
            </w:r>
          </w:p>
        </w:tc>
        <w:tc>
          <w:tcPr>
            <w:tcW w:type="dxa" w:w="2835"/>
          </w:tcPr>
          <w:p>
            <w:pPr>
              <w:spacing w:line="264" w:lineRule="auto" w:after="0"/>
            </w:pPr>
            <w:r/>
            <w:r>
              <w:rPr>
                <w:rFonts w:ascii="Times New Roman" w:hAnsi="Times New Roman" w:cs="Times New Roman" w:eastAsia="宋体"/>
                <w:b w:val="0"/>
                <w:sz w:val="21"/>
              </w:rPr>
              <w:t>$53.27B</w:t>
            </w:r>
          </w:p>
        </w:tc>
        <w:tc>
          <w:tcPr>
            <w:tcW w:type="dxa" w:w="2835"/>
          </w:tcPr>
          <w:p>
            <w:pPr>
              <w:spacing w:line="264" w:lineRule="auto" w:after="0"/>
            </w:pPr>
            <w:r/>
            <w:r>
              <w:rPr>
                <w:rFonts w:ascii="Times New Roman" w:hAnsi="Times New Roman" w:cs="Times New Roman" w:eastAsia="宋体"/>
                <w:b w:val="0"/>
                <w:sz w:val="21"/>
              </w:rPr>
              <w:t xml:space="preserve">占亚马逊总 capex </w:t>
            </w:r>
            <w:r>
              <w:rPr>
                <w:rFonts w:ascii="Times New Roman" w:hAnsi="Times New Roman" w:cs="Times New Roman" w:eastAsia="宋体"/>
                <w:b/>
                <w:sz w:val="21"/>
              </w:rPr>
              <w:t>64%</w:t>
            </w:r>
            <w:r>
              <w:rPr>
                <w:rFonts w:ascii="Times New Roman" w:hAnsi="Times New Roman" w:cs="Times New Roman" w:eastAsia="宋体"/>
                <w:b w:val="0"/>
                <w:sz w:val="21"/>
              </w:rPr>
              <w:t>；</w:t>
            </w:r>
            <w:hyperlink r:id="rId38">
              <w:r>
                <w:rPr>
                  <w:rFonts w:ascii="Times New Roman" w:hAnsi="Times New Roman" w:eastAsia="宋体"/>
                  <w:color w:val="0563C1"/>
                  <w:u w:val="single"/>
                  <w:sz w:val="19"/>
                </w:rPr>
                <w:t xml:space="preserve">Platformonomics 2024 回顾</w:t>
              </w:r>
            </w:hyperlink>
            <w:r>
              <w:rPr>
                <w:rFonts w:ascii="Times New Roman" w:hAnsi="Times New Roman" w:cs="Times New Roman" w:eastAsia="宋体"/>
                <w:b w:val="0"/>
                <w:sz w:val="21"/>
              </w:rPr>
              <w:t>原文："*In 2024, we see a big increase in AWS CAPEX, from $24.8 billion in 2023 to $53.3 billion... an all-time high as a percentage of Amazon's overall CAPEX spend at 64%*"</w:t>
            </w:r>
          </w:p>
        </w:tc>
      </w:tr>
      <w:tr>
        <w:tc>
          <w:tcPr>
            <w:tcW w:type="dxa" w:w="2835"/>
          </w:tcPr>
          <w:p>
            <w:pPr>
              <w:spacing w:line="264" w:lineRule="auto" w:after="0"/>
            </w:pPr>
            <w:r/>
            <w:r>
              <w:rPr>
                <w:rFonts w:ascii="Times New Roman" w:hAnsi="Times New Roman" w:cs="Times New Roman" w:eastAsia="宋体"/>
                <w:b w:val="0"/>
                <w:sz w:val="21"/>
              </w:rPr>
              <w:t>2025</w:t>
            </w:r>
          </w:p>
        </w:tc>
        <w:tc>
          <w:tcPr>
            <w:tcW w:type="dxa" w:w="2835"/>
          </w:tcPr>
          <w:p>
            <w:pPr>
              <w:spacing w:line="264" w:lineRule="auto" w:after="0"/>
            </w:pPr>
            <w:r/>
            <w:r>
              <w:rPr>
                <w:rFonts w:ascii="Times New Roman" w:hAnsi="Times New Roman" w:cs="Times New Roman" w:eastAsia="宋体"/>
                <w:b/>
                <w:sz w:val="21"/>
              </w:rPr>
              <w:t>$96.5B</w:t>
            </w:r>
          </w:p>
        </w:tc>
        <w:tc>
          <w:tcPr>
            <w:tcW w:type="dxa" w:w="2835"/>
          </w:tcPr>
          <w:p>
            <w:pPr>
              <w:spacing w:line="264" w:lineRule="auto" w:after="0"/>
            </w:pPr>
            <w:r/>
            <w:r>
              <w:rPr>
                <w:rFonts w:ascii="Times New Roman" w:hAnsi="Times New Roman" w:cs="Times New Roman" w:eastAsia="宋体"/>
                <w:b w:val="0"/>
                <w:sz w:val="21"/>
              </w:rPr>
              <w:t xml:space="preserve">+81%，占亚马逊总 capex </w:t>
            </w:r>
            <w:r>
              <w:rPr>
                <w:rFonts w:ascii="Times New Roman" w:hAnsi="Times New Roman" w:cs="Times New Roman" w:eastAsia="宋体"/>
                <w:b/>
                <w:sz w:val="21"/>
              </w:rPr>
              <w:t>72%</w:t>
            </w:r>
            <w:r>
              <w:rPr>
                <w:rFonts w:ascii="Times New Roman" w:hAnsi="Times New Roman" w:cs="Times New Roman" w:eastAsia="宋体"/>
                <w:b w:val="0"/>
                <w:sz w:val="21"/>
              </w:rPr>
              <w:t>（</w:t>
            </w:r>
            <w:hyperlink r:id="rId19">
              <w:r>
                <w:rPr>
                  <w:rFonts w:ascii="Times New Roman" w:hAnsi="Times New Roman" w:eastAsia="宋体"/>
                  <w:color w:val="0563C1"/>
                  <w:u w:val="single"/>
                  <w:sz w:val="19"/>
                </w:rPr>
                <w:t xml:space="preserve">Platformonomics 2025 回顾</w:t>
              </w:r>
            </w:hyperlink>
            <w:r>
              <w:rPr>
                <w:rFonts w:ascii="Times New Roman" w:hAnsi="Times New Roman" w:cs="Times New Roman" w:eastAsia="宋体"/>
                <w:b w:val="0"/>
                <w:sz w:val="21"/>
              </w:rPr>
              <w:t>："*AWS CAPEX... jumped 81% to $96.5 billion (ATH), accounting for 72% of total Amazon CAPEX*"）</w:t>
            </w:r>
          </w:p>
        </w:tc>
      </w:tr>
    </w:tbl>
    <w:p>
      <w:pPr>
        <w:spacing w:after="40"/>
      </w:pPr>
    </w:p>
    <w:p>
      <w:pPr>
        <w:spacing w:line="360" w:lineRule="auto" w:after="40"/>
        <w:ind w:firstLine="480"/>
      </w:pPr>
      <w:r>
        <w:rPr>
          <w:rFonts w:ascii="Times New Roman" w:hAnsi="Times New Roman" w:cs="Times New Roman" w:eastAsia="宋体"/>
          <w:b/>
          <w:sz w:val="24"/>
        </w:rPr>
        <w:t xml:space="preserve">亚马逊 2021 capex 结构（CFO Brian Olsavsky Q4'21 电话会，经 </w:t>
      </w:r>
      <w:hyperlink r:id="rId37">
        <w:r>
          <w:rPr>
            <w:rFonts w:ascii="Times New Roman" w:hAnsi="Times New Roman" w:eastAsia="宋体"/>
            <w:color w:val="0563C1"/>
            <w:u w:val="single"/>
            <w:sz w:val="24"/>
            <w:b/>
          </w:rPr>
          <w:t xml:space="preserve">Platformonomics 2021 回顾</w:t>
        </w:r>
      </w:hyperlink>
      <w:r>
        <w:rPr>
          <w:rFonts w:ascii="Times New Roman" w:hAnsi="Times New Roman" w:cs="Times New Roman" w:eastAsia="宋体"/>
          <w:b/>
          <w:sz w:val="24"/>
        </w:rPr>
        <w:t xml:space="preserve"> 引述，含设备融资租赁，总 $68.1B）</w:t>
      </w:r>
      <w:r>
        <w:rPr>
          <w:rFonts w:ascii="Times New Roman" w:hAnsi="Times New Roman" w:cs="Times New Roman" w:eastAsia="宋体"/>
          <w:b w:val="0"/>
          <w:sz w:val="24"/>
        </w:rPr>
        <w:t>："*just under 40% of that capex is going into infrastructure, most of it's feeding AWS... just under 30% is fulfillment... just under 25% is transportation... remaining 5% or so... offices and stores*" → 基础设施 &lt;$27.2B、仓储 &lt;$20.4B、物流 &lt;$17B、办公/门店 $3.4B。</w:t>
      </w:r>
    </w:p>
    <w:p>
      <w:pPr>
        <w:spacing w:line="360" w:lineRule="auto" w:after="40"/>
        <w:ind w:firstLine="480"/>
      </w:pPr>
      <w:r>
        <w:rPr>
          <w:rFonts w:ascii="Times New Roman" w:hAnsi="Times New Roman" w:cs="Times New Roman" w:eastAsia="宋体"/>
          <w:b/>
          <w:sz w:val="24"/>
        </w:rPr>
        <w:t>③ 谷歌/微软数据中心 capex 估算 —— 谷歌官方口径"60–70%"</w:t>
      </w:r>
    </w:p>
    <w:p>
      <w:pPr>
        <w:spacing w:line="360" w:lineRule="auto" w:after="40"/>
        <w:ind w:firstLine="480"/>
      </w:pPr>
      <w:hyperlink r:id="rId37">
        <w:r>
          <w:rPr>
            <w:rFonts w:ascii="Times New Roman" w:hAnsi="Times New Roman" w:eastAsia="宋体"/>
            <w:color w:val="0563C1"/>
            <w:u w:val="single"/>
            <w:sz w:val="24"/>
          </w:rPr>
          <w:t xml:space="preserve">Platformonomics 2021 回顾</w:t>
        </w:r>
      </w:hyperlink>
      <w:r>
        <w:rPr>
          <w:rFonts w:ascii="Times New Roman" w:hAnsi="Times New Roman" w:cs="Times New Roman" w:eastAsia="宋体"/>
          <w:b w:val="0"/>
          <w:sz w:val="24"/>
        </w:rPr>
        <w:t>引谷歌官方："</w:t>
      </w:r>
      <w:r>
        <w:rPr>
          <w:rFonts w:ascii="Times New Roman" w:hAnsi="Times New Roman" w:cs="Times New Roman" w:eastAsia="宋体"/>
          <w:b/>
          <w:sz w:val="24"/>
        </w:rPr>
        <w:t>Google has told us that 60-70% of their CAPEX goes to data center infrastructure</w:t>
      </w:r>
      <w:r>
        <w:rPr>
          <w:rFonts w:ascii="Times New Roman" w:hAnsi="Times New Roman" w:cs="Times New Roman" w:eastAsia="宋体"/>
          <w:b w:val="0"/>
          <w:sz w:val="24"/>
        </w:rPr>
        <w:t xml:space="preserve">"，并称微软"likely comparable"。按 </w:t>
      </w:r>
      <w:r>
        <w:rPr>
          <w:rFonts w:ascii="Times New Roman" w:hAnsi="Times New Roman" w:cs="Times New Roman" w:eastAsia="宋体"/>
          <w:b/>
          <w:sz w:val="24"/>
        </w:rPr>
        <w:t>60–70%</w:t>
      </w:r>
      <w:r>
        <w:rPr>
          <w:rFonts w:ascii="Times New Roman" w:hAnsi="Times New Roman" w:cs="Times New Roman" w:eastAsia="宋体"/>
          <w:b w:val="0"/>
          <w:sz w:val="24"/>
        </w:rPr>
        <w:t xml:space="preserve"> 区间估算各年数据中心 capex：</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fill="D9E2F3"/>
          </w:tcPr>
          <w:p>
            <w:pPr>
              <w:spacing w:line="264" w:lineRule="auto" w:after="0"/>
            </w:pPr>
            <w:r/>
          </w:p>
        </w:tc>
        <w:tc>
          <w:tcPr>
            <w:tcW w:type="dxa" w:w="2126"/>
            <w:shd w:val="clear" w:fill="D9E2F3"/>
          </w:tcPr>
          <w:p>
            <w:pPr>
              <w:spacing w:line="264" w:lineRule="auto" w:after="0"/>
            </w:pPr>
            <w:r/>
            <w:r>
              <w:rPr>
                <w:rFonts w:ascii="Times New Roman" w:hAnsi="Times New Roman" w:cs="Times New Roman" w:eastAsia="宋体"/>
                <w:b/>
                <w:sz w:val="21"/>
              </w:rPr>
              <w:t>2022</w:t>
            </w:r>
          </w:p>
        </w:tc>
        <w:tc>
          <w:tcPr>
            <w:tcW w:type="dxa" w:w="2126"/>
            <w:shd w:val="clear" w:fill="D9E2F3"/>
          </w:tcPr>
          <w:p>
            <w:pPr>
              <w:spacing w:line="264" w:lineRule="auto" w:after="0"/>
            </w:pPr>
            <w:r/>
            <w:r>
              <w:rPr>
                <w:rFonts w:ascii="Times New Roman" w:hAnsi="Times New Roman" w:cs="Times New Roman" w:eastAsia="宋体"/>
                <w:b/>
                <w:sz w:val="21"/>
              </w:rPr>
              <w:t>2023</w:t>
            </w:r>
          </w:p>
        </w:tc>
        <w:tc>
          <w:tcPr>
            <w:tcW w:type="dxa" w:w="2126"/>
            <w:shd w:val="clear" w:fill="D9E2F3"/>
          </w:tcPr>
          <w:p>
            <w:pPr>
              <w:spacing w:line="264" w:lineRule="auto" w:after="0"/>
            </w:pPr>
            <w:r/>
            <w:r>
              <w:rPr>
                <w:rFonts w:ascii="Times New Roman" w:hAnsi="Times New Roman" w:cs="Times New Roman" w:eastAsia="宋体"/>
                <w:b/>
                <w:sz w:val="21"/>
              </w:rPr>
              <w:t>2024</w:t>
            </w:r>
          </w:p>
        </w:tc>
      </w:tr>
      <w:tr>
        <w:tc>
          <w:tcPr>
            <w:tcW w:type="dxa" w:w="2126"/>
          </w:tcPr>
          <w:p>
            <w:pPr>
              <w:spacing w:line="264" w:lineRule="auto" w:after="0"/>
            </w:pPr>
            <w:r/>
            <w:r>
              <w:rPr>
                <w:rFonts w:ascii="Times New Roman" w:hAnsi="Times New Roman" w:cs="Times New Roman" w:eastAsia="宋体"/>
                <w:b w:val="0"/>
                <w:sz w:val="21"/>
              </w:rPr>
              <w:t>谷歌 DC 估算（×60–70%）</w:t>
            </w:r>
          </w:p>
        </w:tc>
        <w:tc>
          <w:tcPr>
            <w:tcW w:type="dxa" w:w="2126"/>
          </w:tcPr>
          <w:p>
            <w:pPr>
              <w:spacing w:line="264" w:lineRule="auto" w:after="0"/>
            </w:pPr>
            <w:r/>
            <w:r>
              <w:rPr>
                <w:rFonts w:ascii="Times New Roman" w:hAnsi="Times New Roman" w:cs="Times New Roman" w:eastAsia="宋体"/>
                <w:b w:val="0"/>
                <w:sz w:val="21"/>
              </w:rPr>
              <w:t>~$18.9–22.1B</w:t>
            </w:r>
          </w:p>
        </w:tc>
        <w:tc>
          <w:tcPr>
            <w:tcW w:type="dxa" w:w="2126"/>
          </w:tcPr>
          <w:p>
            <w:pPr>
              <w:spacing w:line="264" w:lineRule="auto" w:after="0"/>
            </w:pPr>
            <w:r/>
            <w:r>
              <w:rPr>
                <w:rFonts w:ascii="Times New Roman" w:hAnsi="Times New Roman" w:cs="Times New Roman" w:eastAsia="宋体"/>
                <w:b w:val="0"/>
                <w:sz w:val="21"/>
              </w:rPr>
              <w:t>~$19.4–22.6B</w:t>
            </w:r>
          </w:p>
        </w:tc>
        <w:tc>
          <w:tcPr>
            <w:tcW w:type="dxa" w:w="2126"/>
          </w:tcPr>
          <w:p>
            <w:pPr>
              <w:spacing w:line="264" w:lineRule="auto" w:after="0"/>
            </w:pPr>
            <w:r/>
            <w:r>
              <w:rPr>
                <w:rFonts w:ascii="Times New Roman" w:hAnsi="Times New Roman" w:cs="Times New Roman" w:eastAsia="宋体"/>
                <w:b w:val="0"/>
                <w:sz w:val="21"/>
              </w:rPr>
              <w:t>~$31.5–36.8B（2024"几乎全部"，取高端）</w:t>
            </w:r>
          </w:p>
        </w:tc>
      </w:tr>
      <w:tr>
        <w:tc>
          <w:tcPr>
            <w:tcW w:type="dxa" w:w="2126"/>
          </w:tcPr>
          <w:p>
            <w:pPr>
              <w:spacing w:line="264" w:lineRule="auto" w:after="0"/>
            </w:pPr>
            <w:r/>
            <w:r>
              <w:rPr>
                <w:rFonts w:ascii="Times New Roman" w:hAnsi="Times New Roman" w:cs="Times New Roman" w:eastAsia="宋体"/>
                <w:b w:val="0"/>
                <w:sz w:val="21"/>
              </w:rPr>
              <w:t>微软 DC 估算（×60–70%，</w:t>
            </w:r>
            <w:r>
              <w:rPr>
                <w:rFonts w:ascii="Times New Roman" w:hAnsi="Times New Roman" w:cs="Times New Roman" w:eastAsia="宋体"/>
                <w:b/>
                <w:sz w:val="21"/>
              </w:rPr>
              <w:t>借用谷歌比例、微软未确认</w:t>
            </w:r>
            <w:r>
              <w:rPr>
                <w:rFonts w:ascii="Times New Roman" w:hAnsi="Times New Roman" w:cs="Times New Roman" w:eastAsia="宋体"/>
                <w:b w:val="0"/>
                <w:sz w:val="21"/>
              </w:rPr>
              <w:t>）</w:t>
            </w:r>
          </w:p>
        </w:tc>
        <w:tc>
          <w:tcPr>
            <w:tcW w:type="dxa" w:w="2126"/>
          </w:tcPr>
          <w:p>
            <w:pPr>
              <w:spacing w:line="264" w:lineRule="auto" w:after="0"/>
            </w:pPr>
            <w:r/>
            <w:r>
              <w:rPr>
                <w:rFonts w:ascii="Times New Roman" w:hAnsi="Times New Roman" w:cs="Times New Roman" w:eastAsia="宋体"/>
                <w:b w:val="0"/>
                <w:sz w:val="21"/>
              </w:rPr>
              <w:t>~$17.0–19.9B</w:t>
            </w:r>
          </w:p>
        </w:tc>
        <w:tc>
          <w:tcPr>
            <w:tcW w:type="dxa" w:w="2126"/>
          </w:tcPr>
          <w:p>
            <w:pPr>
              <w:spacing w:line="264" w:lineRule="auto" w:after="0"/>
            </w:pPr>
            <w:r/>
            <w:r>
              <w:rPr>
                <w:rFonts w:ascii="Times New Roman" w:hAnsi="Times New Roman" w:cs="Times New Roman" w:eastAsia="宋体"/>
                <w:b w:val="0"/>
                <w:sz w:val="21"/>
              </w:rPr>
              <w:t>~$24.7–28.8B</w:t>
            </w:r>
          </w:p>
        </w:tc>
        <w:tc>
          <w:tcPr>
            <w:tcW w:type="dxa" w:w="2126"/>
          </w:tcPr>
          <w:p>
            <w:pPr>
              <w:spacing w:line="264" w:lineRule="auto" w:after="0"/>
            </w:pPr>
            <w:r/>
            <w:r>
              <w:rPr>
                <w:rFonts w:ascii="Times New Roman" w:hAnsi="Times New Roman" w:cs="Times New Roman" w:eastAsia="宋体"/>
                <w:b w:val="0"/>
                <w:sz w:val="21"/>
              </w:rPr>
              <w:t>~$45.4–52.9B</w:t>
            </w:r>
          </w:p>
        </w:tc>
      </w:tr>
    </w:tbl>
    <w:p>
      <w:pPr>
        <w:spacing w:after="40"/>
      </w:pPr>
    </w:p>
    <w:p>
      <w:pPr>
        <w:spacing w:line="360" w:lineRule="auto" w:after="40"/>
        <w:ind w:left="420"/>
      </w:pPr>
      <w:r>
        <w:rPr>
          <w:rFonts w:ascii="Times New Roman" w:hAnsi="Times New Roman" w:cs="Times New Roman" w:eastAsia="宋体"/>
          <w:b w:val="0"/>
          <w:sz w:val="24"/>
        </w:rPr>
        <w:t>来源（Platformonomics《Follow the CAPEX》年度回顾，作者 Charles Fitzgerald，URL 均已核实）：</w:t>
      </w:r>
      <w:hyperlink r:id="rId39">
        <w:r>
          <w:rPr>
            <w:rFonts w:ascii="Times New Roman" w:hAnsi="Times New Roman" w:eastAsia="宋体"/>
            <w:color w:val="0563C1"/>
            <w:u w:val="single"/>
            <w:sz w:val="24"/>
          </w:rPr>
          <w:t xml:space="preserve">2020 回顾</w:t>
        </w:r>
      </w:hyperlink>
      <w:r>
        <w:rPr>
          <w:rFonts w:ascii="Times New Roman" w:hAnsi="Times New Roman" w:cs="Times New Roman" w:eastAsia="宋体"/>
          <w:b w:val="0"/>
          <w:sz w:val="24"/>
        </w:rPr>
        <w:t>、</w:t>
      </w:r>
      <w:hyperlink r:id="rId37">
        <w:r>
          <w:rPr>
            <w:rFonts w:ascii="Times New Roman" w:hAnsi="Times New Roman" w:eastAsia="宋体"/>
            <w:color w:val="0563C1"/>
            <w:u w:val="single"/>
            <w:sz w:val="24"/>
          </w:rPr>
          <w:t xml:space="preserve">2021 回顾</w:t>
        </w:r>
      </w:hyperlink>
      <w:r>
        <w:rPr>
          <w:rFonts w:ascii="Times New Roman" w:hAnsi="Times New Roman" w:cs="Times New Roman" w:eastAsia="宋体"/>
          <w:b w:val="0"/>
          <w:sz w:val="24"/>
        </w:rPr>
        <w:t>、</w:t>
      </w:r>
      <w:hyperlink r:id="rId40">
        <w:r>
          <w:rPr>
            <w:rFonts w:ascii="Times New Roman" w:hAnsi="Times New Roman" w:eastAsia="宋体"/>
            <w:color w:val="0563C1"/>
            <w:u w:val="single"/>
            <w:sz w:val="24"/>
          </w:rPr>
          <w:t xml:space="preserve">2022 回顾</w:t>
        </w:r>
      </w:hyperlink>
      <w:r>
        <w:rPr>
          <w:rFonts w:ascii="Times New Roman" w:hAnsi="Times New Roman" w:cs="Times New Roman" w:eastAsia="宋体"/>
          <w:b w:val="0"/>
          <w:sz w:val="24"/>
        </w:rPr>
        <w:t>、</w:t>
      </w:r>
      <w:hyperlink r:id="rId41">
        <w:r>
          <w:rPr>
            <w:rFonts w:ascii="Times New Roman" w:hAnsi="Times New Roman" w:eastAsia="宋体"/>
            <w:color w:val="0563C1"/>
            <w:u w:val="single"/>
            <w:sz w:val="24"/>
          </w:rPr>
          <w:t xml:space="preserve">2023 回顾</w:t>
        </w:r>
      </w:hyperlink>
      <w:r>
        <w:rPr>
          <w:rFonts w:ascii="Times New Roman" w:hAnsi="Times New Roman" w:cs="Times New Roman" w:eastAsia="宋体"/>
          <w:b w:val="0"/>
          <w:sz w:val="24"/>
        </w:rPr>
        <w:t>、</w:t>
      </w:r>
      <w:hyperlink r:id="rId38">
        <w:r>
          <w:rPr>
            <w:rFonts w:ascii="Times New Roman" w:hAnsi="Times New Roman" w:eastAsia="宋体"/>
            <w:color w:val="0563C1"/>
            <w:u w:val="single"/>
            <w:sz w:val="24"/>
          </w:rPr>
          <w:t xml:space="preserve">2024 回顾</w:t>
        </w:r>
      </w:hyperlink>
      <w:r>
        <w:rPr>
          <w:rFonts w:ascii="Times New Roman" w:hAnsi="Times New Roman" w:cs="Times New Roman" w:eastAsia="宋体"/>
          <w:b w:val="0"/>
          <w:sz w:val="24"/>
        </w:rPr>
        <w:t>、</w:t>
      </w:r>
      <w:hyperlink r:id="rId19">
        <w:r>
          <w:rPr>
            <w:rFonts w:ascii="Times New Roman" w:hAnsi="Times New Roman" w:eastAsia="宋体"/>
            <w:color w:val="0563C1"/>
            <w:u w:val="single"/>
            <w:sz w:val="24"/>
          </w:rPr>
          <w:t xml:space="preserve">2025 回顾</w:t>
        </w:r>
      </w:hyperlink>
      <w:r>
        <w:rPr>
          <w:rFonts w:ascii="Times New Roman" w:hAnsi="Times New Roman" w:cs="Times New Roman" w:eastAsia="宋体"/>
          <w:b w:val="0"/>
          <w:sz w:val="24"/>
        </w:rPr>
        <w:t>。</w:t>
      </w:r>
      <w:r>
        <w:rPr>
          <w:rFonts w:ascii="Times New Roman" w:hAnsi="Times New Roman" w:cs="Times New Roman" w:eastAsia="宋体"/>
          <w:b/>
          <w:sz w:val="24"/>
        </w:rPr>
        <w:t>【公司整体 capex 与 AWS 拆分=分析师引一手；"60–70%"为谷歌官方口径；区间估算非审计数】</w:t>
      </w:r>
    </w:p>
    <w:p>
      <w:pPr>
        <w:spacing w:before="160" w:after="120" w:line="360" w:lineRule="auto"/>
      </w:pPr>
      <w:r>
        <w:rPr>
          <w:rFonts w:ascii="Times New Roman" w:hAnsi="Times New Roman" w:cs="Times New Roman" w:eastAsia="黑体"/>
          <w:b/>
          <w:sz w:val="28"/>
        </w:rPr>
        <w:t>3.2 各公司定性说明 + 双语引述</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fill="D9E2F3"/>
          </w:tcPr>
          <w:p>
            <w:pPr>
              <w:spacing w:line="264" w:lineRule="auto" w:after="0"/>
            </w:pPr>
            <w:r/>
            <w:r>
              <w:rPr>
                <w:rFonts w:ascii="Times New Roman" w:hAnsi="Times New Roman" w:cs="Times New Roman" w:eastAsia="宋体"/>
                <w:b/>
                <w:sz w:val="21"/>
              </w:rPr>
              <w:t>公司</w:t>
            </w:r>
          </w:p>
        </w:tc>
        <w:tc>
          <w:tcPr>
            <w:tcW w:type="dxa" w:w="2126"/>
            <w:shd w:val="clear" w:fill="D9E2F3"/>
          </w:tcPr>
          <w:p>
            <w:pPr>
              <w:spacing w:line="264" w:lineRule="auto" w:after="0"/>
            </w:pPr>
            <w:r/>
            <w:r>
              <w:rPr>
                <w:rFonts w:ascii="Times New Roman" w:hAnsi="Times New Roman" w:cs="Times New Roman" w:eastAsia="宋体"/>
                <w:b/>
                <w:sz w:val="21"/>
              </w:rPr>
              <w:t>数据中心/AI 基础设施情况</w:t>
            </w:r>
          </w:p>
        </w:tc>
        <w:tc>
          <w:tcPr>
            <w:tcW w:type="dxa" w:w="2126"/>
            <w:shd w:val="clear" w:fill="D9E2F3"/>
          </w:tcPr>
          <w:p>
            <w:pPr>
              <w:spacing w:line="264" w:lineRule="auto" w:after="0"/>
            </w:pPr>
            <w:r/>
            <w:r>
              <w:rPr>
                <w:rFonts w:ascii="Times New Roman" w:hAnsi="Times New Roman" w:cs="Times New Roman" w:eastAsia="宋体"/>
                <w:b/>
                <w:sz w:val="21"/>
              </w:rPr>
              <w:t>来源 + 英文引述</w:t>
            </w:r>
          </w:p>
        </w:tc>
        <w:tc>
          <w:tcPr>
            <w:tcW w:type="dxa" w:w="2126"/>
            <w:shd w:val="clear" w:fill="D9E2F3"/>
          </w:tcPr>
          <w:p>
            <w:pPr>
              <w:spacing w:line="264" w:lineRule="auto" w:after="0"/>
            </w:pPr>
            <w:r/>
            <w:r>
              <w:rPr>
                <w:rFonts w:ascii="Times New Roman" w:hAnsi="Times New Roman" w:cs="Times New Roman" w:eastAsia="宋体"/>
                <w:b/>
                <w:sz w:val="21"/>
              </w:rPr>
              <w:t>核实状态</w:t>
            </w:r>
          </w:p>
        </w:tc>
      </w:tr>
      <w:tr>
        <w:tc>
          <w:tcPr>
            <w:tcW w:type="dxa" w:w="2126"/>
          </w:tcPr>
          <w:p>
            <w:pPr>
              <w:spacing w:line="264" w:lineRule="auto" w:after="0"/>
            </w:pPr>
            <w:r/>
            <w:r>
              <w:rPr>
                <w:rFonts w:ascii="Times New Roman" w:hAnsi="Times New Roman" w:cs="Times New Roman" w:eastAsia="宋体"/>
                <w:b/>
                <w:sz w:val="21"/>
              </w:rPr>
              <w:t>亚马逊</w:t>
            </w:r>
          </w:p>
        </w:tc>
        <w:tc>
          <w:tcPr>
            <w:tcW w:type="dxa" w:w="2126"/>
          </w:tcPr>
          <w:p>
            <w:pPr>
              <w:spacing w:line="264" w:lineRule="auto" w:after="0"/>
            </w:pPr>
            <w:r/>
            <w:r>
              <w:rPr>
                <w:rFonts w:ascii="Times New Roman" w:hAnsi="Times New Roman" w:cs="Times New Roman" w:eastAsia="宋体"/>
                <w:b w:val="0"/>
                <w:sz w:val="21"/>
              </w:rPr>
              <w:t>增支主因生成式 AI，狂建数据中心、网络设备与硬件；2024 capex 同比 +81%（季度口径）。</w:t>
            </w:r>
          </w:p>
        </w:tc>
        <w:tc>
          <w:tcPr>
            <w:tcW w:type="dxa" w:w="2126"/>
          </w:tcPr>
          <w:p>
            <w:pPr>
              <w:spacing w:line="264" w:lineRule="auto" w:after="0"/>
            </w:pPr>
            <w:r/>
            <w:hyperlink r:id="rId25">
              <w:r>
                <w:rPr>
                  <w:rFonts w:ascii="Times New Roman" w:hAnsi="Times New Roman" w:eastAsia="宋体"/>
                  <w:color w:val="0563C1"/>
                  <w:u w:val="single"/>
                  <w:sz w:val="19"/>
                </w:rPr>
                <w:t xml:space="preserve">CNBC 2024-10-31</w:t>
              </w:r>
            </w:hyperlink>
            <w:r>
              <w:rPr>
                <w:rFonts w:ascii="Times New Roman" w:hAnsi="Times New Roman" w:cs="Times New Roman" w:eastAsia="宋体"/>
                <w:b w:val="0"/>
                <w:sz w:val="21"/>
              </w:rPr>
              <w:t>："</w:t>
            </w:r>
            <w:r>
              <w:rPr>
                <w:rFonts w:ascii="Times New Roman" w:hAnsi="Times New Roman" w:cs="Times New Roman" w:eastAsia="宋体"/>
                <w:b/>
                <w:sz w:val="21"/>
              </w:rPr>
              <w:t>The jump in spending is primarily being driven by generative AI investments, Jassy said. The company is rushing to invest in data centers, networking gear and hardware to meet vast demand for the technology</w:t>
            </w:r>
            <w:r>
              <w:rPr>
                <w:rFonts w:ascii="Times New Roman" w:hAnsi="Times New Roman" w:cs="Times New Roman" w:eastAsia="宋体"/>
                <w:b w:val="0"/>
                <w:sz w:val="21"/>
              </w:rPr>
              <w:t>"</w:t>
            </w:r>
          </w:p>
        </w:tc>
        <w:tc>
          <w:tcPr>
            <w:tcW w:type="dxa" w:w="2126"/>
          </w:tcPr>
          <w:p>
            <w:pPr>
              <w:spacing w:line="264" w:lineRule="auto" w:after="0"/>
            </w:pPr>
            <w:r/>
            <w:r>
              <w:rPr>
                <w:rFonts w:ascii="Times New Roman" w:hAnsi="Times New Roman" w:cs="Times New Roman" w:eastAsia="宋体"/>
                <w:b w:val="0"/>
                <w:sz w:val="21"/>
              </w:rPr>
              <w:t>已核实（媒体原文）</w:t>
            </w:r>
          </w:p>
        </w:tc>
      </w:tr>
      <w:tr>
        <w:tc>
          <w:tcPr>
            <w:tcW w:type="dxa" w:w="2126"/>
          </w:tcPr>
          <w:p>
            <w:pPr>
              <w:spacing w:line="264" w:lineRule="auto" w:after="0"/>
            </w:pPr>
            <w:r/>
            <w:r>
              <w:rPr>
                <w:rFonts w:ascii="Times New Roman" w:hAnsi="Times New Roman" w:cs="Times New Roman" w:eastAsia="宋体"/>
                <w:b/>
                <w:sz w:val="21"/>
              </w:rPr>
              <w:t>微软</w:t>
            </w:r>
          </w:p>
        </w:tc>
        <w:tc>
          <w:tcPr>
            <w:tcW w:type="dxa" w:w="2126"/>
          </w:tcPr>
          <w:p>
            <w:pPr>
              <w:spacing w:line="264" w:lineRule="auto" w:after="0"/>
            </w:pPr>
            <w:r/>
            <w:r>
              <w:rPr>
                <w:rFonts w:ascii="Times New Roman" w:hAnsi="Times New Roman" w:cs="Times New Roman" w:eastAsia="宋体"/>
                <w:b w:val="0"/>
                <w:sz w:val="21"/>
              </w:rPr>
              <w:t>因 OpenAI 投资，FY 一季报承压，公司称资本开支将持续上升；2023 增量 AI 投入约 $9B（占 capex ~22%，Platformonomics 测算）。</w:t>
            </w:r>
          </w:p>
        </w:tc>
        <w:tc>
          <w:tcPr>
            <w:tcW w:type="dxa" w:w="2126"/>
          </w:tcPr>
          <w:p>
            <w:pPr>
              <w:spacing w:line="264" w:lineRule="auto" w:after="0"/>
            </w:pPr>
            <w:r/>
            <w:hyperlink r:id="rId25">
              <w:r>
                <w:rPr>
                  <w:rFonts w:ascii="Times New Roman" w:hAnsi="Times New Roman" w:eastAsia="宋体"/>
                  <w:color w:val="0563C1"/>
                  <w:u w:val="single"/>
                  <w:sz w:val="19"/>
                </w:rPr>
                <w:t xml:space="preserve">CNBC 2024-10-31</w:t>
              </w:r>
            </w:hyperlink>
            <w:r>
              <w:rPr>
                <w:rFonts w:ascii="Times New Roman" w:hAnsi="Times New Roman" w:cs="Times New Roman" w:eastAsia="宋体"/>
                <w:b w:val="0"/>
                <w:sz w:val="21"/>
              </w:rPr>
              <w:t>："</w:t>
            </w:r>
            <w:r>
              <w:rPr>
                <w:rFonts w:ascii="Times New Roman" w:hAnsi="Times New Roman" w:cs="Times New Roman" w:eastAsia="宋体"/>
                <w:b/>
                <w:sz w:val="21"/>
              </w:rPr>
              <w:t>Microsoft's investment in OpenAI weighed on its fiscal first-quarter earnings... and the company said capital spending would continue to rise</w:t>
            </w:r>
            <w:r>
              <w:rPr>
                <w:rFonts w:ascii="Times New Roman" w:hAnsi="Times New Roman" w:cs="Times New Roman" w:eastAsia="宋体"/>
                <w:b w:val="0"/>
                <w:sz w:val="21"/>
              </w:rPr>
              <w:t>"</w:t>
            </w:r>
          </w:p>
        </w:tc>
        <w:tc>
          <w:tcPr>
            <w:tcW w:type="dxa" w:w="2126"/>
          </w:tcPr>
          <w:p>
            <w:pPr>
              <w:spacing w:line="264" w:lineRule="auto" w:after="0"/>
            </w:pPr>
            <w:r/>
            <w:r>
              <w:rPr>
                <w:rFonts w:ascii="Times New Roman" w:hAnsi="Times New Roman" w:cs="Times New Roman" w:eastAsia="宋体"/>
                <w:b w:val="0"/>
                <w:sz w:val="21"/>
              </w:rPr>
              <w:t>已核实（媒体原文）</w:t>
            </w:r>
          </w:p>
        </w:tc>
      </w:tr>
      <w:tr>
        <w:tc>
          <w:tcPr>
            <w:tcW w:type="dxa" w:w="2126"/>
          </w:tcPr>
          <w:p>
            <w:pPr>
              <w:spacing w:line="264" w:lineRule="auto" w:after="0"/>
            </w:pPr>
            <w:r/>
            <w:r>
              <w:rPr>
                <w:rFonts w:ascii="Times New Roman" w:hAnsi="Times New Roman" w:cs="Times New Roman" w:eastAsia="宋体"/>
                <w:b/>
                <w:sz w:val="21"/>
              </w:rPr>
              <w:t>Alphabet</w:t>
            </w:r>
          </w:p>
        </w:tc>
        <w:tc>
          <w:tcPr>
            <w:tcW w:type="dxa" w:w="2126"/>
          </w:tcPr>
          <w:p>
            <w:pPr>
              <w:spacing w:line="264" w:lineRule="auto" w:after="0"/>
            </w:pPr>
            <w:r/>
            <w:r>
              <w:rPr>
                <w:rFonts w:ascii="Times New Roman" w:hAnsi="Times New Roman" w:cs="Times New Roman" w:eastAsia="宋体"/>
                <w:b w:val="0"/>
                <w:sz w:val="21"/>
              </w:rPr>
              <w:t>capex 是四家中</w:t>
            </w:r>
            <w:r>
              <w:rPr>
                <w:rFonts w:ascii="Times New Roman" w:hAnsi="Times New Roman" w:cs="Times New Roman" w:eastAsia="宋体"/>
                <w:b/>
                <w:sz w:val="21"/>
              </w:rPr>
              <w:t>最"干净"的——唯一不用融资租赁</w:t>
            </w:r>
            <w:r>
              <w:rPr>
                <w:rFonts w:ascii="Times New Roman" w:hAnsi="Times New Roman" w:cs="Times New Roman" w:eastAsia="宋体"/>
                <w:b w:val="0"/>
                <w:sz w:val="21"/>
              </w:rPr>
              <w:t>；但</w:t>
            </w:r>
            <w:r>
              <w:rPr>
                <w:rFonts w:ascii="Times New Roman" w:hAnsi="Times New Roman" w:cs="Times New Roman" w:eastAsia="宋体"/>
                <w:b/>
                <w:sz w:val="21"/>
              </w:rPr>
              <w:t>最不透明</w:t>
            </w:r>
            <w:r>
              <w:rPr>
                <w:rFonts w:ascii="Times New Roman" w:hAnsi="Times New Roman" w:cs="Times New Roman" w:eastAsia="宋体"/>
                <w:b w:val="0"/>
                <w:sz w:val="21"/>
              </w:rPr>
              <w:t>（搜索/YouTube/云多业务争抢基础设施）。</w:t>
            </w:r>
          </w:p>
        </w:tc>
        <w:tc>
          <w:tcPr>
            <w:tcW w:type="dxa" w:w="2126"/>
          </w:tcPr>
          <w:p>
            <w:pPr>
              <w:spacing w:line="264" w:lineRule="auto" w:after="0"/>
            </w:pPr>
            <w:r/>
            <w:hyperlink r:id="rId19">
              <w:r>
                <w:rPr>
                  <w:rFonts w:ascii="Times New Roman" w:hAnsi="Times New Roman" w:eastAsia="宋体"/>
                  <w:color w:val="0563C1"/>
                  <w:u w:val="single"/>
                  <w:sz w:val="19"/>
                </w:rPr>
                <w:t xml:space="preserve">Platformonomics 2025 回顾</w:t>
              </w:r>
            </w:hyperlink>
            <w:r>
              <w:rPr>
                <w:rFonts w:ascii="Times New Roman" w:hAnsi="Times New Roman" w:cs="Times New Roman" w:eastAsia="宋体"/>
                <w:b w:val="0"/>
                <w:sz w:val="21"/>
              </w:rPr>
              <w:t>（系列文，建议核对具体篇目）："</w:t>
            </w:r>
            <w:r>
              <w:rPr>
                <w:rFonts w:ascii="Times New Roman" w:hAnsi="Times New Roman" w:cs="Times New Roman" w:eastAsia="宋体"/>
                <w:b/>
                <w:sz w:val="21"/>
              </w:rPr>
              <w:t>Google's CAPEX spending is the cleanest of the hyperCAPEX quartet. It's the only one that doesn't use finance leases... But Google is the most opaque about where the spend is going, as they have multiple infrastructure-hungry businesses</w:t>
            </w:r>
            <w:r>
              <w:rPr>
                <w:rFonts w:ascii="Times New Roman" w:hAnsi="Times New Roman" w:cs="Times New Roman" w:eastAsia="宋体"/>
                <w:b w:val="0"/>
                <w:sz w:val="21"/>
              </w:rPr>
              <w:t>"</w:t>
            </w:r>
          </w:p>
        </w:tc>
        <w:tc>
          <w:tcPr>
            <w:tcW w:type="dxa" w:w="2126"/>
          </w:tcPr>
          <w:p>
            <w:pPr>
              <w:spacing w:line="264" w:lineRule="auto" w:after="0"/>
            </w:pPr>
            <w:r/>
            <w:r>
              <w:rPr>
                <w:rFonts w:ascii="Times New Roman" w:hAnsi="Times New Roman" w:cs="Times New Roman" w:eastAsia="宋体"/>
                <w:b w:val="0"/>
                <w:sz w:val="21"/>
              </w:rPr>
              <w:t>已核实（分析师原文）</w:t>
            </w:r>
          </w:p>
        </w:tc>
      </w:tr>
      <w:tr>
        <w:tc>
          <w:tcPr>
            <w:tcW w:type="dxa" w:w="2126"/>
          </w:tcPr>
          <w:p>
            <w:pPr>
              <w:spacing w:line="264" w:lineRule="auto" w:after="0"/>
            </w:pPr>
            <w:r/>
            <w:r>
              <w:rPr>
                <w:rFonts w:ascii="Times New Roman" w:hAnsi="Times New Roman" w:cs="Times New Roman" w:eastAsia="宋体"/>
                <w:b/>
                <w:sz w:val="21"/>
              </w:rPr>
              <w:t>Meta</w:t>
            </w:r>
          </w:p>
        </w:tc>
        <w:tc>
          <w:tcPr>
            <w:tcW w:type="dxa" w:w="2126"/>
          </w:tcPr>
          <w:p>
            <w:pPr>
              <w:spacing w:line="264" w:lineRule="auto" w:after="0"/>
            </w:pPr>
            <w:r/>
            <w:r>
              <w:rPr>
                <w:rFonts w:ascii="Times New Roman" w:hAnsi="Times New Roman" w:cs="Times New Roman" w:eastAsia="宋体"/>
                <w:b w:val="0"/>
                <w:sz w:val="21"/>
              </w:rPr>
              <w:t>2025 年约 $69.7B（含租赁 ~$72.2B）主体为 AI 基础设施；2024 起 capex"overwhelmingly"投数据中心。</w:t>
            </w:r>
            <w:r>
              <w:rPr>
                <w:rFonts w:ascii="Times New Roman" w:hAnsi="Times New Roman" w:cs="Times New Roman" w:eastAsia="宋体"/>
                <w:b/>
                <w:sz w:val="21"/>
              </w:rPr>
              <w:t>另有 $27B Hyperion 表外 SPV</w:t>
            </w:r>
            <w:r>
              <w:rPr>
                <w:rFonts w:ascii="Times New Roman" w:hAnsi="Times New Roman" w:cs="Times New Roman" w:eastAsia="宋体"/>
                <w:b w:val="0"/>
                <w:sz w:val="21"/>
              </w:rPr>
              <w:t>（见 §4.1）。</w:t>
            </w:r>
          </w:p>
        </w:tc>
        <w:tc>
          <w:tcPr>
            <w:tcW w:type="dxa" w:w="2126"/>
          </w:tcPr>
          <w:p>
            <w:pPr>
              <w:spacing w:line="264" w:lineRule="auto" w:after="0"/>
            </w:pPr>
            <w:r/>
            <w:hyperlink r:id="rId42">
              <w:r>
                <w:rPr>
                  <w:rFonts w:ascii="Times New Roman" w:hAnsi="Times New Roman" w:eastAsia="宋体"/>
                  <w:color w:val="0563C1"/>
                  <w:u w:val="single"/>
                  <w:sz w:val="19"/>
                </w:rPr>
                <w:t xml:space="preserve">DataCenterDynamics</w:t>
              </w:r>
            </w:hyperlink>
            <w:r>
              <w:rPr>
                <w:rFonts w:ascii="Times New Roman" w:hAnsi="Times New Roman" w:cs="Times New Roman" w:eastAsia="宋体"/>
                <w:b w:val="0"/>
                <w:sz w:val="21"/>
              </w:rPr>
              <w:t>、</w:t>
            </w:r>
            <w:hyperlink r:id="rId38">
              <w:r>
                <w:rPr>
                  <w:rFonts w:ascii="Times New Roman" w:hAnsi="Times New Roman" w:eastAsia="宋体"/>
                  <w:color w:val="0563C1"/>
                  <w:u w:val="single"/>
                  <w:sz w:val="19"/>
                </w:rPr>
                <w:t xml:space="preserve">Platformonomics 2024 回顾</w:t>
              </w:r>
            </w:hyperlink>
          </w:p>
        </w:tc>
        <w:tc>
          <w:tcPr>
            <w:tcW w:type="dxa" w:w="2126"/>
          </w:tcPr>
          <w:p>
            <w:pPr>
              <w:spacing w:line="264" w:lineRule="auto" w:after="0"/>
            </w:pPr>
            <w:r/>
            <w:r>
              <w:rPr>
                <w:rFonts w:ascii="Times New Roman" w:hAnsi="Times New Roman" w:cs="Times New Roman" w:eastAsia="宋体"/>
                <w:b w:val="0"/>
                <w:sz w:val="21"/>
              </w:rPr>
              <w:t>部分已核实（方向性）</w:t>
            </w:r>
          </w:p>
        </w:tc>
      </w:tr>
      <w:tr>
        <w:tc>
          <w:tcPr>
            <w:tcW w:type="dxa" w:w="2126"/>
          </w:tcPr>
          <w:p>
            <w:pPr>
              <w:spacing w:line="264" w:lineRule="auto" w:after="0"/>
            </w:pPr>
            <w:r/>
            <w:r>
              <w:rPr>
                <w:rFonts w:ascii="Times New Roman" w:hAnsi="Times New Roman" w:cs="Times New Roman" w:eastAsia="宋体"/>
                <w:b/>
                <w:sz w:val="21"/>
              </w:rPr>
              <w:t>特斯拉</w:t>
            </w:r>
          </w:p>
        </w:tc>
        <w:tc>
          <w:tcPr>
            <w:tcW w:type="dxa" w:w="2126"/>
          </w:tcPr>
          <w:p>
            <w:pPr>
              <w:spacing w:line="264" w:lineRule="auto" w:after="0"/>
            </w:pPr>
            <w:r/>
            <w:r>
              <w:rPr>
                <w:rFonts w:ascii="Times New Roman" w:hAnsi="Times New Roman" w:cs="Times New Roman" w:eastAsia="宋体"/>
                <w:b w:val="0"/>
                <w:sz w:val="21"/>
              </w:rPr>
              <w:t xml:space="preserve">唯一把"算力基础设施与数据中心"明确列为 capex 用途的整车厂；2023/24/25 capex = $8.9B/$11.3B/$8.5B，2026 指引 </w:t>
            </w:r>
            <w:r>
              <w:rPr>
                <w:rFonts w:ascii="Times New Roman" w:hAnsi="Times New Roman" w:cs="Times New Roman" w:eastAsia="宋体"/>
                <w:b/>
                <w:sz w:val="21"/>
              </w:rPr>
              <w:t>$25B</w:t>
            </w:r>
            <w:r>
              <w:rPr>
                <w:rFonts w:ascii="Times New Roman" w:hAnsi="Times New Roman" w:cs="Times New Roman" w:eastAsia="宋体"/>
                <w:b w:val="0"/>
                <w:sz w:val="21"/>
              </w:rPr>
              <w:t>（含 AI 训练算力/数据中心、芯片设计、机器人等）。</w:t>
            </w:r>
          </w:p>
        </w:tc>
        <w:tc>
          <w:tcPr>
            <w:tcW w:type="dxa" w:w="2126"/>
          </w:tcPr>
          <w:p>
            <w:pPr>
              <w:spacing w:line="264" w:lineRule="auto" w:after="0"/>
            </w:pPr>
            <w:r/>
            <w:hyperlink r:id="rId20">
              <w:r>
                <w:rPr>
                  <w:rFonts w:ascii="Times New Roman" w:hAnsi="Times New Roman" w:eastAsia="宋体"/>
                  <w:color w:val="0563C1"/>
                  <w:u w:val="single"/>
                  <w:sz w:val="19"/>
                </w:rPr>
                <w:t xml:space="preserve">TechCrunch 2026-04-22</w:t>
              </w:r>
            </w:hyperlink>
            <w:r>
              <w:rPr>
                <w:rFonts w:ascii="Times New Roman" w:hAnsi="Times New Roman" w:cs="Times New Roman" w:eastAsia="宋体"/>
                <w:b w:val="0"/>
                <w:sz w:val="21"/>
              </w:rPr>
              <w:t>："*...its AI initiatives, including investments in compute infrastructure and data centers, and the expansion and ramp of its manufacturing and R&amp;D production lines*"</w:t>
            </w:r>
          </w:p>
        </w:tc>
        <w:tc>
          <w:tcPr>
            <w:tcW w:type="dxa" w:w="2126"/>
          </w:tcPr>
          <w:p>
            <w:pPr>
              <w:spacing w:line="264" w:lineRule="auto" w:after="0"/>
            </w:pPr>
            <w:r/>
            <w:r>
              <w:rPr>
                <w:rFonts w:ascii="Times New Roman" w:hAnsi="Times New Roman" w:cs="Times New Roman" w:eastAsia="宋体"/>
                <w:b w:val="0"/>
                <w:sz w:val="21"/>
              </w:rPr>
              <w:t>已核实（媒体原文）</w:t>
            </w:r>
          </w:p>
        </w:tc>
      </w:tr>
      <w:tr>
        <w:tc>
          <w:tcPr>
            <w:tcW w:type="dxa" w:w="2126"/>
          </w:tcPr>
          <w:p>
            <w:pPr>
              <w:spacing w:line="264" w:lineRule="auto" w:after="0"/>
            </w:pPr>
            <w:r/>
            <w:r>
              <w:rPr>
                <w:rFonts w:ascii="Times New Roman" w:hAnsi="Times New Roman" w:cs="Times New Roman" w:eastAsia="宋体"/>
                <w:b/>
                <w:sz w:val="21"/>
              </w:rPr>
              <w:t>英伟达</w:t>
            </w:r>
          </w:p>
        </w:tc>
        <w:tc>
          <w:tcPr>
            <w:tcW w:type="dxa" w:w="2126"/>
          </w:tcPr>
          <w:p>
            <w:pPr>
              <w:spacing w:line="264" w:lineRule="auto" w:after="0"/>
            </w:pPr>
            <w:r/>
            <w:r>
              <w:rPr>
                <w:rFonts w:ascii="Times New Roman" w:hAnsi="Times New Roman" w:cs="Times New Roman" w:eastAsia="宋体"/>
                <w:b w:val="0"/>
                <w:sz w:val="21"/>
              </w:rPr>
              <w:t>自有数据中心 capex 很小（fabless）；主要为 Eos 等内部集群与 DGX Cloud 配套。</w:t>
            </w:r>
          </w:p>
        </w:tc>
        <w:tc>
          <w:tcPr>
            <w:tcW w:type="dxa" w:w="2126"/>
          </w:tcPr>
          <w:p>
            <w:pPr>
              <w:spacing w:line="264" w:lineRule="auto" w:after="0"/>
            </w:pPr>
            <w:r/>
            <w:r>
              <w:rPr>
                <w:rFonts w:ascii="Times New Roman" w:hAnsi="Times New Roman" w:cs="Times New Roman" w:eastAsia="宋体"/>
                <w:b w:val="0"/>
                <w:sz w:val="21"/>
              </w:rPr>
              <w:t>（见 §5.5）</w:t>
            </w:r>
          </w:p>
        </w:tc>
        <w:tc>
          <w:tcPr>
            <w:tcW w:type="dxa" w:w="2126"/>
          </w:tcPr>
          <w:p>
            <w:pPr>
              <w:spacing w:line="264" w:lineRule="auto" w:after="0"/>
            </w:pPr>
            <w:r/>
            <w:r>
              <w:rPr>
                <w:rFonts w:ascii="Times New Roman" w:hAnsi="Times New Roman" w:cs="Times New Roman" w:eastAsia="宋体"/>
                <w:b w:val="0"/>
                <w:sz w:val="21"/>
              </w:rPr>
              <w:t>待核实</w:t>
            </w:r>
          </w:p>
        </w:tc>
      </w:tr>
      <w:tr>
        <w:tc>
          <w:tcPr>
            <w:tcW w:type="dxa" w:w="2126"/>
          </w:tcPr>
          <w:p>
            <w:pPr>
              <w:spacing w:line="264" w:lineRule="auto" w:after="0"/>
            </w:pPr>
            <w:r/>
            <w:r>
              <w:rPr>
                <w:rFonts w:ascii="Times New Roman" w:hAnsi="Times New Roman" w:cs="Times New Roman" w:eastAsia="宋体"/>
                <w:b/>
                <w:sz w:val="21"/>
              </w:rPr>
              <w:t>苹果</w:t>
            </w:r>
          </w:p>
        </w:tc>
        <w:tc>
          <w:tcPr>
            <w:tcW w:type="dxa" w:w="2126"/>
          </w:tcPr>
          <w:p>
            <w:pPr>
              <w:spacing w:line="264" w:lineRule="auto" w:after="0"/>
            </w:pPr>
            <w:r/>
            <w:r>
              <w:rPr>
                <w:rFonts w:ascii="Times New Roman" w:hAnsi="Times New Roman" w:cs="Times New Roman" w:eastAsia="宋体"/>
                <w:b w:val="0"/>
                <w:sz w:val="21"/>
              </w:rPr>
              <w:t>不单独披露；自有投入温和，部分 AI 训练依赖第三方云（谷歌 TPU/AWS）。估算每年仅数十亿美元级。</w:t>
            </w:r>
          </w:p>
        </w:tc>
        <w:tc>
          <w:tcPr>
            <w:tcW w:type="dxa" w:w="2126"/>
          </w:tcPr>
          <w:p>
            <w:pPr>
              <w:spacing w:line="264" w:lineRule="auto" w:after="0"/>
            </w:pPr>
            <w:r/>
            <w:r>
              <w:rPr>
                <w:rFonts w:ascii="Times New Roman" w:hAnsi="Times New Roman" w:cs="Times New Roman" w:eastAsia="宋体"/>
                <w:b w:val="0"/>
                <w:sz w:val="21"/>
              </w:rPr>
              <w:t>（见 §5.7）</w:t>
            </w:r>
          </w:p>
        </w:tc>
        <w:tc>
          <w:tcPr>
            <w:tcW w:type="dxa" w:w="2126"/>
          </w:tcPr>
          <w:p>
            <w:pPr>
              <w:spacing w:line="264" w:lineRule="auto" w:after="0"/>
            </w:pPr>
            <w:r/>
            <w:r>
              <w:rPr>
                <w:rFonts w:ascii="Times New Roman" w:hAnsi="Times New Roman" w:cs="Times New Roman" w:eastAsia="宋体"/>
                <w:b w:val="0"/>
                <w:sz w:val="21"/>
              </w:rPr>
              <w:t>待核实（估算）</w:t>
            </w:r>
          </w:p>
        </w:tc>
      </w:tr>
    </w:tbl>
    <w:p>
      <w:pPr>
        <w:spacing w:after="40"/>
      </w:pPr>
    </w:p>
    <w:p>
      <w:pPr>
        <w:spacing w:line="360" w:lineRule="auto" w:after="40"/>
        <w:ind w:left="420"/>
      </w:pPr>
      <w:r>
        <w:rPr>
          <w:rFonts w:ascii="Times New Roman" w:hAnsi="Times New Roman" w:cs="Times New Roman" w:eastAsia="宋体"/>
          <w:b w:val="0"/>
          <w:sz w:val="24"/>
        </w:rPr>
        <w:t xml:space="preserve">⚠️ </w:t>
      </w:r>
      <w:r>
        <w:rPr>
          <w:rFonts w:ascii="Times New Roman" w:hAnsi="Times New Roman" w:cs="Times New Roman" w:eastAsia="宋体"/>
          <w:b/>
          <w:sz w:val="24"/>
        </w:rPr>
        <w:t>更正记录（诚信）</w:t>
      </w:r>
      <w:r>
        <w:rPr>
          <w:rFonts w:ascii="Times New Roman" w:hAnsi="Times New Roman" w:cs="Times New Roman" w:eastAsia="宋体"/>
          <w:b w:val="0"/>
          <w:sz w:val="24"/>
        </w:rPr>
        <w:t>：本报告早先版本曾给特斯拉标注"2024 年 AI 相关 capex 约 $5B（出自 TechCrunch）"。经使用者提供该 TechCrunch 原文全文核对，</w:t>
      </w:r>
      <w:r>
        <w:rPr>
          <w:rFonts w:ascii="Times New Roman" w:hAnsi="Times New Roman" w:cs="Times New Roman" w:eastAsia="宋体"/>
          <w:b/>
          <w:sz w:val="24"/>
        </w:rPr>
        <w:t>该文并无此句</w:t>
      </w:r>
      <w:r>
        <w:rPr>
          <w:rFonts w:ascii="Times New Roman" w:hAnsi="Times New Roman" w:cs="Times New Roman" w:eastAsia="宋体"/>
          <w:b w:val="0"/>
          <w:sz w:val="24"/>
        </w:rPr>
        <w:t xml:space="preserve">——此前系 WebSearch 摘录可能张冠李戴。故 </w:t>
      </w:r>
      <w:r>
        <w:rPr>
          <w:rFonts w:ascii="Times New Roman" w:hAnsi="Times New Roman" w:cs="Times New Roman" w:eastAsia="宋体"/>
          <w:b/>
          <w:sz w:val="24"/>
        </w:rPr>
        <w:t>"$5B AI capex"一说现降级为【来源待核实——尚无可靠逐字出处】</w:t>
      </w:r>
      <w:r>
        <w:rPr>
          <w:rFonts w:ascii="Times New Roman" w:hAnsi="Times New Roman" w:cs="Times New Roman" w:eastAsia="宋体"/>
          <w:b w:val="0"/>
          <w:sz w:val="24"/>
        </w:rPr>
        <w:t>，不再作为已核实数据；特斯拉确将 AI 算力/数据中心列为 capex 用途（上方引文为准），但未公开 2024 年 AI 专项金额。</w:t>
      </w:r>
    </w:p>
    <w:p>
      <w:pPr>
        <w:pBdr>
          <w:bottom w:val="single" w:sz="6" w:space="1" w:color="AAAAAA"/>
        </w:pBdr>
        <w:spacing w:after="80"/>
      </w:pPr>
    </w:p>
    <w:p>
      <w:pPr>
        <w:spacing w:before="240" w:after="120" w:line="360" w:lineRule="auto"/>
      </w:pPr>
      <w:r>
        <w:rPr>
          <w:rFonts w:ascii="Times New Roman" w:hAnsi="Times New Roman" w:cs="Times New Roman" w:eastAsia="黑体"/>
          <w:b/>
          <w:sz w:val="32"/>
        </w:rPr>
        <w:t>四、融资额：债 / 股细分（2020–2025）</w:t>
      </w:r>
    </w:p>
    <w:p>
      <w:pPr>
        <w:spacing w:line="360" w:lineRule="auto" w:after="40"/>
        <w:ind w:left="420"/>
      </w:pPr>
      <w:r>
        <w:rPr>
          <w:rFonts w:ascii="Times New Roman" w:hAnsi="Times New Roman" w:cs="Times New Roman" w:eastAsia="宋体"/>
          <w:b w:val="0"/>
          <w:sz w:val="24"/>
        </w:rPr>
        <w:t>本节按"何种债、何种股"拆分。七巨头总体分两类：①</w:t>
      </w:r>
      <w:r>
        <w:rPr>
          <w:rFonts w:ascii="Times New Roman" w:hAnsi="Times New Roman" w:cs="Times New Roman" w:eastAsia="宋体"/>
          <w:b/>
          <w:sz w:val="24"/>
        </w:rPr>
        <w:t>自筹型</w:t>
      </w:r>
      <w:r>
        <w:rPr>
          <w:rFonts w:ascii="Times New Roman" w:hAnsi="Times New Roman" w:cs="Times New Roman" w:eastAsia="宋体"/>
          <w:b w:val="0"/>
          <w:sz w:val="24"/>
        </w:rPr>
        <w:t>（微软/英伟达/Alphabet多年靠经营现金流，近期才发债）；②</w:t>
      </w:r>
      <w:r>
        <w:rPr>
          <w:rFonts w:ascii="Times New Roman" w:hAnsi="Times New Roman" w:cs="Times New Roman" w:eastAsia="宋体"/>
          <w:b/>
          <w:sz w:val="24"/>
        </w:rPr>
        <w:t>外部融资活跃型</w:t>
      </w:r>
      <w:r>
        <w:rPr>
          <w:rFonts w:ascii="Times New Roman" w:hAnsi="Times New Roman" w:cs="Times New Roman" w:eastAsia="宋体"/>
          <w:b w:val="0"/>
          <w:sz w:val="24"/>
        </w:rPr>
        <w:t>（Meta、亚马逊2025集中发债；特斯拉历史靠增发股票）。</w:t>
      </w:r>
    </w:p>
    <w:p>
      <w:pPr>
        <w:spacing w:line="360" w:lineRule="auto" w:after="40"/>
        <w:ind w:left="420"/>
      </w:pPr>
      <w:r>
        <w:rPr>
          <w:rFonts w:ascii="Times New Roman" w:hAnsi="Times New Roman" w:cs="Times New Roman" w:eastAsia="宋体"/>
          <w:b w:val="0"/>
          <w:sz w:val="24"/>
        </w:rPr>
        <w:t xml:space="preserve">⚠️ </w:t>
      </w:r>
      <w:r>
        <w:rPr>
          <w:rFonts w:ascii="Times New Roman" w:hAnsi="Times New Roman" w:cs="Times New Roman" w:eastAsia="宋体"/>
          <w:b/>
          <w:sz w:val="24"/>
        </w:rPr>
        <w:t>方向区分（重要，勿混同）</w:t>
      </w:r>
      <w:r>
        <w:rPr>
          <w:rFonts w:ascii="Times New Roman" w:hAnsi="Times New Roman" w:cs="Times New Roman" w:eastAsia="宋体"/>
          <w:b w:val="0"/>
          <w:sz w:val="24"/>
        </w:rPr>
        <w:t>：本节含两类</w:t>
      </w:r>
      <w:r>
        <w:rPr>
          <w:rFonts w:ascii="Times New Roman" w:hAnsi="Times New Roman" w:cs="Times New Roman" w:eastAsia="宋体"/>
          <w:b/>
          <w:sz w:val="24"/>
        </w:rPr>
        <w:t>方向相反</w:t>
      </w:r>
      <w:r>
        <w:rPr>
          <w:rFonts w:ascii="Times New Roman" w:hAnsi="Times New Roman" w:cs="Times New Roman" w:eastAsia="宋体"/>
          <w:b w:val="0"/>
          <w:sz w:val="24"/>
        </w:rPr>
        <w:t>的资本活动——</w:t>
      </w:r>
      <w:r>
        <w:rPr>
          <w:rFonts w:ascii="Times New Roman" w:hAnsi="Times New Roman" w:cs="Times New Roman" w:eastAsia="宋体"/>
          <w:b/>
          <w:sz w:val="24"/>
        </w:rPr>
        <w:t>外部融资 = 钱流入</w:t>
      </w:r>
      <w:r>
        <w:rPr>
          <w:rFonts w:ascii="Times New Roman" w:hAnsi="Times New Roman" w:cs="Times New Roman" w:eastAsia="宋体"/>
          <w:b w:val="0"/>
          <w:sz w:val="24"/>
        </w:rPr>
        <w:t>（发债 issuance + 股权增发）；</w:t>
      </w:r>
      <w:r>
        <w:rPr>
          <w:rFonts w:ascii="Times New Roman" w:hAnsi="Times New Roman" w:cs="Times New Roman" w:eastAsia="宋体"/>
          <w:b/>
          <w:sz w:val="24"/>
        </w:rPr>
        <w:t>资本返还 = 钱流出</w:t>
      </w:r>
      <w:r>
        <w:rPr>
          <w:rFonts w:ascii="Times New Roman" w:hAnsi="Times New Roman" w:cs="Times New Roman" w:eastAsia="宋体"/>
          <w:b w:val="0"/>
          <w:sz w:val="24"/>
        </w:rPr>
        <w:t>（股票回购 buyback + 分红 dividends）。</w:t>
      </w:r>
      <w:r>
        <w:rPr>
          <w:rFonts w:ascii="Times New Roman" w:hAnsi="Times New Roman" w:cs="Times New Roman" w:eastAsia="宋体"/>
          <w:b/>
          <w:sz w:val="24"/>
        </w:rPr>
        <w:t>§4.1–4.7 各家的"债"为融资流入；各家"股"项与 §4.8 回购汇总表属资本返还（流出）——切勿把回购金额当作"融了多少钱"。</w:t>
      </w:r>
    </w:p>
    <w:p>
      <w:pPr>
        <w:spacing w:line="360" w:lineRule="auto" w:after="40"/>
        <w:ind w:left="420"/>
      </w:pPr>
      <w:r>
        <w:rPr>
          <w:rFonts w:ascii="Times New Roman" w:hAnsi="Times New Roman" w:cs="Times New Roman" w:eastAsia="宋体"/>
          <w:b/>
          <w:sz w:val="24"/>
        </w:rPr>
        <w:t>核实说明（请勿误读为全节已核实）</w:t>
      </w:r>
      <w:r>
        <w:rPr>
          <w:rFonts w:ascii="Times New Roman" w:hAnsi="Times New Roman" w:cs="Times New Roman" w:eastAsia="宋体"/>
          <w:b w:val="0"/>
          <w:sz w:val="24"/>
        </w:rPr>
        <w:t>：本节为"</w:t>
      </w:r>
      <w:r>
        <w:rPr>
          <w:rFonts w:ascii="Times New Roman" w:hAnsi="Times New Roman" w:cs="Times New Roman" w:eastAsia="宋体"/>
          <w:b/>
          <w:sz w:val="24"/>
        </w:rPr>
        <w:t>核心事件已核实 + 部分细节待核实</w:t>
      </w:r>
      <w:r>
        <w:rPr>
          <w:rFonts w:ascii="Times New Roman" w:hAnsi="Times New Roman" w:cs="Times New Roman" w:eastAsia="宋体"/>
          <w:b w:val="0"/>
          <w:sz w:val="24"/>
        </w:rPr>
        <w:t>"。每条后已标注状态并就地附</w:t>
      </w:r>
      <w:r>
        <w:rPr>
          <w:rFonts w:ascii="Times New Roman" w:hAnsi="Times New Roman" w:cs="Times New Roman" w:eastAsia="宋体"/>
          <w:b/>
          <w:sz w:val="24"/>
        </w:rPr>
        <w:t>行内来源链接</w:t>
      </w:r>
      <w:r>
        <w:rPr>
          <w:rFonts w:ascii="Times New Roman" w:hAnsi="Times New Roman" w:cs="Times New Roman" w:eastAsia="宋体"/>
          <w:b w:val="0"/>
          <w:sz w:val="24"/>
        </w:rPr>
        <w:t>。带【来源待核实】者为本助手</w:t>
      </w:r>
      <w:r>
        <w:rPr>
          <w:rFonts w:ascii="Times New Roman" w:hAnsi="Times New Roman" w:cs="Times New Roman" w:eastAsia="宋体"/>
          <w:b/>
          <w:sz w:val="24"/>
        </w:rPr>
        <w:t>需要你协助核对</w:t>
      </w:r>
      <w:r>
        <w:rPr>
          <w:rFonts w:ascii="Times New Roman" w:hAnsi="Times New Roman" w:cs="Times New Roman" w:eastAsia="宋体"/>
          <w:b w:val="0"/>
          <w:sz w:val="24"/>
        </w:rPr>
        <w:t>的项——具体清单与所需操作见各条；逐字英文/精确金额需打开链接（多为 SEC 8-K / 424B 募集书）确认。</w:t>
      </w:r>
    </w:p>
    <w:p>
      <w:pPr>
        <w:spacing w:line="360" w:lineRule="auto" w:after="40"/>
        <w:ind w:left="420"/>
      </w:pPr>
      <w:r>
        <w:rPr>
          <w:rFonts w:ascii="Times New Roman" w:hAnsi="Times New Roman" w:cs="Times New Roman" w:eastAsia="宋体"/>
          <w:b/>
          <w:sz w:val="24"/>
        </w:rPr>
        <w:t>📍 各项对应的财报行项（"为什么查这些标题"）</w:t>
      </w:r>
      <w:r>
        <w:rPr>
          <w:rFonts w:ascii="Times New Roman" w:hAnsi="Times New Roman" w:cs="Times New Roman" w:eastAsia="宋体"/>
          <w:b w:val="0"/>
          <w:sz w:val="24"/>
        </w:rPr>
        <w:t>——债/股拆分一律按下列 GAAP 口径取数，故核实时认准这些行名：</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当年新增了多少债</w:t>
      </w:r>
      <w:r>
        <w:rPr>
          <w:rFonts w:ascii="Times New Roman" w:hAnsi="Times New Roman" w:cs="Times New Roman" w:eastAsia="宋体"/>
          <w:b w:val="0"/>
          <w:sz w:val="24"/>
        </w:rPr>
        <w:t xml:space="preserve">（流量）→ 现金流量表·融资活动 </w:t>
      </w:r>
      <w:r>
        <w:rPr>
          <w:rFonts w:ascii="Times New Roman" w:hAnsi="Times New Roman" w:cs="Times New Roman" w:eastAsia="宋体"/>
          <w:b/>
          <w:sz w:val="24"/>
        </w:rPr>
        <w:t>"Proceeds from issuance of (term/long-term) debt"</w:t>
      </w:r>
      <w:r>
        <w:rPr>
          <w:rFonts w:ascii="Times New Roman" w:hAnsi="Times New Roman" w:cs="Times New Roman" w:eastAsia="宋体"/>
          <w:b w:val="0"/>
          <w:sz w:val="24"/>
        </w:rPr>
        <w:t>：发债当年实际拿到的现金，即"当年新借了多少"。</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账上还欠多少债</w:t>
      </w:r>
      <w:r>
        <w:rPr>
          <w:rFonts w:ascii="Times New Roman" w:hAnsi="Times New Roman" w:cs="Times New Roman" w:eastAsia="宋体"/>
          <w:b w:val="0"/>
          <w:sz w:val="24"/>
        </w:rPr>
        <w:t xml:space="preserve">（存量）→ 资产负债表 </w:t>
      </w:r>
      <w:r>
        <w:rPr>
          <w:rFonts w:ascii="Times New Roman" w:hAnsi="Times New Roman" w:cs="Times New Roman" w:eastAsia="宋体"/>
          <w:b/>
          <w:sz w:val="24"/>
        </w:rPr>
        <w:t>"Long-term debt"</w:t>
      </w:r>
      <w:r>
        <w:rPr>
          <w:rFonts w:ascii="Times New Roman" w:hAnsi="Times New Roman" w:cs="Times New Roman" w:eastAsia="宋体"/>
          <w:b w:val="0"/>
          <w:sz w:val="24"/>
        </w:rPr>
        <w:t>（另加流动负债里的 *current portion of long-term debt* 为当年到期部分）：反映"累计还欠多少"，而非当年新增。</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当年增发了多少股</w:t>
      </w:r>
      <w:r>
        <w:rPr>
          <w:rFonts w:ascii="Times New Roman" w:hAnsi="Times New Roman" w:cs="Times New Roman" w:eastAsia="宋体"/>
          <w:b w:val="0"/>
          <w:sz w:val="24"/>
        </w:rPr>
        <w:t xml:space="preserve">（流量）→ 现金流量表·融资活动 </w:t>
      </w:r>
      <w:r>
        <w:rPr>
          <w:rFonts w:ascii="Times New Roman" w:hAnsi="Times New Roman" w:cs="Times New Roman" w:eastAsia="宋体"/>
          <w:b/>
          <w:sz w:val="24"/>
        </w:rPr>
        <w:t>"Proceeds from issuance of common stock"</w:t>
      </w:r>
      <w:r>
        <w:rPr>
          <w:rFonts w:ascii="Times New Roman" w:hAnsi="Times New Roman" w:cs="Times New Roman" w:eastAsia="宋体"/>
          <w:b w:val="0"/>
          <w:sz w:val="24"/>
        </w:rPr>
        <w:t>：卖股票拿到的现金（特斯拉 2020 三次 ATM 即在此行汇总）。</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回购</w:t>
      </w:r>
      <w:r>
        <w:rPr>
          <w:rFonts w:ascii="Times New Roman" w:hAnsi="Times New Roman" w:cs="Times New Roman" w:eastAsia="宋体"/>
          <w:b w:val="0"/>
          <w:sz w:val="24"/>
        </w:rPr>
        <w:t xml:space="preserve"> → 现金流量表 </w:t>
      </w:r>
      <w:r>
        <w:rPr>
          <w:rFonts w:ascii="Times New Roman" w:hAnsi="Times New Roman" w:cs="Times New Roman" w:eastAsia="宋体"/>
          <w:b/>
          <w:sz w:val="24"/>
        </w:rPr>
        <w:t>"Repurchases of common stock"</w:t>
      </w:r>
      <w:r>
        <w:rPr>
          <w:rFonts w:ascii="Times New Roman" w:hAnsi="Times New Roman" w:cs="Times New Roman" w:eastAsia="宋体"/>
          <w:b w:val="0"/>
          <w:sz w:val="24"/>
        </w:rPr>
        <w:t>；</w:t>
      </w:r>
      <w:r>
        <w:rPr>
          <w:rFonts w:ascii="Times New Roman" w:hAnsi="Times New Roman" w:cs="Times New Roman" w:eastAsia="宋体"/>
          <w:b/>
          <w:sz w:val="24"/>
        </w:rPr>
        <w:t>分红</w:t>
      </w:r>
      <w:r>
        <w:rPr>
          <w:rFonts w:ascii="Times New Roman" w:hAnsi="Times New Roman" w:cs="Times New Roman" w:eastAsia="宋体"/>
          <w:b w:val="0"/>
          <w:sz w:val="24"/>
        </w:rPr>
        <w:t xml:space="preserve"> → </w:t>
      </w:r>
      <w:r>
        <w:rPr>
          <w:rFonts w:ascii="Times New Roman" w:hAnsi="Times New Roman" w:cs="Times New Roman" w:eastAsia="宋体"/>
          <w:b/>
          <w:sz w:val="24"/>
        </w:rPr>
        <w:t>"Dividends/Dividends paid"</w:t>
      </w:r>
      <w:r>
        <w:rPr>
          <w:rFonts w:ascii="Times New Roman" w:hAnsi="Times New Roman" w:cs="Times New Roman" w:eastAsia="宋体"/>
          <w:b w:val="0"/>
          <w:sz w:val="24"/>
        </w:rPr>
        <w:t>。</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单笔债券的档位/利率/期限/币种</w:t>
      </w:r>
      <w:r>
        <w:rPr>
          <w:rFonts w:ascii="Times New Roman" w:hAnsi="Times New Roman" w:cs="Times New Roman" w:eastAsia="宋体"/>
          <w:b w:val="0"/>
          <w:sz w:val="24"/>
        </w:rPr>
        <w:t xml:space="preserve"> → 该次发行的 </w:t>
      </w:r>
      <w:r>
        <w:rPr>
          <w:rFonts w:ascii="Times New Roman" w:hAnsi="Times New Roman" w:cs="Times New Roman" w:eastAsia="宋体"/>
          <w:b/>
          <w:sz w:val="24"/>
        </w:rPr>
        <w:t>SEC 424B 募集书</w:t>
      </w:r>
      <w:r>
        <w:rPr>
          <w:rFonts w:ascii="Times New Roman" w:hAnsi="Times New Roman" w:cs="Times New Roman" w:eastAsia="宋体"/>
          <w:b w:val="0"/>
          <w:sz w:val="24"/>
        </w:rPr>
        <w:t>（10-K 现金流只给当年汇总额，不拆单笔）。</w:t>
      </w:r>
    </w:p>
    <w:p>
      <w:pPr>
        <w:spacing w:before="160" w:after="120" w:line="360" w:lineRule="auto"/>
      </w:pPr>
      <w:r>
        <w:rPr>
          <w:rFonts w:ascii="Times New Roman" w:hAnsi="Times New Roman" w:cs="Times New Roman" w:eastAsia="黑体"/>
          <w:b/>
          <w:sz w:val="28"/>
        </w:rPr>
        <w:t>4.1 Meta —— 2025年AI债券融资的标志性玩家</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$300亿美元高级无担保债券（2025/10/30）</w:t>
      </w:r>
      <w:r>
        <w:rPr>
          <w:rFonts w:ascii="Times New Roman" w:hAnsi="Times New Roman" w:cs="Times New Roman" w:eastAsia="宋体"/>
          <w:b w:val="0"/>
          <w:sz w:val="24"/>
        </w:rPr>
        <w:t>：六档（5/7/10/20/30/40年期），为</w:t>
      </w:r>
      <w:r>
        <w:rPr>
          <w:rFonts w:ascii="Times New Roman" w:hAnsi="Times New Roman" w:cs="Times New Roman" w:eastAsia="宋体"/>
          <w:b/>
          <w:sz w:val="24"/>
        </w:rPr>
        <w:t>当年全球最大投资级债券发行</w:t>
      </w:r>
      <w:r>
        <w:rPr>
          <w:rFonts w:ascii="Times New Roman" w:hAnsi="Times New Roman" w:cs="Times New Roman" w:eastAsia="宋体"/>
          <w:b w:val="0"/>
          <w:sz w:val="24"/>
        </w:rPr>
        <w:t>，认购峰值订单达$1250亿。</w:t>
      </w:r>
      <w:r>
        <w:rPr>
          <w:rFonts w:ascii="Times New Roman" w:hAnsi="Times New Roman" w:cs="Times New Roman" w:eastAsia="宋体"/>
          <w:b/>
          <w:sz w:val="24"/>
        </w:rPr>
        <w:t>【已核实】</w:t>
      </w:r>
      <w:r>
        <w:rPr>
          <w:rFonts w:ascii="Times New Roman" w:hAnsi="Times New Roman" w:cs="Times New Roman" w:eastAsia="宋体"/>
          <w:b w:val="0"/>
          <w:sz w:val="24"/>
        </w:rPr>
        <w:t xml:space="preserve"> 来源：</w:t>
      </w:r>
      <w:hyperlink r:id="rId43">
        <w:r>
          <w:rPr>
            <w:rFonts w:ascii="Times New Roman" w:hAnsi="Times New Roman" w:eastAsia="宋体"/>
            <w:color w:val="0563C1"/>
            <w:u w:val="single"/>
            <w:sz w:val="24"/>
          </w:rPr>
          <w:t xml:space="preserve">Bloomberg</w:t>
        </w:r>
      </w:hyperlink>
      <w:r>
        <w:rPr>
          <w:rFonts w:ascii="Times New Roman" w:hAnsi="Times New Roman" w:cs="Times New Roman" w:eastAsia="宋体"/>
          <w:b w:val="0"/>
          <w:sz w:val="24"/>
        </w:rPr>
        <w:t>、</w:t>
      </w:r>
      <w:hyperlink r:id="rId44">
        <w:r>
          <w:rPr>
            <w:rFonts w:ascii="Times New Roman" w:hAnsi="Times New Roman" w:eastAsia="宋体"/>
            <w:color w:val="0563C1"/>
            <w:u w:val="single"/>
            <w:sz w:val="24"/>
          </w:rPr>
          <w:t xml:space="preserve">Investing.com（完成发行/含SEC文件）</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$105亿美元高级无担保债券（2024/8/9 完成，5 档）</w:t>
      </w:r>
      <w:r>
        <w:rPr>
          <w:rFonts w:ascii="Times New Roman" w:hAnsi="Times New Roman" w:cs="Times New Roman" w:eastAsia="宋体"/>
          <w:b w:val="0"/>
          <w:sz w:val="24"/>
        </w:rPr>
        <w:t xml:space="preserve">：$10亿 </w:t>
      </w:r>
      <w:r>
        <w:rPr>
          <w:rFonts w:ascii="Times New Roman" w:hAnsi="Times New Roman" w:cs="Times New Roman" w:eastAsia="宋体"/>
          <w:b/>
          <w:sz w:val="24"/>
        </w:rPr>
        <w:t>4.300%/2029</w:t>
      </w:r>
      <w:r>
        <w:rPr>
          <w:rFonts w:ascii="Times New Roman" w:hAnsi="Times New Roman" w:cs="Times New Roman" w:eastAsia="宋体"/>
          <w:b w:val="0"/>
          <w:sz w:val="24"/>
        </w:rPr>
        <w:t xml:space="preserve">、$10亿 </w:t>
      </w:r>
      <w:r>
        <w:rPr>
          <w:rFonts w:ascii="Times New Roman" w:hAnsi="Times New Roman" w:cs="Times New Roman" w:eastAsia="宋体"/>
          <w:b/>
          <w:sz w:val="24"/>
        </w:rPr>
        <w:t>4.550%/2031</w:t>
      </w:r>
      <w:r>
        <w:rPr>
          <w:rFonts w:ascii="Times New Roman" w:hAnsi="Times New Roman" w:cs="Times New Roman" w:eastAsia="宋体"/>
          <w:b w:val="0"/>
          <w:sz w:val="24"/>
        </w:rPr>
        <w:t xml:space="preserve">、$25亿 </w:t>
      </w:r>
      <w:r>
        <w:rPr>
          <w:rFonts w:ascii="Times New Roman" w:hAnsi="Times New Roman" w:cs="Times New Roman" w:eastAsia="宋体"/>
          <w:b/>
          <w:sz w:val="24"/>
        </w:rPr>
        <w:t>4.750%/2034</w:t>
      </w:r>
      <w:r>
        <w:rPr>
          <w:rFonts w:ascii="Times New Roman" w:hAnsi="Times New Roman" w:cs="Times New Roman" w:eastAsia="宋体"/>
          <w:b w:val="0"/>
          <w:sz w:val="24"/>
        </w:rPr>
        <w:t xml:space="preserve">、$32.5亿 </w:t>
      </w:r>
      <w:r>
        <w:rPr>
          <w:rFonts w:ascii="Times New Roman" w:hAnsi="Times New Roman" w:cs="Times New Roman" w:eastAsia="宋体"/>
          <w:b/>
          <w:sz w:val="24"/>
        </w:rPr>
        <w:t>5.400%/2054</w:t>
      </w:r>
      <w:r>
        <w:rPr>
          <w:rFonts w:ascii="Times New Roman" w:hAnsi="Times New Roman" w:cs="Times New Roman" w:eastAsia="宋体"/>
          <w:b w:val="0"/>
          <w:sz w:val="24"/>
        </w:rPr>
        <w:t xml:space="preserve">、$27.5亿 </w:t>
      </w:r>
      <w:r>
        <w:rPr>
          <w:rFonts w:ascii="Times New Roman" w:hAnsi="Times New Roman" w:cs="Times New Roman" w:eastAsia="宋体"/>
          <w:b/>
          <w:sz w:val="24"/>
        </w:rPr>
        <w:t>5.550%/2064</w:t>
      </w:r>
      <w:r>
        <w:rPr>
          <w:rFonts w:ascii="Times New Roman" w:hAnsi="Times New Roman" w:cs="Times New Roman" w:eastAsia="宋体"/>
          <w:b w:val="0"/>
          <w:sz w:val="24"/>
        </w:rPr>
        <w:t xml:space="preserve">，合计 </w:t>
      </w:r>
      <w:r>
        <w:rPr>
          <w:rFonts w:ascii="Times New Roman" w:hAnsi="Times New Roman" w:cs="Times New Roman" w:eastAsia="宋体"/>
          <w:b/>
          <w:sz w:val="24"/>
        </w:rPr>
        <w:t>$105亿</w:t>
      </w:r>
      <w:r>
        <w:rPr>
          <w:rFonts w:ascii="Times New Roman" w:hAnsi="Times New Roman" w:cs="Times New Roman" w:eastAsia="宋体"/>
          <w:b w:val="0"/>
          <w:sz w:val="24"/>
        </w:rPr>
        <w:t>；用途为一般公司用途；承销代表 BofA、摩根大通、摩根士丹利。</w:t>
      </w:r>
      <w:r>
        <w:rPr>
          <w:rFonts w:ascii="Times New Roman" w:hAnsi="Times New Roman" w:cs="Times New Roman" w:eastAsia="宋体"/>
          <w:b/>
          <w:sz w:val="24"/>
        </w:rPr>
        <w:t>【已核实——一手 SEC 8-K（2024/8/9）+ 424B2 募集书】</w:t>
      </w:r>
      <w:r>
        <w:rPr>
          <w:rFonts w:ascii="Times New Roman" w:hAnsi="Times New Roman" w:cs="Times New Roman" w:eastAsia="宋体"/>
          <w:b w:val="0"/>
          <w:sz w:val="24"/>
        </w:rPr>
        <w:t>（注：Meta 早于 2022/8 已发行首笔 $100亿高级票据。）</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存量债务</w:t>
      </w:r>
      <w:r>
        <w:rPr>
          <w:rFonts w:ascii="Times New Roman" w:hAnsi="Times New Roman" w:cs="Times New Roman" w:eastAsia="宋体"/>
          <w:b w:val="0"/>
          <w:sz w:val="24"/>
        </w:rPr>
        <w:t xml:space="preserve">：Meta 长期债务（10-K 资产负债表账面净额）2023 ≈ </w:t>
      </w:r>
      <w:r>
        <w:rPr>
          <w:rFonts w:ascii="Times New Roman" w:hAnsi="Times New Roman" w:cs="Times New Roman" w:eastAsia="宋体"/>
          <w:b/>
          <w:sz w:val="24"/>
        </w:rPr>
        <w:t>$17,226M</w:t>
      </w:r>
      <w:r>
        <w:rPr>
          <w:rFonts w:ascii="Times New Roman" w:hAnsi="Times New Roman" w:cs="Times New Roman" w:eastAsia="宋体"/>
          <w:b w:val="0"/>
          <w:sz w:val="24"/>
        </w:rPr>
        <w:t xml:space="preserve">、2024 ≈ </w:t>
      </w:r>
      <w:r>
        <w:rPr>
          <w:rFonts w:ascii="Times New Roman" w:hAnsi="Times New Roman" w:cs="Times New Roman" w:eastAsia="宋体"/>
          <w:b/>
          <w:sz w:val="24"/>
        </w:rPr>
        <w:t>$28,826M</w:t>
      </w:r>
      <w:r>
        <w:rPr>
          <w:rFonts w:ascii="Times New Roman" w:hAnsi="Times New Roman" w:cs="Times New Roman" w:eastAsia="宋体"/>
          <w:b w:val="0"/>
          <w:sz w:val="24"/>
        </w:rPr>
        <w:t>。</w:t>
      </w:r>
      <w:r>
        <w:rPr>
          <w:rFonts w:ascii="Times New Roman" w:hAnsi="Times New Roman" w:cs="Times New Roman" w:eastAsia="宋体"/>
          <w:b/>
          <w:sz w:val="24"/>
        </w:rPr>
        <w:t>【已核实——一手10-K】</w:t>
      </w:r>
      <w:r>
        <w:rPr>
          <w:rFonts w:ascii="Times New Roman" w:hAnsi="Times New Roman" w:cs="Times New Roman" w:eastAsia="宋体"/>
          <w:b w:val="0"/>
          <w:sz w:val="24"/>
        </w:rPr>
        <w:t xml:space="preserve"> 注：两笔高级票据</w:t>
      </w:r>
      <w:r>
        <w:rPr>
          <w:rFonts w:ascii="Times New Roman" w:hAnsi="Times New Roman" w:cs="Times New Roman" w:eastAsia="宋体"/>
          <w:b/>
          <w:sz w:val="24"/>
        </w:rPr>
        <w:t>面值合计 $205 亿</w:t>
      </w:r>
      <w:r>
        <w:rPr>
          <w:rFonts w:ascii="Times New Roman" w:hAnsi="Times New Roman" w:cs="Times New Roman" w:eastAsia="宋体"/>
          <w:b w:val="0"/>
          <w:sz w:val="24"/>
        </w:rPr>
        <w:t xml:space="preserve">（2022/8 $100亿 + 2024/8 $105亿），账面 $288 亿多出约 </w:t>
      </w:r>
      <w:r>
        <w:rPr>
          <w:rFonts w:ascii="Times New Roman" w:hAnsi="Times New Roman" w:cs="Times New Roman" w:eastAsia="宋体"/>
          <w:b/>
          <w:sz w:val="24"/>
        </w:rPr>
        <w:t>$83 亿</w:t>
      </w:r>
      <w:r>
        <w:rPr>
          <w:rFonts w:ascii="Times New Roman" w:hAnsi="Times New Roman" w:cs="Times New Roman" w:eastAsia="宋体"/>
          <w:b w:val="0"/>
          <w:sz w:val="24"/>
        </w:rPr>
        <w:t>，</w:t>
      </w:r>
      <w:r>
        <w:rPr>
          <w:rFonts w:ascii="Times New Roman" w:hAnsi="Times New Roman" w:cs="Times New Roman" w:eastAsia="宋体"/>
          <w:b/>
          <w:sz w:val="24"/>
        </w:rPr>
        <w:t>推测为融资租赁负债等计入该行的其他项</w:t>
      </w:r>
      <w:r>
        <w:rPr>
          <w:rFonts w:ascii="Times New Roman" w:hAnsi="Times New Roman" w:cs="Times New Roman" w:eastAsia="宋体"/>
          <w:b w:val="0"/>
          <w:sz w:val="24"/>
        </w:rPr>
        <w:t>（Meta 未在此行单列，建议对 10-K 债务附注核实构成）。</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$270亿美元 Hyperion 表外SPV融资（2025/10）</w:t>
      </w:r>
      <w:r>
        <w:rPr>
          <w:rFonts w:ascii="Times New Roman" w:hAnsi="Times New Roman" w:cs="Times New Roman" w:eastAsia="宋体"/>
          <w:b w:val="0"/>
          <w:sz w:val="24"/>
        </w:rPr>
        <w:t>：与Blue Owl Capital成立合资SPV"Beignet"，</w:t>
      </w:r>
      <w:r>
        <w:rPr>
          <w:rFonts w:ascii="Times New Roman" w:hAnsi="Times New Roman" w:cs="Times New Roman" w:eastAsia="宋体"/>
          <w:b/>
          <w:sz w:val="24"/>
        </w:rPr>
        <w:t>Blue Owl持80%、Meta持20%</w:t>
      </w:r>
      <w:r>
        <w:rPr>
          <w:rFonts w:ascii="Times New Roman" w:hAnsi="Times New Roman" w:cs="Times New Roman" w:eastAsia="宋体"/>
          <w:b w:val="0"/>
          <w:sz w:val="24"/>
        </w:rPr>
        <w:t>；结构约</w:t>
      </w:r>
      <w:r>
        <w:rPr>
          <w:rFonts w:ascii="Times New Roman" w:hAnsi="Times New Roman" w:cs="Times New Roman" w:eastAsia="宋体"/>
          <w:b/>
          <w:sz w:val="24"/>
        </w:rPr>
        <w:t>$270亿 A+评级债务 + 约$25亿股权</w:t>
      </w:r>
      <w:r>
        <w:rPr>
          <w:rFonts w:ascii="Times New Roman" w:hAnsi="Times New Roman" w:cs="Times New Roman" w:eastAsia="宋体"/>
          <w:b w:val="0"/>
          <w:sz w:val="24"/>
        </w:rPr>
        <w:t xml:space="preserve">，债务由 </w:t>
      </w:r>
      <w:r>
        <w:rPr>
          <w:rFonts w:ascii="Times New Roman" w:hAnsi="Times New Roman" w:cs="Times New Roman" w:eastAsia="宋体"/>
          <w:b/>
          <w:sz w:val="24"/>
        </w:rPr>
        <w:t>PIMCO（约$180亿）、BlackRock（约$30亿）</w:t>
      </w:r>
      <w:r>
        <w:rPr>
          <w:rFonts w:ascii="Times New Roman" w:hAnsi="Times New Roman" w:cs="Times New Roman" w:eastAsia="宋体"/>
          <w:b w:val="0"/>
          <w:sz w:val="24"/>
        </w:rPr>
        <w:t xml:space="preserve"> 锚定，摩根士丹利安排。属</w:t>
      </w:r>
      <w:r>
        <w:rPr>
          <w:rFonts w:ascii="Times New Roman" w:hAnsi="Times New Roman" w:cs="Times New Roman" w:eastAsia="宋体"/>
          <w:b/>
          <w:sz w:val="24"/>
        </w:rPr>
        <w:t>表外杠杆</w:t>
      </w:r>
      <w:r>
        <w:rPr>
          <w:rFonts w:ascii="Times New Roman" w:hAnsi="Times New Roman" w:cs="Times New Roman" w:eastAsia="宋体"/>
          <w:b w:val="0"/>
          <w:sz w:val="24"/>
        </w:rPr>
        <w:t>：Meta 出资产、持 20%，</w:t>
      </w:r>
      <w:r>
        <w:rPr>
          <w:rFonts w:ascii="Times New Roman" w:hAnsi="Times New Roman" w:cs="Times New Roman" w:eastAsia="宋体"/>
          <w:b/>
          <w:sz w:val="24"/>
        </w:rPr>
        <w:t>承诺付费使用该数据中心（计入 OPEX）并对其他投资者的回报作担保</w:t>
      </w:r>
      <w:r>
        <w:rPr>
          <w:rFonts w:ascii="Times New Roman" w:hAnsi="Times New Roman" w:cs="Times New Roman" w:eastAsia="宋体"/>
          <w:b w:val="0"/>
          <w:sz w:val="24"/>
        </w:rPr>
        <w:t>（若租约不续）。</w:t>
      </w:r>
      <w:r>
        <w:rPr>
          <w:rFonts w:ascii="Times New Roman" w:hAnsi="Times New Roman" w:cs="Times New Roman" w:eastAsia="宋体"/>
          <w:b/>
          <w:sz w:val="24"/>
        </w:rPr>
        <w:t>Meta 审计师对其"无控制权"（表外前提）的主张并不完全认同</w:t>
      </w:r>
      <w:r>
        <w:rPr>
          <w:rFonts w:ascii="Times New Roman" w:hAnsi="Times New Roman" w:cs="Times New Roman" w:eastAsia="宋体"/>
          <w:b w:val="0"/>
          <w:sz w:val="24"/>
        </w:rPr>
        <w:t>——留有会计争议。</w:t>
      </w:r>
      <w:r>
        <w:rPr>
          <w:rFonts w:ascii="Times New Roman" w:hAnsi="Times New Roman" w:cs="Times New Roman" w:eastAsia="宋体"/>
          <w:b/>
          <w:sz w:val="24"/>
        </w:rPr>
        <w:t>【已核实——多源一致】</w:t>
      </w:r>
      <w:r>
        <w:rPr>
          <w:rFonts w:ascii="Times New Roman" w:hAnsi="Times New Roman" w:cs="Times New Roman" w:eastAsia="宋体"/>
          <w:b w:val="0"/>
          <w:sz w:val="24"/>
        </w:rPr>
        <w:t xml:space="preserve"> 来源：</w:t>
      </w:r>
      <w:hyperlink r:id="rId42">
        <w:r>
          <w:rPr>
            <w:rFonts w:ascii="Times New Roman" w:hAnsi="Times New Roman" w:eastAsia="宋体"/>
            <w:color w:val="0563C1"/>
            <w:u w:val="single"/>
            <w:sz w:val="24"/>
          </w:rPr>
          <w:t xml:space="preserve">DataCenterDynamics</w:t>
        </w:r>
      </w:hyperlink>
      <w:r>
        <w:rPr>
          <w:rFonts w:ascii="Times New Roman" w:hAnsi="Times New Roman" w:cs="Times New Roman" w:eastAsia="宋体"/>
          <w:b w:val="0"/>
          <w:sz w:val="24"/>
        </w:rPr>
        <w:t>、</w:t>
      </w:r>
      <w:hyperlink r:id="rId45">
        <w:r>
          <w:rPr>
            <w:rFonts w:ascii="Times New Roman" w:hAnsi="Times New Roman" w:eastAsia="宋体"/>
            <w:color w:val="0563C1"/>
            <w:u w:val="single"/>
            <w:sz w:val="24"/>
          </w:rPr>
          <w:t xml:space="preserve">Fortune</w:t>
        </w:r>
      </w:hyperlink>
      <w:r>
        <w:rPr>
          <w:rFonts w:ascii="Times New Roman" w:hAnsi="Times New Roman" w:cs="Times New Roman" w:eastAsia="宋体"/>
          <w:b w:val="0"/>
          <w:sz w:val="24"/>
        </w:rPr>
        <w:t>、</w:t>
      </w:r>
      <w:hyperlink r:id="rId19">
        <w:r>
          <w:rPr>
            <w:rFonts w:ascii="Times New Roman" w:hAnsi="Times New Roman" w:eastAsia="宋体"/>
            <w:color w:val="0563C1"/>
            <w:u w:val="single"/>
            <w:sz w:val="24"/>
          </w:rPr>
          <w:t xml:space="preserve">Platformonomics 2025 回顾</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股</w:t>
      </w:r>
      <w:r>
        <w:rPr>
          <w:rFonts w:ascii="Times New Roman" w:hAnsi="Times New Roman" w:cs="Times New Roman" w:eastAsia="宋体"/>
          <w:b w:val="0"/>
          <w:sz w:val="24"/>
        </w:rPr>
        <w:t>：Meta 常年大额回购 Class A 股票（2021 起每年 $200–445 亿），无股权融资性增发。回购逐年额见 §4.8。</w:t>
      </w:r>
      <w:r>
        <w:rPr>
          <w:rFonts w:ascii="Times New Roman" w:hAnsi="Times New Roman" w:cs="Times New Roman" w:eastAsia="宋体"/>
          <w:b/>
          <w:sz w:val="24"/>
        </w:rPr>
        <w:t>【已核实——一手10-K】</w:t>
      </w:r>
    </w:p>
    <w:p>
      <w:pPr>
        <w:spacing w:before="160" w:after="120" w:line="360" w:lineRule="auto"/>
      </w:pPr>
      <w:r>
        <w:rPr>
          <w:rFonts w:ascii="Times New Roman" w:hAnsi="Times New Roman" w:cs="Times New Roman" w:eastAsia="黑体"/>
          <w:b/>
          <w:sz w:val="28"/>
        </w:rPr>
        <w:t>4.2 亚马逊 —— 三年来首次美元发债</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$149.61亿美元高级无担保票据（2025/11，6档）</w:t>
      </w:r>
      <w:r>
        <w:rPr>
          <w:rFonts w:ascii="Times New Roman" w:hAnsi="Times New Roman" w:cs="Times New Roman" w:eastAsia="宋体"/>
          <w:b w:val="0"/>
          <w:sz w:val="24"/>
        </w:rPr>
        <w:t>：3.900%(2028)/4.100%(2030)/4.350%(2033)/4.650%(2035)/5.450%(2055)/5.550%(2065)，</w:t>
      </w:r>
      <w:r>
        <w:rPr>
          <w:rFonts w:ascii="Times New Roman" w:hAnsi="Times New Roman" w:cs="Times New Roman" w:eastAsia="宋体"/>
          <w:b/>
          <w:sz w:val="24"/>
        </w:rPr>
        <w:t>2022年以来首次美元债</w:t>
      </w:r>
      <w:r>
        <w:rPr>
          <w:rFonts w:ascii="Times New Roman" w:hAnsi="Times New Roman" w:cs="Times New Roman" w:eastAsia="宋体"/>
          <w:b w:val="0"/>
          <w:sz w:val="24"/>
        </w:rPr>
        <w:t>，需求约$800亿。用途：偿债、收购、CapEx及回购。</w:t>
      </w:r>
      <w:r>
        <w:rPr>
          <w:rFonts w:ascii="Times New Roman" w:hAnsi="Times New Roman" w:cs="Times New Roman" w:eastAsia="宋体"/>
          <w:b/>
          <w:sz w:val="24"/>
        </w:rPr>
        <w:t>【已核实】</w:t>
      </w:r>
      <w:r>
        <w:rPr>
          <w:rFonts w:ascii="Times New Roman" w:hAnsi="Times New Roman" w:cs="Times New Roman" w:eastAsia="宋体"/>
          <w:b w:val="0"/>
          <w:sz w:val="24"/>
        </w:rPr>
        <w:t xml:space="preserve"> 来源：</w:t>
      </w:r>
      <w:hyperlink r:id="rId46">
        <w:r>
          <w:rPr>
            <w:rFonts w:ascii="Times New Roman" w:hAnsi="Times New Roman" w:eastAsia="宋体"/>
            <w:color w:val="0563C1"/>
            <w:u w:val="single"/>
            <w:sz w:val="24"/>
          </w:rPr>
          <w:t xml:space="preserve">StockTitan（8-K，$149.61亿各档）</w:t>
        </w:r>
      </w:hyperlink>
      <w:r>
        <w:rPr>
          <w:rFonts w:ascii="Times New Roman" w:hAnsi="Times New Roman" w:cs="Times New Roman" w:eastAsia="宋体"/>
          <w:b w:val="0"/>
          <w:sz w:val="24"/>
        </w:rPr>
        <w:t>、</w:t>
      </w:r>
      <w:hyperlink r:id="rId47">
        <w:r>
          <w:rPr>
            <w:rFonts w:ascii="Times New Roman" w:hAnsi="Times New Roman" w:eastAsia="宋体"/>
            <w:color w:val="0563C1"/>
            <w:u w:val="single"/>
            <w:sz w:val="24"/>
          </w:rPr>
          <w:t xml:space="preserve">Bloomberg</w:t>
        </w:r>
      </w:hyperlink>
      <w:r>
        <w:rPr>
          <w:rFonts w:ascii="Times New Roman" w:hAnsi="Times New Roman" w:cs="Times New Roman" w:eastAsia="宋体"/>
          <w:b w:val="0"/>
          <w:sz w:val="24"/>
        </w:rPr>
        <w:t>、</w:t>
      </w:r>
      <w:hyperlink r:id="rId48">
        <w:r>
          <w:rPr>
            <w:rFonts w:ascii="Times New Roman" w:hAnsi="Times New Roman" w:eastAsia="宋体"/>
            <w:color w:val="0563C1"/>
            <w:u w:val="single"/>
            <w:sz w:val="24"/>
          </w:rPr>
          <w:t xml:space="preserve">Seeking Alpha</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亚马逊另大量使用</w:t>
      </w:r>
      <w:r>
        <w:rPr>
          <w:rFonts w:ascii="Times New Roman" w:hAnsi="Times New Roman" w:cs="Times New Roman" w:eastAsia="宋体"/>
          <w:b/>
          <w:sz w:val="24"/>
        </w:rPr>
        <w:t>设备融资租赁/经营租赁</w:t>
      </w:r>
      <w:r>
        <w:rPr>
          <w:rFonts w:ascii="Times New Roman" w:hAnsi="Times New Roman" w:cs="Times New Roman" w:eastAsia="宋体"/>
          <w:b w:val="0"/>
          <w:sz w:val="24"/>
        </w:rPr>
        <w:t>为数据中心融资。</w:t>
      </w:r>
      <w:r>
        <w:rPr>
          <w:rFonts w:ascii="Times New Roman" w:hAnsi="Times New Roman" w:cs="Times New Roman" w:eastAsia="宋体"/>
          <w:b/>
          <w:sz w:val="24"/>
        </w:rPr>
        <w:t>【方向性，待核——见 AMZN 10-K 租赁附注】</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股</w:t>
      </w:r>
      <w:r>
        <w:rPr>
          <w:rFonts w:ascii="Times New Roman" w:hAnsi="Times New Roman" w:cs="Times New Roman" w:eastAsia="宋体"/>
          <w:b w:val="0"/>
          <w:sz w:val="24"/>
        </w:rPr>
        <w:t>：以回购为主，无重大股权增发。</w:t>
      </w:r>
    </w:p>
    <w:p>
      <w:pPr>
        <w:spacing w:before="160" w:after="120" w:line="360" w:lineRule="auto"/>
      </w:pPr>
      <w:r>
        <w:rPr>
          <w:rFonts w:ascii="Times New Roman" w:hAnsi="Times New Roman" w:cs="Times New Roman" w:eastAsia="黑体"/>
          <w:b/>
          <w:sz w:val="28"/>
        </w:rPr>
        <w:t>4.3 Alphabet/谷歌 —— 首次大规模发债进入债市</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$250亿美元债券（2025/11，"11月 deal"）</w:t>
      </w:r>
      <w:r>
        <w:rPr>
          <w:rFonts w:ascii="Times New Roman" w:hAnsi="Times New Roman" w:cs="Times New Roman" w:eastAsia="宋体"/>
          <w:b w:val="0"/>
          <w:sz w:val="24"/>
        </w:rPr>
        <w:t>：</w:t>
      </w:r>
      <w:r>
        <w:rPr>
          <w:rFonts w:ascii="Times New Roman" w:hAnsi="Times New Roman" w:cs="Times New Roman" w:eastAsia="宋体"/>
          <w:b/>
          <w:sz w:val="24"/>
        </w:rPr>
        <w:t>$175亿美元债 + €65亿欧元债（约$74.8亿）</w:t>
      </w:r>
      <w:r>
        <w:rPr>
          <w:rFonts w:ascii="Times New Roman" w:hAnsi="Times New Roman" w:cs="Times New Roman" w:eastAsia="宋体"/>
          <w:b w:val="0"/>
          <w:sz w:val="24"/>
        </w:rPr>
        <w:t>，用于AI与云基础设施、一般公司用途。</w:t>
      </w:r>
      <w:r>
        <w:rPr>
          <w:rFonts w:ascii="Times New Roman" w:hAnsi="Times New Roman" w:cs="Times New Roman" w:eastAsia="宋体"/>
          <w:b/>
          <w:sz w:val="24"/>
        </w:rPr>
        <w:t>【已核实】</w:t>
      </w:r>
      <w:r>
        <w:rPr>
          <w:rFonts w:ascii="Times New Roman" w:hAnsi="Times New Roman" w:cs="Times New Roman" w:eastAsia="宋体"/>
          <w:b w:val="0"/>
          <w:sz w:val="24"/>
        </w:rPr>
        <w:t xml:space="preserve"> 来源：</w:t>
      </w:r>
      <w:hyperlink r:id="rId49">
        <w:r>
          <w:rPr>
            <w:rFonts w:ascii="Times New Roman" w:hAnsi="Times New Roman" w:eastAsia="宋体"/>
            <w:color w:val="0563C1"/>
            <w:u w:val="single"/>
            <w:sz w:val="24"/>
          </w:rPr>
          <w:t xml:space="preserve">Bloomberg</w:t>
        </w:r>
      </w:hyperlink>
      <w:r>
        <w:rPr>
          <w:rFonts w:ascii="Times New Roman" w:hAnsi="Times New Roman" w:cs="Times New Roman" w:eastAsia="宋体"/>
          <w:b w:val="0"/>
          <w:sz w:val="24"/>
        </w:rPr>
        <w:t>、</w:t>
      </w:r>
      <w:hyperlink r:id="rId50">
        <w:r>
          <w:rPr>
            <w:rFonts w:ascii="Times New Roman" w:hAnsi="Times New Roman" w:eastAsia="宋体"/>
            <w:color w:val="0563C1"/>
            <w:u w:val="single"/>
            <w:sz w:val="24"/>
          </w:rPr>
          <w:t xml:space="preserve">Alphabet 424B2 募集书（SEC）</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逐年发债总额（10-K 现金流 "Proceeds from issuance of debt, net of costs"，$M）：2023 = 10,790 / 2024 = 13,589 / 2025 = 64,564</w:t>
      </w:r>
      <w:r>
        <w:rPr>
          <w:rFonts w:ascii="Times New Roman" w:hAnsi="Times New Roman" w:cs="Times New Roman" w:eastAsia="宋体"/>
          <w:b w:val="0"/>
          <w:sz w:val="24"/>
        </w:rPr>
        <w:t>——2025 年债务发行</w:t>
      </w:r>
      <w:r>
        <w:rPr>
          <w:rFonts w:ascii="Times New Roman" w:hAnsi="Times New Roman" w:cs="Times New Roman" w:eastAsia="宋体"/>
          <w:b/>
          <w:sz w:val="24"/>
        </w:rPr>
        <w:t>爆发式增长至约 $645 亿</w:t>
      </w:r>
      <w:r>
        <w:rPr>
          <w:rFonts w:ascii="Times New Roman" w:hAnsi="Times New Roman" w:cs="Times New Roman" w:eastAsia="宋体"/>
          <w:b w:val="0"/>
          <w:sz w:val="24"/>
        </w:rPr>
        <w:t>（含 4 月美元+欧元 deal、11 月 $250 亿等）。</w:t>
      </w:r>
      <w:r>
        <w:rPr>
          <w:rFonts w:ascii="Times New Roman" w:hAnsi="Times New Roman" w:cs="Times New Roman" w:eastAsia="宋体"/>
          <w:b/>
          <w:sz w:val="24"/>
        </w:rPr>
        <w:t>【已核实——一手10-K 现金流量表】</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2025/4 发债（美元 + 并行欧元）</w:t>
      </w:r>
      <w:r>
        <w:rPr>
          <w:rFonts w:ascii="Times New Roman" w:hAnsi="Times New Roman" w:cs="Times New Roman" w:eastAsia="宋体"/>
          <w:b w:val="0"/>
          <w:sz w:val="24"/>
        </w:rPr>
        <w:t>：424B5 确认为美元票据（4 档）+ "Concurrent Euro Notes Offering"（并行欧元票据，</w:t>
      </w:r>
      <w:r>
        <w:rPr>
          <w:rFonts w:ascii="Times New Roman" w:hAnsi="Times New Roman" w:cs="Times New Roman" w:eastAsia="宋体"/>
          <w:b/>
          <w:sz w:val="24"/>
        </w:rPr>
        <w:t>"4月 deal"</w:t>
      </w:r>
      <w:r>
        <w:rPr>
          <w:rFonts w:ascii="Times New Roman" w:hAnsi="Times New Roman" w:cs="Times New Roman" w:eastAsia="宋体"/>
          <w:b w:val="0"/>
          <w:sz w:val="24"/>
        </w:rPr>
        <w:t>，约 €6.75B——与上条 11 月 €65亿为两笔不同交易）。</w:t>
      </w:r>
      <w:r>
        <w:rPr>
          <w:rFonts w:ascii="Times New Roman" w:hAnsi="Times New Roman" w:cs="Times New Roman" w:eastAsia="宋体"/>
          <w:b/>
          <w:sz w:val="24"/>
        </w:rPr>
        <w:t>【结构已核实——一手 424B5（2025/4/28）；欧元档精确额以最终定价为准】</w:t>
      </w:r>
      <w:r>
        <w:rPr>
          <w:rFonts w:ascii="Times New Roman" w:hAnsi="Times New Roman" w:cs="Times New Roman" w:eastAsia="宋体"/>
          <w:b w:val="0"/>
          <w:sz w:val="24"/>
        </w:rPr>
        <w:t xml:space="preserve"> 来源：</w:t>
      </w:r>
      <w:hyperlink r:id="rId51">
        <w:r>
          <w:rPr>
            <w:rFonts w:ascii="Times New Roman" w:hAnsi="Times New Roman" w:eastAsia="宋体"/>
            <w:color w:val="0563C1"/>
            <w:u w:val="single"/>
            <w:sz w:val="24"/>
          </w:rPr>
          <w:t xml:space="preserve">Alphabet 424B5（SEC, 2025/4）</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子公司债务结构（截至 2025/3/31）</w:t>
      </w:r>
      <w:r>
        <w:rPr>
          <w:rFonts w:ascii="Times New Roman" w:hAnsi="Times New Roman" w:cs="Times New Roman" w:eastAsia="宋体"/>
          <w:b w:val="0"/>
          <w:sz w:val="24"/>
        </w:rPr>
        <w:t xml:space="preserve">：Google 及子公司约 </w:t>
      </w:r>
      <w:r>
        <w:rPr>
          <w:rFonts w:ascii="Times New Roman" w:hAnsi="Times New Roman" w:cs="Times New Roman" w:eastAsia="宋体"/>
          <w:b/>
          <w:sz w:val="24"/>
        </w:rPr>
        <w:t>$21 亿融资租赁义务、无长期债务</w:t>
      </w:r>
      <w:r>
        <w:rPr>
          <w:rFonts w:ascii="Times New Roman" w:hAnsi="Times New Roman" w:cs="Times New Roman" w:eastAsia="宋体"/>
          <w:b w:val="0"/>
          <w:sz w:val="24"/>
        </w:rPr>
        <w:t xml:space="preserve">；另有约 </w:t>
      </w:r>
      <w:r>
        <w:rPr>
          <w:rFonts w:ascii="Times New Roman" w:hAnsi="Times New Roman" w:cs="Times New Roman" w:eastAsia="宋体"/>
          <w:b/>
          <w:sz w:val="24"/>
        </w:rPr>
        <w:t>$173 亿尚未起租</w:t>
      </w:r>
      <w:r>
        <w:rPr>
          <w:rFonts w:ascii="Times New Roman" w:hAnsi="Times New Roman" w:cs="Times New Roman" w:eastAsia="宋体"/>
          <w:b w:val="0"/>
          <w:sz w:val="24"/>
        </w:rPr>
        <w:t>的数据中心相关租约（未入表）。</w:t>
      </w:r>
      <w:r>
        <w:rPr>
          <w:rFonts w:ascii="Times New Roman" w:hAnsi="Times New Roman" w:cs="Times New Roman" w:eastAsia="宋体"/>
          <w:b/>
          <w:sz w:val="24"/>
        </w:rPr>
        <w:t>【已核实——一手 424B5】</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已发行百年期（100年）债券，认购达 10 倍超额</w:t>
      </w:r>
      <w:r>
        <w:rPr>
          <w:rFonts w:ascii="Times New Roman" w:hAnsi="Times New Roman" w:cs="Times New Roman" w:eastAsia="宋体"/>
          <w:b w:val="0"/>
          <w:sz w:val="24"/>
        </w:rPr>
        <w:t>。</w:t>
      </w:r>
      <w:r>
        <w:rPr>
          <w:rFonts w:ascii="Times New Roman" w:hAnsi="Times New Roman" w:cs="Times New Roman" w:eastAsia="宋体"/>
          <w:b/>
          <w:sz w:val="24"/>
        </w:rPr>
        <w:t>【已核实——分析师原文；确切规模/日期建议对 SEC 募集书复核】</w:t>
      </w:r>
      <w:r>
        <w:rPr>
          <w:rFonts w:ascii="Times New Roman" w:hAnsi="Times New Roman" w:cs="Times New Roman" w:eastAsia="宋体"/>
          <w:b w:val="0"/>
          <w:sz w:val="24"/>
        </w:rPr>
        <w:t xml:space="preserve"> 来源：</w:t>
      </w:r>
      <w:hyperlink r:id="rId19">
        <w:r>
          <w:rPr>
            <w:rFonts w:ascii="Times New Roman" w:hAnsi="Times New Roman" w:eastAsia="宋体"/>
            <w:color w:val="0563C1"/>
            <w:u w:val="single"/>
            <w:sz w:val="24"/>
          </w:rPr>
          <w:t xml:space="preserve">Platformonomics 2025 回顾</w:t>
        </w:r>
      </w:hyperlink>
      <w:r>
        <w:rPr>
          <w:rFonts w:ascii="Times New Roman" w:hAnsi="Times New Roman" w:cs="Times New Roman" w:eastAsia="宋体"/>
          <w:b w:val="0"/>
          <w:sz w:val="24"/>
        </w:rPr>
        <w:t>（系列文，建议核对具体篇目）："*has recently issued corporate debt, including a 100-year bond that was ten-times oversubscribed*"。</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融资特征</w:t>
      </w:r>
      <w:r>
        <w:rPr>
          <w:rFonts w:ascii="Times New Roman" w:hAnsi="Times New Roman" w:cs="Times New Roman" w:eastAsia="宋体"/>
          <w:b w:val="0"/>
          <w:sz w:val="24"/>
        </w:rPr>
        <w:t>：Alphabet 是四家"hyperCAPEX"中</w:t>
      </w:r>
      <w:r>
        <w:rPr>
          <w:rFonts w:ascii="Times New Roman" w:hAnsi="Times New Roman" w:cs="Times New Roman" w:eastAsia="宋体"/>
          <w:b/>
          <w:sz w:val="24"/>
        </w:rPr>
        <w:t>唯一不使用融资租赁</w:t>
      </w:r>
      <w:r>
        <w:rPr>
          <w:rFonts w:ascii="Times New Roman" w:hAnsi="Times New Roman" w:cs="Times New Roman" w:eastAsia="宋体"/>
          <w:b w:val="0"/>
          <w:sz w:val="24"/>
        </w:rPr>
        <w:t>的（capex 口径最"干净"），近年才转向发行公司债。</w:t>
      </w:r>
      <w:r>
        <w:rPr>
          <w:rFonts w:ascii="Times New Roman" w:hAnsi="Times New Roman" w:cs="Times New Roman" w:eastAsia="宋体"/>
          <w:b/>
          <w:sz w:val="24"/>
        </w:rPr>
        <w:t>【已核实——</w:t>
      </w:r>
      <w:hyperlink r:id="rId19">
        <w:r>
          <w:rPr>
            <w:rFonts w:ascii="Times New Roman" w:hAnsi="Times New Roman" w:eastAsia="宋体"/>
            <w:color w:val="0563C1"/>
            <w:u w:val="single"/>
            <w:sz w:val="24"/>
            <w:b/>
          </w:rPr>
          <w:t xml:space="preserve">Platformonomics 2025 回顾</w:t>
        </w:r>
      </w:hyperlink>
      <w:r>
        <w:rPr>
          <w:rFonts w:ascii="Times New Roman" w:hAnsi="Times New Roman" w:cs="Times New Roman" w:eastAsia="宋体"/>
          <w:b/>
          <w:sz w:val="24"/>
        </w:rPr>
        <w:t>】</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股</w:t>
      </w:r>
      <w:r>
        <w:rPr>
          <w:rFonts w:ascii="Times New Roman" w:hAnsi="Times New Roman" w:cs="Times New Roman" w:eastAsia="宋体"/>
          <w:b w:val="0"/>
          <w:sz w:val="24"/>
        </w:rPr>
        <w:t>：大额回购（2022–2024 每年约 $590–620 亿，2025 回落至 $454 亿），无股权增发。逐年额见 §4.8。</w:t>
      </w:r>
      <w:r>
        <w:rPr>
          <w:rFonts w:ascii="Times New Roman" w:hAnsi="Times New Roman" w:cs="Times New Roman" w:eastAsia="宋体"/>
          <w:b/>
          <w:sz w:val="24"/>
        </w:rPr>
        <w:t>【已核实——一手10-K】</w:t>
      </w:r>
    </w:p>
    <w:p>
      <w:pPr>
        <w:spacing w:before="160" w:after="120" w:line="360" w:lineRule="auto"/>
      </w:pPr>
      <w:r>
        <w:rPr>
          <w:rFonts w:ascii="Times New Roman" w:hAnsi="Times New Roman" w:cs="Times New Roman" w:eastAsia="黑体"/>
          <w:b/>
          <w:sz w:val="28"/>
        </w:rPr>
        <w:t>4.4 特斯拉 —— 历史上以"增发股票"为主</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2020年三次ATM股票增发，全年合计 $12,269M（约$123亿）</w:t>
      </w:r>
      <w:r>
        <w:rPr>
          <w:rFonts w:ascii="Times New Roman" w:hAnsi="Times New Roman" w:cs="Times New Roman" w:eastAsia="宋体"/>
          <w:b w:val="0"/>
          <w:sz w:val="24"/>
        </w:rPr>
        <w:t xml:space="preserve">（10-K 现金流 "Proceeds from issuances of common stock"）；分 </w:t>
      </w:r>
      <w:r>
        <w:rPr>
          <w:rFonts w:ascii="Times New Roman" w:hAnsi="Times New Roman" w:cs="Times New Roman" w:eastAsia="宋体"/>
          <w:b/>
          <w:sz w:val="24"/>
        </w:rPr>
        <w:t>2 月（约$23亿）、9 月（约$50亿）、12 月（约$50亿）</w:t>
      </w:r>
      <w:r>
        <w:rPr>
          <w:rFonts w:ascii="Times New Roman" w:hAnsi="Times New Roman" w:cs="Times New Roman" w:eastAsia="宋体"/>
          <w:b w:val="0"/>
          <w:sz w:val="24"/>
        </w:rPr>
        <w:t xml:space="preserve"> 三次完成，用于 Giga Texas 等扩张。</w:t>
      </w:r>
      <w:r>
        <w:rPr>
          <w:rFonts w:ascii="Times New Roman" w:hAnsi="Times New Roman" w:cs="Times New Roman" w:eastAsia="宋体"/>
          <w:b/>
          <w:sz w:val="24"/>
        </w:rPr>
        <w:t>【已核实——一手10-K（全年合计）；单次拆分见各次 424B5 + Motley Fool/Bloomberg 报道】</w:t>
      </w:r>
      <w:r>
        <w:rPr>
          <w:rFonts w:ascii="Times New Roman" w:hAnsi="Times New Roman" w:cs="Times New Roman" w:eastAsia="宋体"/>
          <w:b w:val="0"/>
          <w:sz w:val="24"/>
        </w:rPr>
        <w:t xml:space="preserve"> 来源：</w:t>
      </w:r>
      <w:hyperlink r:id="rId52">
        <w:r>
          <w:rPr>
            <w:rFonts w:ascii="Times New Roman" w:hAnsi="Times New Roman" w:eastAsia="宋体"/>
            <w:color w:val="0563C1"/>
            <w:u w:val="single"/>
            <w:sz w:val="24"/>
          </w:rPr>
          <w:t xml:space="preserve">Motley Fool（2月$23.1亿）</w:t>
        </w:r>
      </w:hyperlink>
      <w:r>
        <w:rPr>
          <w:rFonts w:ascii="Times New Roman" w:hAnsi="Times New Roman" w:cs="Times New Roman" w:eastAsia="宋体"/>
          <w:b w:val="0"/>
          <w:sz w:val="24"/>
        </w:rPr>
        <w:t>、</w:t>
      </w:r>
      <w:hyperlink r:id="rId53">
        <w:r>
          <w:rPr>
            <w:rFonts w:ascii="Times New Roman" w:hAnsi="Times New Roman" w:eastAsia="宋体"/>
            <w:color w:val="0563C1"/>
            <w:u w:val="single"/>
            <w:sz w:val="24"/>
          </w:rPr>
          <w:t xml:space="preserve">Bloomberg</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2021–2022年大幅偿还可转债/债务，转为净现金。</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2024–2025年CapEx基本自筹；计划2026年进行</w:t>
      </w:r>
      <w:r>
        <w:rPr>
          <w:rFonts w:ascii="Times New Roman" w:hAnsi="Times New Roman" w:cs="Times New Roman" w:eastAsia="宋体"/>
          <w:b/>
          <w:sz w:val="24"/>
        </w:rPr>
        <w:t>2020年以来首次资本募集</w:t>
      </w:r>
      <w:r>
        <w:rPr>
          <w:rFonts w:ascii="Times New Roman" w:hAnsi="Times New Roman" w:cs="Times New Roman" w:eastAsia="宋体"/>
          <w:b w:val="0"/>
          <w:sz w:val="24"/>
        </w:rPr>
        <w:t>（Terafab相关）。</w:t>
      </w:r>
      <w:r>
        <w:rPr>
          <w:rFonts w:ascii="Times New Roman" w:hAnsi="Times New Roman" w:cs="Times New Roman" w:eastAsia="宋体"/>
          <w:b/>
          <w:sz w:val="24"/>
        </w:rPr>
        <w:t>【来源待核实——计划/预测】</w:t>
      </w:r>
    </w:p>
    <w:p>
      <w:pPr>
        <w:spacing w:before="160" w:after="120" w:line="360" w:lineRule="auto"/>
      </w:pPr>
      <w:r>
        <w:rPr>
          <w:rFonts w:ascii="Times New Roman" w:hAnsi="Times New Roman" w:cs="Times New Roman" w:eastAsia="黑体"/>
          <w:b/>
          <w:sz w:val="28"/>
        </w:rPr>
        <w:t>4.5 微软 —— 基本不新增债务，靠经营现金流自筹</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FY2025经营性现金流约</w:t>
      </w:r>
      <w:r>
        <w:rPr>
          <w:rFonts w:ascii="Times New Roman" w:hAnsi="Times New Roman" w:cs="Times New Roman" w:eastAsia="宋体"/>
          <w:b/>
          <w:sz w:val="24"/>
        </w:rPr>
        <w:t>$136B</w:t>
      </w:r>
      <w:r>
        <w:rPr>
          <w:rFonts w:ascii="Times New Roman" w:hAnsi="Times New Roman" w:cs="Times New Roman" w:eastAsia="宋体"/>
          <w:b w:val="0"/>
          <w:sz w:val="24"/>
        </w:rPr>
        <w:t>，覆盖$64.6B CapEx仍有余力；</w:t>
      </w:r>
      <w:r>
        <w:rPr>
          <w:rFonts w:ascii="Times New Roman" w:hAnsi="Times New Roman" w:cs="Times New Roman" w:eastAsia="宋体"/>
          <w:b/>
          <w:sz w:val="24"/>
        </w:rPr>
        <w:t>无重大新债发行/无股权增发</w:t>
      </w:r>
      <w:r>
        <w:rPr>
          <w:rFonts w:ascii="Times New Roman" w:hAnsi="Times New Roman" w:cs="Times New Roman" w:eastAsia="宋体"/>
          <w:b w:val="0"/>
          <w:sz w:val="24"/>
        </w:rPr>
        <w:t>，历史高级票据持续净偿还。</w:t>
      </w:r>
      <w:r>
        <w:rPr>
          <w:rFonts w:ascii="Times New Roman" w:hAnsi="Times New Roman" w:cs="Times New Roman" w:eastAsia="宋体"/>
          <w:b/>
          <w:sz w:val="24"/>
        </w:rPr>
        <w:t>【已核实——方向性】</w:t>
      </w:r>
      <w:r>
        <w:rPr>
          <w:rFonts w:ascii="Times New Roman" w:hAnsi="Times New Roman" w:cs="Times New Roman" w:eastAsia="宋体"/>
          <w:b w:val="0"/>
          <w:sz w:val="24"/>
        </w:rPr>
        <w:t xml:space="preserve"> 来源：</w:t>
      </w:r>
      <w:hyperlink r:id="rId22">
        <w:r>
          <w:rPr>
            <w:rFonts w:ascii="Times New Roman" w:hAnsi="Times New Roman" w:eastAsia="宋体"/>
            <w:color w:val="0563C1"/>
            <w:u w:val="single"/>
            <w:sz w:val="24"/>
          </w:rPr>
          <w:t xml:space="preserve">Microsoft FY2025 业绩 8-K（SEC）</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数据中心融资更多通过</w:t>
      </w:r>
      <w:r>
        <w:rPr>
          <w:rFonts w:ascii="Times New Roman" w:hAnsi="Times New Roman" w:cs="Times New Roman" w:eastAsia="宋体"/>
          <w:b/>
          <w:sz w:val="24"/>
        </w:rPr>
        <w:t>融资租赁</w:t>
      </w:r>
      <w:r>
        <w:rPr>
          <w:rFonts w:ascii="Times New Roman" w:hAnsi="Times New Roman" w:cs="Times New Roman" w:eastAsia="宋体"/>
          <w:b w:val="0"/>
          <w:sz w:val="24"/>
        </w:rPr>
        <w:t>（部分表外性质）。</w:t>
      </w:r>
      <w:r>
        <w:rPr>
          <w:rFonts w:ascii="Times New Roman" w:hAnsi="Times New Roman" w:cs="Times New Roman" w:eastAsia="宋体"/>
          <w:b/>
          <w:sz w:val="24"/>
        </w:rPr>
        <w:t>【来源待核实——租赁明细，见 MSFT 10-K "Leases"附注】</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股</w:t>
      </w:r>
      <w:r>
        <w:rPr>
          <w:rFonts w:ascii="Times New Roman" w:hAnsi="Times New Roman" w:cs="Times New Roman" w:eastAsia="宋体"/>
          <w:b w:val="0"/>
          <w:sz w:val="24"/>
        </w:rPr>
        <w:t>：FY2025回购约</w:t>
      </w:r>
      <w:r>
        <w:rPr>
          <w:rFonts w:ascii="Times New Roman" w:hAnsi="Times New Roman" w:cs="Times New Roman" w:eastAsia="宋体"/>
          <w:b/>
          <w:sz w:val="24"/>
        </w:rPr>
        <w:t>$18.4B</w:t>
      </w:r>
      <w:r>
        <w:rPr>
          <w:rFonts w:ascii="Times New Roman" w:hAnsi="Times New Roman" w:cs="Times New Roman" w:eastAsia="宋体"/>
          <w:b w:val="0"/>
          <w:sz w:val="24"/>
        </w:rPr>
        <w:t xml:space="preserve"> + 分红约</w:t>
      </w:r>
      <w:r>
        <w:rPr>
          <w:rFonts w:ascii="Times New Roman" w:hAnsi="Times New Roman" w:cs="Times New Roman" w:eastAsia="宋体"/>
          <w:b/>
          <w:sz w:val="24"/>
        </w:rPr>
        <w:t>$24.1B</w:t>
      </w:r>
      <w:r>
        <w:rPr>
          <w:rFonts w:ascii="Times New Roman" w:hAnsi="Times New Roman" w:cs="Times New Roman" w:eastAsia="宋体"/>
          <w:b w:val="0"/>
          <w:sz w:val="24"/>
        </w:rPr>
        <w:t>（合计返还逾$37B）。</w:t>
      </w:r>
      <w:r>
        <w:rPr>
          <w:rFonts w:ascii="Times New Roman" w:hAnsi="Times New Roman" w:cs="Times New Roman" w:eastAsia="宋体"/>
          <w:b/>
          <w:sz w:val="24"/>
        </w:rPr>
        <w:t>【已核实】</w:t>
      </w:r>
    </w:p>
    <w:p>
      <w:pPr>
        <w:spacing w:before="160" w:after="120" w:line="360" w:lineRule="auto"/>
      </w:pPr>
      <w:r>
        <w:rPr>
          <w:rFonts w:ascii="Times New Roman" w:hAnsi="Times New Roman" w:cs="Times New Roman" w:eastAsia="黑体"/>
          <w:b/>
          <w:sz w:val="28"/>
        </w:rPr>
        <w:t>4.6 英伟达 —— 自筹 + 巨额回购</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无重大新增债务</w:t>
      </w:r>
      <w:r>
        <w:rPr>
          <w:rFonts w:ascii="Times New Roman" w:hAnsi="Times New Roman" w:cs="Times New Roman" w:eastAsia="宋体"/>
          <w:b w:val="0"/>
          <w:sz w:val="24"/>
        </w:rPr>
        <w:t xml:space="preserve">：长期债务（10-K 资产负债表 "Long-term debt"，$M）FY20→FY25 = </w:t>
      </w:r>
      <w:r>
        <w:rPr>
          <w:rFonts w:ascii="Times New Roman" w:hAnsi="Times New Roman" w:cs="Times New Roman" w:eastAsia="宋体"/>
          <w:b/>
          <w:sz w:val="24"/>
        </w:rPr>
        <w:t>1,991 / 5,964 / 10,976 / 9,703 / 8,459 / 8,463</w:t>
      </w:r>
      <w:r>
        <w:rPr>
          <w:rFonts w:ascii="Times New Roman" w:hAnsi="Times New Roman" w:cs="Times New Roman" w:eastAsia="宋体"/>
          <w:b w:val="0"/>
          <w:sz w:val="24"/>
        </w:rPr>
        <w:t>——即 FY2022 见顶约 $11B（多为 2020/2021 年发行、用于 Mellanox 收购等的遗留高级票据），之后逐步降至约 $8.46B，期间无新增大额发债。</w:t>
      </w:r>
      <w:r>
        <w:rPr>
          <w:rFonts w:ascii="Times New Roman" w:hAnsi="Times New Roman" w:cs="Times New Roman" w:eastAsia="宋体"/>
          <w:b/>
          <w:sz w:val="24"/>
        </w:rPr>
        <w:t>【已核实——一手10-K 资产负债表】</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股</w:t>
      </w:r>
      <w:r>
        <w:rPr>
          <w:rFonts w:ascii="Times New Roman" w:hAnsi="Times New Roman" w:cs="Times New Roman" w:eastAsia="宋体"/>
          <w:b w:val="0"/>
          <w:sz w:val="24"/>
        </w:rPr>
        <w:t>：2025/8新批准</w:t>
      </w:r>
      <w:r>
        <w:rPr>
          <w:rFonts w:ascii="Times New Roman" w:hAnsi="Times New Roman" w:cs="Times New Roman" w:eastAsia="宋体"/>
          <w:b/>
          <w:sz w:val="24"/>
        </w:rPr>
        <w:t>$600亿美元回购授权</w:t>
      </w:r>
      <w:r>
        <w:rPr>
          <w:rFonts w:ascii="Times New Roman" w:hAnsi="Times New Roman" w:cs="Times New Roman" w:eastAsia="宋体"/>
          <w:b w:val="0"/>
          <w:sz w:val="24"/>
        </w:rPr>
        <w:t>（叠加此前剩余约$147亿）；FY2026上半年回购+分红返还逾$240亿。</w:t>
      </w:r>
      <w:r>
        <w:rPr>
          <w:rFonts w:ascii="Times New Roman" w:hAnsi="Times New Roman" w:cs="Times New Roman" w:eastAsia="宋体"/>
          <w:b/>
          <w:sz w:val="24"/>
        </w:rPr>
        <w:t>【已核实】</w:t>
      </w:r>
      <w:r>
        <w:rPr>
          <w:rFonts w:ascii="Times New Roman" w:hAnsi="Times New Roman" w:cs="Times New Roman" w:eastAsia="宋体"/>
          <w:b w:val="0"/>
          <w:sz w:val="24"/>
        </w:rPr>
        <w:t xml:space="preserve"> 来源：</w:t>
      </w:r>
      <w:hyperlink r:id="rId54">
        <w:r>
          <w:rPr>
            <w:rFonts w:ascii="Times New Roman" w:hAnsi="Times New Roman" w:eastAsia="宋体"/>
            <w:color w:val="0563C1"/>
            <w:u w:val="single"/>
            <w:sz w:val="24"/>
          </w:rPr>
          <w:t xml:space="preserve">Motley Fool（$600亿回购）</w:t>
        </w:r>
      </w:hyperlink>
    </w:p>
    <w:p>
      <w:pPr>
        <w:spacing w:before="160" w:after="120" w:line="360" w:lineRule="auto"/>
      </w:pPr>
      <w:r>
        <w:rPr>
          <w:rFonts w:ascii="Times New Roman" w:hAnsi="Times New Roman" w:cs="Times New Roman" w:eastAsia="黑体"/>
          <w:b/>
          <w:sz w:val="28"/>
        </w:rPr>
        <w:t>4.7 苹果 —— 发债主要服务"股东回报"而非数据中心</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苹果常年发行公司债，但</w:t>
      </w:r>
      <w:r>
        <w:rPr>
          <w:rFonts w:ascii="Times New Roman" w:hAnsi="Times New Roman" w:cs="Times New Roman" w:eastAsia="宋体"/>
          <w:b/>
          <w:sz w:val="24"/>
        </w:rPr>
        <w:t>主要用于回购与分红</w:t>
      </w:r>
      <w:r>
        <w:rPr>
          <w:rFonts w:ascii="Times New Roman" w:hAnsi="Times New Roman" w:cs="Times New Roman" w:eastAsia="宋体"/>
          <w:b w:val="0"/>
          <w:sz w:val="24"/>
        </w:rPr>
        <w:t>（资本返还），而非 AI/数据中心 CapEx。</w:t>
      </w:r>
      <w:r>
        <w:rPr>
          <w:rFonts w:ascii="Times New Roman" w:hAnsi="Times New Roman" w:cs="Times New Roman" w:eastAsia="宋体"/>
          <w:b/>
          <w:sz w:val="24"/>
        </w:rPr>
        <w:t>逐年发债额（10-K 现金流 "Proceeds from issuance of term debt"，$M）：FY2020 16,091 / FY2021 20,393 / FY2022 5,465 / FY2023 5,228 / FY2024 —（未发行）/ FY2025 4,481</w:t>
      </w:r>
      <w:r>
        <w:rPr>
          <w:rFonts w:ascii="Times New Roman" w:hAnsi="Times New Roman" w:cs="Times New Roman" w:eastAsia="宋体"/>
          <w:b w:val="0"/>
          <w:sz w:val="24"/>
        </w:rPr>
        <w:t>——2020–2021 低利率期大额发债（两年合计约 $365 亿），其后大幅收缩、FY2024 全年未发行新债。</w:t>
      </w:r>
      <w:r>
        <w:rPr>
          <w:rFonts w:ascii="Times New Roman" w:hAnsi="Times New Roman" w:cs="Times New Roman" w:eastAsia="宋体"/>
          <w:b/>
          <w:sz w:val="24"/>
        </w:rPr>
        <w:t>【已核实——一手10-K 现金流量表】</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股</w:t>
      </w:r>
      <w:r>
        <w:rPr>
          <w:rFonts w:ascii="Times New Roman" w:hAnsi="Times New Roman" w:cs="Times New Roman" w:eastAsia="宋体"/>
          <w:b w:val="0"/>
          <w:sz w:val="24"/>
        </w:rPr>
        <w:t>：以巨额回购著称（年度规模业内最大之一），见 §4.8。</w:t>
      </w:r>
    </w:p>
    <w:p>
      <w:pPr>
        <w:spacing w:before="160" w:after="120" w:line="360" w:lineRule="auto"/>
      </w:pPr>
      <w:r>
        <w:rPr>
          <w:rFonts w:ascii="Times New Roman" w:hAnsi="Times New Roman" w:cs="Times New Roman" w:eastAsia="黑体"/>
          <w:b/>
          <w:sz w:val="28"/>
        </w:rPr>
        <w:t>4.8 各公司股票回购汇总（2020–2025，单位：百万美元）</w:t>
      </w:r>
    </w:p>
    <w:p>
      <w:pPr>
        <w:spacing w:line="360" w:lineRule="auto" w:after="40"/>
        <w:ind w:left="420"/>
      </w:pPr>
      <w:r>
        <w:rPr>
          <w:rFonts w:ascii="Times New Roman" w:hAnsi="Times New Roman" w:cs="Times New Roman" w:eastAsia="宋体"/>
          <w:b w:val="0"/>
          <w:sz w:val="24"/>
        </w:rPr>
        <w:t>数据取自各公司一手 10-K（现金流量表/权益变动表"Repurchases of common/Class A/stock"行）。各公司财年口径见括注。</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val="clear" w:fill="D9E2F3"/>
          </w:tcPr>
          <w:p>
            <w:pPr>
              <w:spacing w:line="264" w:lineRule="auto" w:after="0"/>
            </w:pPr>
            <w:r/>
            <w:r>
              <w:rPr>
                <w:rFonts w:ascii="Times New Roman" w:hAnsi="Times New Roman" w:cs="Times New Roman" w:eastAsia="宋体"/>
                <w:b/>
                <w:sz w:val="21"/>
              </w:rPr>
              <w:t>公司</w:t>
            </w:r>
          </w:p>
        </w:tc>
        <w:tc>
          <w:tcPr>
            <w:tcW w:type="dxa" w:w="1063"/>
            <w:shd w:val="clear" w:fill="D9E2F3"/>
          </w:tcPr>
          <w:p>
            <w:pPr>
              <w:spacing w:line="264" w:lineRule="auto" w:after="0"/>
            </w:pPr>
            <w:r/>
            <w:r>
              <w:rPr>
                <w:rFonts w:ascii="Times New Roman" w:hAnsi="Times New Roman" w:cs="Times New Roman" w:eastAsia="宋体"/>
                <w:b/>
                <w:sz w:val="21"/>
              </w:rPr>
              <w:t>2020</w:t>
            </w:r>
          </w:p>
        </w:tc>
        <w:tc>
          <w:tcPr>
            <w:tcW w:type="dxa" w:w="1063"/>
            <w:shd w:val="clear" w:fill="D9E2F3"/>
          </w:tcPr>
          <w:p>
            <w:pPr>
              <w:spacing w:line="264" w:lineRule="auto" w:after="0"/>
            </w:pPr>
            <w:r/>
            <w:r>
              <w:rPr>
                <w:rFonts w:ascii="Times New Roman" w:hAnsi="Times New Roman" w:cs="Times New Roman" w:eastAsia="宋体"/>
                <w:b/>
                <w:sz w:val="21"/>
              </w:rPr>
              <w:t>2021</w:t>
            </w:r>
          </w:p>
        </w:tc>
        <w:tc>
          <w:tcPr>
            <w:tcW w:type="dxa" w:w="1063"/>
            <w:shd w:val="clear" w:fill="D9E2F3"/>
          </w:tcPr>
          <w:p>
            <w:pPr>
              <w:spacing w:line="264" w:lineRule="auto" w:after="0"/>
            </w:pPr>
            <w:r/>
            <w:r>
              <w:rPr>
                <w:rFonts w:ascii="Times New Roman" w:hAnsi="Times New Roman" w:cs="Times New Roman" w:eastAsia="宋体"/>
                <w:b/>
                <w:sz w:val="21"/>
              </w:rPr>
              <w:t>2022</w:t>
            </w:r>
          </w:p>
        </w:tc>
        <w:tc>
          <w:tcPr>
            <w:tcW w:type="dxa" w:w="1063"/>
            <w:shd w:val="clear" w:fill="D9E2F3"/>
          </w:tcPr>
          <w:p>
            <w:pPr>
              <w:spacing w:line="264" w:lineRule="auto" w:after="0"/>
            </w:pPr>
            <w:r/>
            <w:r>
              <w:rPr>
                <w:rFonts w:ascii="Times New Roman" w:hAnsi="Times New Roman" w:cs="Times New Roman" w:eastAsia="宋体"/>
                <w:b/>
                <w:sz w:val="21"/>
              </w:rPr>
              <w:t>2023</w:t>
            </w:r>
          </w:p>
        </w:tc>
        <w:tc>
          <w:tcPr>
            <w:tcW w:type="dxa" w:w="1063"/>
            <w:shd w:val="clear" w:fill="D9E2F3"/>
          </w:tcPr>
          <w:p>
            <w:pPr>
              <w:spacing w:line="264" w:lineRule="auto" w:after="0"/>
            </w:pPr>
            <w:r/>
            <w:r>
              <w:rPr>
                <w:rFonts w:ascii="Times New Roman" w:hAnsi="Times New Roman" w:cs="Times New Roman" w:eastAsia="宋体"/>
                <w:b/>
                <w:sz w:val="21"/>
              </w:rPr>
              <w:t>2024</w:t>
            </w:r>
          </w:p>
        </w:tc>
        <w:tc>
          <w:tcPr>
            <w:tcW w:type="dxa" w:w="1063"/>
            <w:shd w:val="clear" w:fill="D9E2F3"/>
          </w:tcPr>
          <w:p>
            <w:pPr>
              <w:spacing w:line="264" w:lineRule="auto" w:after="0"/>
            </w:pPr>
            <w:r/>
            <w:r>
              <w:rPr>
                <w:rFonts w:ascii="Times New Roman" w:hAnsi="Times New Roman" w:cs="Times New Roman" w:eastAsia="宋体"/>
                <w:b/>
                <w:sz w:val="21"/>
              </w:rPr>
              <w:t>2025</w:t>
            </w:r>
          </w:p>
        </w:tc>
        <w:tc>
          <w:tcPr>
            <w:tcW w:type="dxa" w:w="1063"/>
            <w:shd w:val="clear" w:fill="D9E2F3"/>
          </w:tcPr>
          <w:p>
            <w:pPr>
              <w:spacing w:line="264" w:lineRule="auto" w:after="0"/>
            </w:pPr>
            <w:r/>
            <w:r>
              <w:rPr>
                <w:rFonts w:ascii="Times New Roman" w:hAnsi="Times New Roman" w:cs="Times New Roman" w:eastAsia="宋体"/>
                <w:b/>
                <w:sz w:val="21"/>
              </w:rPr>
              <w:t>核实状态</w:t>
            </w:r>
          </w:p>
        </w:tc>
      </w:tr>
      <w:tr>
        <w:tc>
          <w:tcPr>
            <w:tcW w:type="dxa" w:w="1063"/>
          </w:tcPr>
          <w:p>
            <w:pPr>
              <w:spacing w:line="264" w:lineRule="auto" w:after="0"/>
            </w:pPr>
            <w:r/>
            <w:r>
              <w:rPr>
                <w:rFonts w:ascii="Times New Roman" w:hAnsi="Times New Roman" w:cs="Times New Roman" w:eastAsia="宋体"/>
                <w:b/>
                <w:sz w:val="21"/>
              </w:rPr>
              <w:t>苹果</w:t>
            </w:r>
            <w:r>
              <w:rPr>
                <w:rFonts w:ascii="Times New Roman" w:hAnsi="Times New Roman" w:cs="Times New Roman" w:eastAsia="宋体"/>
                <w:b w:val="0"/>
                <w:sz w:val="21"/>
              </w:rPr>
              <w:t>（FY9月）</w:t>
            </w:r>
          </w:p>
        </w:tc>
        <w:tc>
          <w:tcPr>
            <w:tcW w:type="dxa" w:w="1063"/>
          </w:tcPr>
          <w:p>
            <w:pPr>
              <w:spacing w:line="264" w:lineRule="auto" w:after="0"/>
            </w:pPr>
            <w:r/>
            <w:r>
              <w:rPr>
                <w:rFonts w:ascii="Times New Roman" w:hAnsi="Times New Roman" w:cs="Times New Roman" w:eastAsia="宋体"/>
                <w:b w:val="0"/>
                <w:sz w:val="21"/>
              </w:rPr>
              <w:t>72,358</w:t>
            </w:r>
          </w:p>
        </w:tc>
        <w:tc>
          <w:tcPr>
            <w:tcW w:type="dxa" w:w="1063"/>
          </w:tcPr>
          <w:p>
            <w:pPr>
              <w:spacing w:line="264" w:lineRule="auto" w:after="0"/>
            </w:pPr>
            <w:r/>
            <w:r>
              <w:rPr>
                <w:rFonts w:ascii="Times New Roman" w:hAnsi="Times New Roman" w:cs="Times New Roman" w:eastAsia="宋体"/>
                <w:b w:val="0"/>
                <w:sz w:val="21"/>
              </w:rPr>
              <w:t>85,971</w:t>
            </w:r>
          </w:p>
        </w:tc>
        <w:tc>
          <w:tcPr>
            <w:tcW w:type="dxa" w:w="1063"/>
          </w:tcPr>
          <w:p>
            <w:pPr>
              <w:spacing w:line="264" w:lineRule="auto" w:after="0"/>
            </w:pPr>
            <w:r/>
            <w:r>
              <w:rPr>
                <w:rFonts w:ascii="Times New Roman" w:hAnsi="Times New Roman" w:cs="Times New Roman" w:eastAsia="宋体"/>
                <w:b w:val="0"/>
                <w:sz w:val="21"/>
              </w:rPr>
              <w:t>89,402</w:t>
            </w:r>
          </w:p>
        </w:tc>
        <w:tc>
          <w:tcPr>
            <w:tcW w:type="dxa" w:w="1063"/>
          </w:tcPr>
          <w:p>
            <w:pPr>
              <w:spacing w:line="264" w:lineRule="auto" w:after="0"/>
            </w:pPr>
            <w:r/>
            <w:r>
              <w:rPr>
                <w:rFonts w:ascii="Times New Roman" w:hAnsi="Times New Roman" w:cs="Times New Roman" w:eastAsia="宋体"/>
                <w:b w:val="0"/>
                <w:sz w:val="21"/>
              </w:rPr>
              <w:t>77,550</w:t>
            </w:r>
          </w:p>
        </w:tc>
        <w:tc>
          <w:tcPr>
            <w:tcW w:type="dxa" w:w="1063"/>
          </w:tcPr>
          <w:p>
            <w:pPr>
              <w:spacing w:line="264" w:lineRule="auto" w:after="0"/>
            </w:pPr>
            <w:r/>
            <w:r>
              <w:rPr>
                <w:rFonts w:ascii="Times New Roman" w:hAnsi="Times New Roman" w:cs="Times New Roman" w:eastAsia="宋体"/>
                <w:b w:val="0"/>
                <w:sz w:val="21"/>
              </w:rPr>
              <w:t>94,949</w:t>
            </w:r>
          </w:p>
        </w:tc>
        <w:tc>
          <w:tcPr>
            <w:tcW w:type="dxa" w:w="1063"/>
          </w:tcPr>
          <w:p>
            <w:pPr>
              <w:spacing w:line="264" w:lineRule="auto" w:after="0"/>
            </w:pPr>
            <w:r/>
            <w:r>
              <w:rPr>
                <w:rFonts w:ascii="Times New Roman" w:hAnsi="Times New Roman" w:cs="Times New Roman" w:eastAsia="宋体"/>
                <w:b/>
                <w:sz w:val="21"/>
              </w:rPr>
              <w:t>90,711</w:t>
            </w:r>
          </w:p>
        </w:tc>
        <w:tc>
          <w:tcPr>
            <w:tcW w:type="dxa" w:w="1063"/>
          </w:tcPr>
          <w:p>
            <w:pPr>
              <w:spacing w:line="264" w:lineRule="auto" w:after="0"/>
            </w:pPr>
            <w:r/>
            <w:r>
              <w:rPr>
                <w:rFonts w:ascii="Times New Roman" w:hAnsi="Times New Roman" w:cs="Times New Roman" w:eastAsia="宋体"/>
                <w:b w:val="0"/>
                <w:sz w:val="21"/>
              </w:rPr>
              <w:t>已核实（一手10-K）</w:t>
            </w:r>
          </w:p>
        </w:tc>
      </w:tr>
      <w:tr>
        <w:tc>
          <w:tcPr>
            <w:tcW w:type="dxa" w:w="1063"/>
          </w:tcPr>
          <w:p>
            <w:pPr>
              <w:spacing w:line="264" w:lineRule="auto" w:after="0"/>
            </w:pPr>
            <w:r/>
            <w:r>
              <w:rPr>
                <w:rFonts w:ascii="Times New Roman" w:hAnsi="Times New Roman" w:cs="Times New Roman" w:eastAsia="宋体"/>
                <w:b/>
                <w:sz w:val="21"/>
              </w:rPr>
              <w:t>Alphabet</w:t>
            </w:r>
            <w:r>
              <w:rPr>
                <w:rFonts w:ascii="Times New Roman" w:hAnsi="Times New Roman" w:cs="Times New Roman" w:eastAsia="宋体"/>
                <w:b w:val="0"/>
                <w:sz w:val="21"/>
              </w:rPr>
              <w:t>（日历年）</w:t>
            </w:r>
          </w:p>
        </w:tc>
        <w:tc>
          <w:tcPr>
            <w:tcW w:type="dxa" w:w="1063"/>
          </w:tcPr>
          <w:p>
            <w:pPr>
              <w:spacing w:line="264" w:lineRule="auto" w:after="0"/>
            </w:pPr>
            <w:r/>
            <w:r>
              <w:rPr>
                <w:rFonts w:ascii="Times New Roman" w:hAnsi="Times New Roman" w:cs="Times New Roman" w:eastAsia="宋体"/>
                <w:b w:val="0"/>
                <w:sz w:val="21"/>
              </w:rPr>
              <w:t>31,149</w:t>
            </w:r>
          </w:p>
        </w:tc>
        <w:tc>
          <w:tcPr>
            <w:tcW w:type="dxa" w:w="1063"/>
          </w:tcPr>
          <w:p>
            <w:pPr>
              <w:spacing w:line="264" w:lineRule="auto" w:after="0"/>
            </w:pPr>
            <w:r/>
            <w:r>
              <w:rPr>
                <w:rFonts w:ascii="Times New Roman" w:hAnsi="Times New Roman" w:cs="Times New Roman" w:eastAsia="宋体"/>
                <w:b w:val="0"/>
                <w:sz w:val="21"/>
              </w:rPr>
              <w:t>50,274</w:t>
            </w:r>
          </w:p>
        </w:tc>
        <w:tc>
          <w:tcPr>
            <w:tcW w:type="dxa" w:w="1063"/>
          </w:tcPr>
          <w:p>
            <w:pPr>
              <w:spacing w:line="264" w:lineRule="auto" w:after="0"/>
            </w:pPr>
            <w:r/>
            <w:r>
              <w:rPr>
                <w:rFonts w:ascii="Times New Roman" w:hAnsi="Times New Roman" w:cs="Times New Roman" w:eastAsia="宋体"/>
                <w:b w:val="0"/>
                <w:sz w:val="21"/>
              </w:rPr>
              <w:t>59,296</w:t>
            </w:r>
          </w:p>
        </w:tc>
        <w:tc>
          <w:tcPr>
            <w:tcW w:type="dxa" w:w="1063"/>
          </w:tcPr>
          <w:p>
            <w:pPr>
              <w:spacing w:line="264" w:lineRule="auto" w:after="0"/>
            </w:pPr>
            <w:r/>
            <w:r>
              <w:rPr>
                <w:rFonts w:ascii="Times New Roman" w:hAnsi="Times New Roman" w:cs="Times New Roman" w:eastAsia="宋体"/>
                <w:b w:val="0"/>
                <w:sz w:val="21"/>
              </w:rPr>
              <w:t>62,184</w:t>
            </w:r>
          </w:p>
        </w:tc>
        <w:tc>
          <w:tcPr>
            <w:tcW w:type="dxa" w:w="1063"/>
          </w:tcPr>
          <w:p>
            <w:pPr>
              <w:spacing w:line="264" w:lineRule="auto" w:after="0"/>
            </w:pPr>
            <w:r/>
            <w:r>
              <w:rPr>
                <w:rFonts w:ascii="Times New Roman" w:hAnsi="Times New Roman" w:cs="Times New Roman" w:eastAsia="宋体"/>
                <w:b w:val="0"/>
                <w:sz w:val="21"/>
              </w:rPr>
              <w:t>62,047</w:t>
            </w:r>
          </w:p>
        </w:tc>
        <w:tc>
          <w:tcPr>
            <w:tcW w:type="dxa" w:w="1063"/>
          </w:tcPr>
          <w:p>
            <w:pPr>
              <w:spacing w:line="264" w:lineRule="auto" w:after="0"/>
            </w:pPr>
            <w:r/>
            <w:r>
              <w:rPr>
                <w:rFonts w:ascii="Times New Roman" w:hAnsi="Times New Roman" w:cs="Times New Roman" w:eastAsia="宋体"/>
                <w:b w:val="0"/>
                <w:sz w:val="21"/>
              </w:rPr>
              <w:t>45,398</w:t>
            </w:r>
          </w:p>
        </w:tc>
        <w:tc>
          <w:tcPr>
            <w:tcW w:type="dxa" w:w="1063"/>
          </w:tcPr>
          <w:p>
            <w:pPr>
              <w:spacing w:line="264" w:lineRule="auto" w:after="0"/>
            </w:pPr>
            <w:r/>
            <w:r>
              <w:rPr>
                <w:rFonts w:ascii="Times New Roman" w:hAnsi="Times New Roman" w:cs="Times New Roman" w:eastAsia="宋体"/>
                <w:b w:val="0"/>
                <w:sz w:val="21"/>
              </w:rPr>
              <w:t>已核实（一手10-K 权益变动表）</w:t>
            </w:r>
          </w:p>
        </w:tc>
      </w:tr>
      <w:tr>
        <w:tc>
          <w:tcPr>
            <w:tcW w:type="dxa" w:w="1063"/>
          </w:tcPr>
          <w:p>
            <w:pPr>
              <w:spacing w:line="264" w:lineRule="auto" w:after="0"/>
            </w:pPr>
            <w:r/>
            <w:r>
              <w:rPr>
                <w:rFonts w:ascii="Times New Roman" w:hAnsi="Times New Roman" w:cs="Times New Roman" w:eastAsia="宋体"/>
                <w:b/>
                <w:sz w:val="21"/>
              </w:rPr>
              <w:t>Meta</w:t>
            </w:r>
            <w:r>
              <w:rPr>
                <w:rFonts w:ascii="Times New Roman" w:hAnsi="Times New Roman" w:cs="Times New Roman" w:eastAsia="宋体"/>
                <w:b w:val="0"/>
                <w:sz w:val="21"/>
              </w:rPr>
              <w:t>（日历年）</w:t>
            </w:r>
          </w:p>
        </w:tc>
        <w:tc>
          <w:tcPr>
            <w:tcW w:type="dxa" w:w="1063"/>
          </w:tcPr>
          <w:p>
            <w:pPr>
              <w:spacing w:line="264" w:lineRule="auto" w:after="0"/>
            </w:pPr>
            <w:r/>
            <w:r>
              <w:rPr>
                <w:rFonts w:ascii="Times New Roman" w:hAnsi="Times New Roman" w:cs="Times New Roman" w:eastAsia="宋体"/>
                <w:b w:val="0"/>
                <w:sz w:val="21"/>
              </w:rPr>
              <w:t>6,272</w:t>
            </w:r>
          </w:p>
        </w:tc>
        <w:tc>
          <w:tcPr>
            <w:tcW w:type="dxa" w:w="1063"/>
          </w:tcPr>
          <w:p>
            <w:pPr>
              <w:spacing w:line="264" w:lineRule="auto" w:after="0"/>
            </w:pPr>
            <w:r/>
            <w:r>
              <w:rPr>
                <w:rFonts w:ascii="Times New Roman" w:hAnsi="Times New Roman" w:cs="Times New Roman" w:eastAsia="宋体"/>
                <w:b w:val="0"/>
                <w:sz w:val="21"/>
              </w:rPr>
              <w:t>44,537</w:t>
            </w:r>
          </w:p>
        </w:tc>
        <w:tc>
          <w:tcPr>
            <w:tcW w:type="dxa" w:w="1063"/>
          </w:tcPr>
          <w:p>
            <w:pPr>
              <w:spacing w:line="264" w:lineRule="auto" w:after="0"/>
            </w:pPr>
            <w:r/>
            <w:r>
              <w:rPr>
                <w:rFonts w:ascii="Times New Roman" w:hAnsi="Times New Roman" w:cs="Times New Roman" w:eastAsia="宋体"/>
                <w:b w:val="0"/>
                <w:sz w:val="21"/>
              </w:rPr>
              <w:t>27,956</w:t>
            </w:r>
          </w:p>
        </w:tc>
        <w:tc>
          <w:tcPr>
            <w:tcW w:type="dxa" w:w="1063"/>
          </w:tcPr>
          <w:p>
            <w:pPr>
              <w:spacing w:line="264" w:lineRule="auto" w:after="0"/>
            </w:pPr>
            <w:r/>
            <w:r>
              <w:rPr>
                <w:rFonts w:ascii="Times New Roman" w:hAnsi="Times New Roman" w:cs="Times New Roman" w:eastAsia="宋体"/>
                <w:b w:val="0"/>
                <w:sz w:val="21"/>
              </w:rPr>
              <w:t>19,774</w:t>
            </w:r>
          </w:p>
        </w:tc>
        <w:tc>
          <w:tcPr>
            <w:tcW w:type="dxa" w:w="1063"/>
          </w:tcPr>
          <w:p>
            <w:pPr>
              <w:spacing w:line="264" w:lineRule="auto" w:after="0"/>
            </w:pPr>
            <w:r/>
            <w:r>
              <w:rPr>
                <w:rFonts w:ascii="Times New Roman" w:hAnsi="Times New Roman" w:cs="Times New Roman" w:eastAsia="宋体"/>
                <w:b w:val="0"/>
                <w:sz w:val="21"/>
              </w:rPr>
              <w:t>30,125</w:t>
            </w:r>
          </w:p>
        </w:tc>
        <w:tc>
          <w:tcPr>
            <w:tcW w:type="dxa" w:w="1063"/>
          </w:tcPr>
          <w:p>
            <w:pPr>
              <w:spacing w:line="264" w:lineRule="auto" w:after="0"/>
            </w:pPr>
            <w:r/>
            <w:r>
              <w:rPr>
                <w:rFonts w:ascii="Times New Roman" w:hAnsi="Times New Roman" w:cs="Times New Roman" w:eastAsia="宋体"/>
                <w:b w:val="0"/>
                <w:sz w:val="21"/>
              </w:rPr>
              <w:t>26,248</w:t>
            </w:r>
          </w:p>
        </w:tc>
        <w:tc>
          <w:tcPr>
            <w:tcW w:type="dxa" w:w="1063"/>
          </w:tcPr>
          <w:p>
            <w:pPr>
              <w:spacing w:line="264" w:lineRule="auto" w:after="0"/>
            </w:pPr>
            <w:r/>
            <w:r>
              <w:rPr>
                <w:rFonts w:ascii="Times New Roman" w:hAnsi="Times New Roman" w:cs="Times New Roman" w:eastAsia="宋体"/>
                <w:b w:val="0"/>
                <w:sz w:val="21"/>
              </w:rPr>
              <w:t>已核实（一手10-K）</w:t>
            </w:r>
          </w:p>
        </w:tc>
      </w:tr>
      <w:tr>
        <w:tc>
          <w:tcPr>
            <w:tcW w:type="dxa" w:w="1063"/>
          </w:tcPr>
          <w:p>
            <w:pPr>
              <w:spacing w:line="264" w:lineRule="auto" w:after="0"/>
            </w:pPr>
            <w:r/>
            <w:r>
              <w:rPr>
                <w:rFonts w:ascii="Times New Roman" w:hAnsi="Times New Roman" w:cs="Times New Roman" w:eastAsia="宋体"/>
                <w:b/>
                <w:sz w:val="21"/>
              </w:rPr>
              <w:t>英伟达</w:t>
            </w:r>
            <w:r>
              <w:rPr>
                <w:rFonts w:ascii="Times New Roman" w:hAnsi="Times New Roman" w:cs="Times New Roman" w:eastAsia="宋体"/>
                <w:b w:val="0"/>
                <w:sz w:val="21"/>
              </w:rPr>
              <w:t>（FY1月）</w:t>
            </w:r>
          </w:p>
        </w:tc>
        <w:tc>
          <w:tcPr>
            <w:tcW w:type="dxa" w:w="1063"/>
          </w:tcPr>
          <w:p>
            <w:pPr>
              <w:spacing w:line="264" w:lineRule="auto" w:after="0"/>
            </w:pPr>
            <w:r/>
            <w:r>
              <w:rPr>
                <w:rFonts w:ascii="Times New Roman" w:hAnsi="Times New Roman" w:cs="Times New Roman" w:eastAsia="宋体"/>
                <w:b w:val="0"/>
                <w:sz w:val="21"/>
              </w:rPr>
              <w:t>0</w:t>
            </w:r>
          </w:p>
        </w:tc>
        <w:tc>
          <w:tcPr>
            <w:tcW w:type="dxa" w:w="1063"/>
          </w:tcPr>
          <w:p>
            <w:pPr>
              <w:spacing w:line="264" w:lineRule="auto" w:after="0"/>
            </w:pPr>
            <w:r/>
            <w:r>
              <w:rPr>
                <w:rFonts w:ascii="Times New Roman" w:hAnsi="Times New Roman" w:cs="Times New Roman" w:eastAsia="宋体"/>
                <w:b w:val="0"/>
                <w:sz w:val="21"/>
              </w:rPr>
              <w:t>0</w:t>
            </w:r>
          </w:p>
        </w:tc>
        <w:tc>
          <w:tcPr>
            <w:tcW w:type="dxa" w:w="1063"/>
          </w:tcPr>
          <w:p>
            <w:pPr>
              <w:spacing w:line="264" w:lineRule="auto" w:after="0"/>
            </w:pPr>
            <w:r/>
            <w:r>
              <w:rPr>
                <w:rFonts w:ascii="Times New Roman" w:hAnsi="Times New Roman" w:cs="Times New Roman" w:eastAsia="宋体"/>
                <w:b w:val="0"/>
                <w:sz w:val="21"/>
              </w:rPr>
              <w:t>0</w:t>
            </w:r>
          </w:p>
        </w:tc>
        <w:tc>
          <w:tcPr>
            <w:tcW w:type="dxa" w:w="1063"/>
          </w:tcPr>
          <w:p>
            <w:pPr>
              <w:spacing w:line="264" w:lineRule="auto" w:after="0"/>
            </w:pPr>
            <w:r/>
            <w:r>
              <w:rPr>
                <w:rFonts w:ascii="Times New Roman" w:hAnsi="Times New Roman" w:cs="Times New Roman" w:eastAsia="宋体"/>
                <w:b w:val="0"/>
                <w:sz w:val="21"/>
              </w:rPr>
              <w:t>10,039</w:t>
            </w:r>
          </w:p>
        </w:tc>
        <w:tc>
          <w:tcPr>
            <w:tcW w:type="dxa" w:w="1063"/>
          </w:tcPr>
          <w:p>
            <w:pPr>
              <w:spacing w:line="264" w:lineRule="auto" w:after="0"/>
            </w:pPr>
            <w:r/>
            <w:r>
              <w:rPr>
                <w:rFonts w:ascii="Times New Roman" w:hAnsi="Times New Roman" w:cs="Times New Roman" w:eastAsia="宋体"/>
                <w:b w:val="0"/>
                <w:sz w:val="21"/>
              </w:rPr>
              <w:t>9,533</w:t>
            </w:r>
          </w:p>
        </w:tc>
        <w:tc>
          <w:tcPr>
            <w:tcW w:type="dxa" w:w="1063"/>
          </w:tcPr>
          <w:p>
            <w:pPr>
              <w:spacing w:line="264" w:lineRule="auto" w:after="0"/>
            </w:pPr>
            <w:r/>
            <w:r>
              <w:rPr>
                <w:rFonts w:ascii="Times New Roman" w:hAnsi="Times New Roman" w:cs="Times New Roman" w:eastAsia="宋体"/>
                <w:b w:val="0"/>
                <w:sz w:val="21"/>
              </w:rPr>
              <w:t>33,706</w:t>
            </w:r>
          </w:p>
        </w:tc>
        <w:tc>
          <w:tcPr>
            <w:tcW w:type="dxa" w:w="1063"/>
          </w:tcPr>
          <w:p>
            <w:pPr>
              <w:spacing w:line="264" w:lineRule="auto" w:after="0"/>
            </w:pPr>
            <w:r/>
            <w:r>
              <w:rPr>
                <w:rFonts w:ascii="Times New Roman" w:hAnsi="Times New Roman" w:cs="Times New Roman" w:eastAsia="宋体"/>
                <w:b w:val="0"/>
                <w:sz w:val="21"/>
              </w:rPr>
              <w:t>已核实（一手10-K）</w:t>
            </w:r>
          </w:p>
        </w:tc>
      </w:tr>
      <w:tr>
        <w:tc>
          <w:tcPr>
            <w:tcW w:type="dxa" w:w="1063"/>
          </w:tcPr>
          <w:p>
            <w:pPr>
              <w:spacing w:line="264" w:lineRule="auto" w:after="0"/>
            </w:pPr>
            <w:r/>
            <w:r>
              <w:rPr>
                <w:rFonts w:ascii="Times New Roman" w:hAnsi="Times New Roman" w:cs="Times New Roman" w:eastAsia="宋体"/>
                <w:b/>
                <w:sz w:val="21"/>
              </w:rPr>
              <w:t>微软</w:t>
            </w:r>
            <w:r>
              <w:rPr>
                <w:rFonts w:ascii="Times New Roman" w:hAnsi="Times New Roman" w:cs="Times New Roman" w:eastAsia="宋体"/>
                <w:b w:val="0"/>
                <w:sz w:val="21"/>
              </w:rPr>
              <w:t>（FY6月）</w:t>
            </w:r>
          </w:p>
        </w:tc>
        <w:tc>
          <w:tcPr>
            <w:tcW w:type="dxa" w:w="1063"/>
          </w:tcPr>
          <w:p>
            <w:pPr>
              <w:spacing w:line="264" w:lineRule="auto" w:after="0"/>
            </w:pPr>
            <w:r/>
            <w:r>
              <w:rPr>
                <w:rFonts w:ascii="Times New Roman" w:hAnsi="Times New Roman" w:cs="Times New Roman" w:eastAsia="宋体"/>
                <w:b w:val="0"/>
                <w:sz w:val="21"/>
              </w:rPr>
              <w:t>22,981</w:t>
            </w:r>
          </w:p>
        </w:tc>
        <w:tc>
          <w:tcPr>
            <w:tcW w:type="dxa" w:w="1063"/>
          </w:tcPr>
          <w:p>
            <w:pPr>
              <w:spacing w:line="264" w:lineRule="auto" w:after="0"/>
            </w:pPr>
            <w:r/>
            <w:r>
              <w:rPr>
                <w:rFonts w:ascii="Times New Roman" w:hAnsi="Times New Roman" w:cs="Times New Roman" w:eastAsia="宋体"/>
                <w:b w:val="0"/>
                <w:sz w:val="21"/>
              </w:rPr>
              <w:t>27,418</w:t>
            </w:r>
          </w:p>
        </w:tc>
        <w:tc>
          <w:tcPr>
            <w:tcW w:type="dxa" w:w="1063"/>
          </w:tcPr>
          <w:p>
            <w:pPr>
              <w:spacing w:line="264" w:lineRule="auto" w:after="0"/>
            </w:pPr>
            <w:r/>
            <w:r>
              <w:rPr>
                <w:rFonts w:ascii="Times New Roman" w:hAnsi="Times New Roman" w:cs="Times New Roman" w:eastAsia="宋体"/>
                <w:b w:val="0"/>
                <w:sz w:val="21"/>
              </w:rPr>
              <w:t>32,648</w:t>
            </w:r>
          </w:p>
        </w:tc>
        <w:tc>
          <w:tcPr>
            <w:tcW w:type="dxa" w:w="1063"/>
          </w:tcPr>
          <w:p>
            <w:pPr>
              <w:spacing w:line="264" w:lineRule="auto" w:after="0"/>
            </w:pPr>
            <w:r/>
            <w:r>
              <w:rPr>
                <w:rFonts w:ascii="Times New Roman" w:hAnsi="Times New Roman" w:cs="Times New Roman" w:eastAsia="宋体"/>
                <w:b w:val="0"/>
                <w:sz w:val="21"/>
              </w:rPr>
              <w:t>22,264</w:t>
            </w:r>
          </w:p>
        </w:tc>
        <w:tc>
          <w:tcPr>
            <w:tcW w:type="dxa" w:w="1063"/>
          </w:tcPr>
          <w:p>
            <w:pPr>
              <w:spacing w:line="264" w:lineRule="auto" w:after="0"/>
            </w:pPr>
            <w:r/>
            <w:r>
              <w:rPr>
                <w:rFonts w:ascii="Times New Roman" w:hAnsi="Times New Roman" w:cs="Times New Roman" w:eastAsia="宋体"/>
                <w:b w:val="0"/>
                <w:sz w:val="21"/>
              </w:rPr>
              <w:t>17,259</w:t>
            </w:r>
          </w:p>
        </w:tc>
        <w:tc>
          <w:tcPr>
            <w:tcW w:type="dxa" w:w="1063"/>
          </w:tcPr>
          <w:p>
            <w:pPr>
              <w:spacing w:line="264" w:lineRule="auto" w:after="0"/>
            </w:pPr>
            <w:r/>
            <w:r>
              <w:rPr>
                <w:rFonts w:ascii="Times New Roman" w:hAnsi="Times New Roman" w:cs="Times New Roman" w:eastAsia="宋体"/>
                <w:b w:val="0"/>
                <w:sz w:val="21"/>
              </w:rPr>
              <w:t>18,424</w:t>
            </w:r>
          </w:p>
        </w:tc>
        <w:tc>
          <w:tcPr>
            <w:tcW w:type="dxa" w:w="1063"/>
          </w:tcPr>
          <w:p>
            <w:pPr>
              <w:spacing w:line="264" w:lineRule="auto" w:after="0"/>
            </w:pPr>
            <w:r/>
            <w:r>
              <w:rPr>
                <w:rFonts w:ascii="Times New Roman" w:hAnsi="Times New Roman" w:cs="Times New Roman" w:eastAsia="宋体"/>
                <w:b w:val="0"/>
                <w:sz w:val="21"/>
              </w:rPr>
              <w:t>全部已核实（一手10-K）</w:t>
            </w:r>
          </w:p>
        </w:tc>
      </w:tr>
      <w:tr>
        <w:tc>
          <w:tcPr>
            <w:tcW w:type="dxa" w:w="1063"/>
          </w:tcPr>
          <w:p>
            <w:pPr>
              <w:spacing w:line="264" w:lineRule="auto" w:after="0"/>
            </w:pPr>
            <w:r/>
            <w:r>
              <w:rPr>
                <w:rFonts w:ascii="Times New Roman" w:hAnsi="Times New Roman" w:cs="Times New Roman" w:eastAsia="宋体"/>
                <w:b/>
                <w:sz w:val="21"/>
              </w:rPr>
              <w:t>亚马逊</w:t>
            </w:r>
            <w:r>
              <w:rPr>
                <w:rFonts w:ascii="Times New Roman" w:hAnsi="Times New Roman" w:cs="Times New Roman" w:eastAsia="宋体"/>
                <w:b w:val="0"/>
                <w:sz w:val="21"/>
              </w:rPr>
              <w:t>（日历年）</w:t>
            </w:r>
          </w:p>
        </w:tc>
        <w:tc>
          <w:tcPr>
            <w:tcW w:type="dxa" w:w="1063"/>
          </w:tcPr>
          <w:p>
            <w:pPr>
              <w:spacing w:line="264" w:lineRule="auto" w:after="0"/>
            </w:pPr>
            <w:r/>
            <w:r>
              <w:rPr>
                <w:rFonts w:ascii="Times New Roman" w:hAnsi="Times New Roman" w:cs="Times New Roman" w:eastAsia="宋体"/>
                <w:b w:val="0"/>
                <w:sz w:val="21"/>
              </w:rPr>
              <w:t>0</w:t>
            </w:r>
          </w:p>
        </w:tc>
        <w:tc>
          <w:tcPr>
            <w:tcW w:type="dxa" w:w="1063"/>
          </w:tcPr>
          <w:p>
            <w:pPr>
              <w:spacing w:line="264" w:lineRule="auto" w:after="0"/>
            </w:pPr>
            <w:r/>
            <w:r>
              <w:rPr>
                <w:rFonts w:ascii="Times New Roman" w:hAnsi="Times New Roman" w:cs="Times New Roman" w:eastAsia="宋体"/>
                <w:b w:val="0"/>
                <w:sz w:val="21"/>
              </w:rPr>
              <w:t>0</w:t>
            </w:r>
          </w:p>
        </w:tc>
        <w:tc>
          <w:tcPr>
            <w:tcW w:type="dxa" w:w="1063"/>
          </w:tcPr>
          <w:p>
            <w:pPr>
              <w:spacing w:line="264" w:lineRule="auto" w:after="0"/>
            </w:pPr>
            <w:r/>
            <w:r>
              <w:rPr>
                <w:rFonts w:ascii="Times New Roman" w:hAnsi="Times New Roman" w:cs="Times New Roman" w:eastAsia="宋体"/>
                <w:b w:val="0"/>
                <w:sz w:val="21"/>
              </w:rPr>
              <w:t>6,000</w:t>
            </w:r>
          </w:p>
        </w:tc>
        <w:tc>
          <w:tcPr>
            <w:tcW w:type="dxa" w:w="1063"/>
          </w:tcPr>
          <w:p>
            <w:pPr>
              <w:spacing w:line="264" w:lineRule="auto" w:after="0"/>
            </w:pPr>
            <w:r/>
            <w:r>
              <w:rPr>
                <w:rFonts w:ascii="Times New Roman" w:hAnsi="Times New Roman" w:cs="Times New Roman" w:eastAsia="宋体"/>
                <w:b w:val="0"/>
                <w:sz w:val="21"/>
              </w:rPr>
              <w:t>0</w:t>
            </w:r>
          </w:p>
        </w:tc>
        <w:tc>
          <w:tcPr>
            <w:tcW w:type="dxa" w:w="1063"/>
          </w:tcPr>
          <w:p>
            <w:pPr>
              <w:spacing w:line="264" w:lineRule="auto" w:after="0"/>
            </w:pPr>
            <w:r/>
            <w:r>
              <w:rPr>
                <w:rFonts w:ascii="Times New Roman" w:hAnsi="Times New Roman" w:cs="Times New Roman" w:eastAsia="宋体"/>
                <w:b w:val="0"/>
                <w:sz w:val="21"/>
              </w:rPr>
              <w:t>0</w:t>
            </w:r>
          </w:p>
        </w:tc>
        <w:tc>
          <w:tcPr>
            <w:tcW w:type="dxa" w:w="1063"/>
          </w:tcPr>
          <w:p>
            <w:pPr>
              <w:spacing w:line="264" w:lineRule="auto" w:after="0"/>
            </w:pPr>
            <w:r/>
            <w:r>
              <w:rPr>
                <w:rFonts w:ascii="Times New Roman" w:hAnsi="Times New Roman" w:cs="Times New Roman" w:eastAsia="宋体"/>
                <w:b w:val="0"/>
                <w:sz w:val="21"/>
              </w:rPr>
              <w:t>0</w:t>
            </w:r>
          </w:p>
        </w:tc>
        <w:tc>
          <w:tcPr>
            <w:tcW w:type="dxa" w:w="1063"/>
          </w:tcPr>
          <w:p>
            <w:pPr>
              <w:spacing w:line="264" w:lineRule="auto" w:after="0"/>
            </w:pPr>
            <w:r/>
            <w:r>
              <w:rPr>
                <w:rFonts w:ascii="Times New Roman" w:hAnsi="Times New Roman" w:cs="Times New Roman" w:eastAsia="宋体"/>
                <w:b w:val="0"/>
                <w:sz w:val="21"/>
              </w:rPr>
              <w:t>已核实（仅 2022 约 $60亿；无分红）</w:t>
            </w:r>
          </w:p>
        </w:tc>
      </w:tr>
      <w:tr>
        <w:tc>
          <w:tcPr>
            <w:tcW w:type="dxa" w:w="1063"/>
          </w:tcPr>
          <w:p>
            <w:pPr>
              <w:spacing w:line="264" w:lineRule="auto" w:after="0"/>
            </w:pPr>
            <w:r/>
            <w:r>
              <w:rPr>
                <w:rFonts w:ascii="Times New Roman" w:hAnsi="Times New Roman" w:cs="Times New Roman" w:eastAsia="宋体"/>
                <w:b/>
                <w:sz w:val="21"/>
              </w:rPr>
              <w:t>特斯拉</w:t>
            </w:r>
            <w:r>
              <w:rPr>
                <w:rFonts w:ascii="Times New Roman" w:hAnsi="Times New Roman" w:cs="Times New Roman" w:eastAsia="宋体"/>
                <w:b w:val="0"/>
                <w:sz w:val="21"/>
              </w:rPr>
              <w:t>（日历年）</w:t>
            </w:r>
          </w:p>
        </w:tc>
        <w:tc>
          <w:tcPr>
            <w:tcW w:type="dxa" w:w="1063"/>
          </w:tcPr>
          <w:p>
            <w:pPr>
              <w:spacing w:line="264" w:lineRule="auto" w:after="0"/>
            </w:pPr>
            <w:r/>
            <w:r>
              <w:rPr>
                <w:rFonts w:ascii="Times New Roman" w:hAnsi="Times New Roman" w:cs="Times New Roman" w:eastAsia="宋体"/>
                <w:b w:val="0"/>
                <w:sz w:val="21"/>
              </w:rPr>
              <w:t>0</w:t>
            </w:r>
          </w:p>
        </w:tc>
        <w:tc>
          <w:tcPr>
            <w:tcW w:type="dxa" w:w="1063"/>
          </w:tcPr>
          <w:p>
            <w:pPr>
              <w:spacing w:line="264" w:lineRule="auto" w:after="0"/>
            </w:pPr>
            <w:r/>
            <w:r>
              <w:rPr>
                <w:rFonts w:ascii="Times New Roman" w:hAnsi="Times New Roman" w:cs="Times New Roman" w:eastAsia="宋体"/>
                <w:b w:val="0"/>
                <w:sz w:val="21"/>
              </w:rPr>
              <w:t>0</w:t>
            </w:r>
          </w:p>
        </w:tc>
        <w:tc>
          <w:tcPr>
            <w:tcW w:type="dxa" w:w="1063"/>
          </w:tcPr>
          <w:p>
            <w:pPr>
              <w:spacing w:line="264" w:lineRule="auto" w:after="0"/>
            </w:pPr>
            <w:r/>
            <w:r>
              <w:rPr>
                <w:rFonts w:ascii="Times New Roman" w:hAnsi="Times New Roman" w:cs="Times New Roman" w:eastAsia="宋体"/>
                <w:b w:val="0"/>
                <w:sz w:val="21"/>
              </w:rPr>
              <w:t>0</w:t>
            </w:r>
          </w:p>
        </w:tc>
        <w:tc>
          <w:tcPr>
            <w:tcW w:type="dxa" w:w="1063"/>
          </w:tcPr>
          <w:p>
            <w:pPr>
              <w:spacing w:line="264" w:lineRule="auto" w:after="0"/>
            </w:pPr>
            <w:r/>
            <w:r>
              <w:rPr>
                <w:rFonts w:ascii="Times New Roman" w:hAnsi="Times New Roman" w:cs="Times New Roman" w:eastAsia="宋体"/>
                <w:b w:val="0"/>
                <w:sz w:val="21"/>
              </w:rPr>
              <w:t>0</w:t>
            </w:r>
          </w:p>
        </w:tc>
        <w:tc>
          <w:tcPr>
            <w:tcW w:type="dxa" w:w="1063"/>
          </w:tcPr>
          <w:p>
            <w:pPr>
              <w:spacing w:line="264" w:lineRule="auto" w:after="0"/>
            </w:pPr>
            <w:r/>
            <w:r>
              <w:rPr>
                <w:rFonts w:ascii="Times New Roman" w:hAnsi="Times New Roman" w:cs="Times New Roman" w:eastAsia="宋体"/>
                <w:b w:val="0"/>
                <w:sz w:val="21"/>
              </w:rPr>
              <w:t>0</w:t>
            </w:r>
          </w:p>
        </w:tc>
        <w:tc>
          <w:tcPr>
            <w:tcW w:type="dxa" w:w="1063"/>
          </w:tcPr>
          <w:p>
            <w:pPr>
              <w:spacing w:line="264" w:lineRule="auto" w:after="0"/>
            </w:pPr>
            <w:r/>
            <w:r>
              <w:rPr>
                <w:rFonts w:ascii="Times New Roman" w:hAnsi="Times New Roman" w:cs="Times New Roman" w:eastAsia="宋体"/>
                <w:b w:val="0"/>
                <w:sz w:val="21"/>
              </w:rPr>
              <w:t>0</w:t>
            </w:r>
          </w:p>
        </w:tc>
        <w:tc>
          <w:tcPr>
            <w:tcW w:type="dxa" w:w="1063"/>
          </w:tcPr>
          <w:p>
            <w:pPr>
              <w:spacing w:line="264" w:lineRule="auto" w:after="0"/>
            </w:pPr>
            <w:r/>
            <w:r>
              <w:rPr>
                <w:rFonts w:ascii="Times New Roman" w:hAnsi="Times New Roman" w:cs="Times New Roman" w:eastAsia="宋体"/>
                <w:b w:val="0"/>
                <w:sz w:val="21"/>
              </w:rPr>
              <w:t>无回购</w:t>
            </w:r>
          </w:p>
        </w:tc>
      </w:tr>
    </w:tbl>
    <w:p>
      <w:pPr>
        <w:spacing w:after="40"/>
      </w:pPr>
    </w:p>
    <w:p>
      <w:pPr>
        <w:spacing w:line="360" w:lineRule="auto" w:after="40"/>
        <w:ind w:left="420"/>
      </w:pPr>
      <w:r>
        <w:rPr>
          <w:rFonts w:ascii="Times New Roman" w:hAnsi="Times New Roman" w:cs="Times New Roman" w:eastAsia="宋体"/>
          <w:b w:val="0"/>
          <w:sz w:val="24"/>
        </w:rPr>
        <w:t xml:space="preserve">备注：① </w:t>
      </w:r>
      <w:r>
        <w:rPr>
          <w:rFonts w:ascii="Times New Roman" w:hAnsi="Times New Roman" w:cs="Times New Roman" w:eastAsia="宋体"/>
          <w:b/>
          <w:sz w:val="24"/>
        </w:rPr>
        <w:t>Alphabet</w:t>
      </w:r>
      <w:r>
        <w:rPr>
          <w:rFonts w:ascii="Times New Roman" w:hAnsi="Times New Roman" w:cs="Times New Roman" w:eastAsia="宋体"/>
          <w:b w:val="0"/>
          <w:sz w:val="24"/>
        </w:rPr>
        <w:t xml:space="preserve"> 数为权益变动表"Repurchases of stock"合计（含留存收益分摊部分），与现金流口径或有小幅时点差异。② </w:t>
      </w:r>
      <w:r>
        <w:rPr>
          <w:rFonts w:ascii="Times New Roman" w:hAnsi="Times New Roman" w:cs="Times New Roman" w:eastAsia="宋体"/>
          <w:b/>
          <w:sz w:val="24"/>
        </w:rPr>
        <w:t>英伟达</w:t>
      </w:r>
      <w:r>
        <w:rPr>
          <w:rFonts w:ascii="Times New Roman" w:hAnsi="Times New Roman" w:cs="Times New Roman" w:eastAsia="宋体"/>
          <w:b w:val="0"/>
          <w:sz w:val="24"/>
        </w:rPr>
        <w:t xml:space="preserve"> 2020–2022 回购暂停——据 FY2022 10-K"Capital Return Program"：2004 年以来累计回购约 10.4 亿股、$7.08B（主要发生在更早年份），2022 年初起恢复。③ </w:t>
      </w:r>
      <w:r>
        <w:rPr>
          <w:rFonts w:ascii="Times New Roman" w:hAnsi="Times New Roman" w:cs="Times New Roman" w:eastAsia="宋体"/>
          <w:b/>
          <w:sz w:val="24"/>
        </w:rPr>
        <w:t>亚马逊</w:t>
      </w:r>
      <w:r>
        <w:rPr>
          <w:rFonts w:ascii="Times New Roman" w:hAnsi="Times New Roman" w:cs="Times New Roman" w:eastAsia="宋体"/>
          <w:b w:val="0"/>
          <w:sz w:val="24"/>
        </w:rPr>
        <w:t xml:space="preserve"> 仅 2022 年回购约 $60亿（$100亿授权下），其余年份及分红均为 0。④ </w:t>
      </w:r>
      <w:r>
        <w:rPr>
          <w:rFonts w:ascii="Times New Roman" w:hAnsi="Times New Roman" w:cs="Times New Roman" w:eastAsia="宋体"/>
          <w:b/>
          <w:sz w:val="24"/>
        </w:rPr>
        <w:t>微软</w:t>
      </w:r>
      <w:r>
        <w:rPr>
          <w:rFonts w:ascii="Times New Roman" w:hAnsi="Times New Roman" w:cs="Times New Roman" w:eastAsia="宋体"/>
          <w:b w:val="0"/>
          <w:sz w:val="24"/>
        </w:rPr>
        <w:t xml:space="preserve"> 在权益变动表把回购拆成两行（冲减 paid-in capital + 冲减 retained earnings），</w:t>
      </w:r>
      <w:r>
        <w:rPr>
          <w:rFonts w:ascii="Times New Roman" w:hAnsi="Times New Roman" w:cs="Times New Roman" w:eastAsia="宋体"/>
          <w:b/>
          <w:sz w:val="24"/>
        </w:rPr>
        <w:t>总额 = 两行相加</w:t>
      </w:r>
      <w:r>
        <w:rPr>
          <w:rFonts w:ascii="Times New Roman" w:hAnsi="Times New Roman" w:cs="Times New Roman" w:eastAsia="宋体"/>
          <w:b w:val="0"/>
          <w:sz w:val="24"/>
        </w:rPr>
        <w:t xml:space="preserve">（均一手10-K）：FY2020 = 4,599+18,382 = </w:t>
      </w:r>
      <w:r>
        <w:rPr>
          <w:rFonts w:ascii="Times New Roman" w:hAnsi="Times New Roman" w:cs="Times New Roman" w:eastAsia="宋体"/>
          <w:b/>
          <w:sz w:val="24"/>
        </w:rPr>
        <w:t>22,981</w:t>
      </w:r>
      <w:r>
        <w:rPr>
          <w:rFonts w:ascii="Times New Roman" w:hAnsi="Times New Roman" w:cs="Times New Roman" w:eastAsia="宋体"/>
          <w:b w:val="0"/>
          <w:sz w:val="24"/>
        </w:rPr>
        <w:t xml:space="preserve">、FY2021 = 5,539+21,879 = </w:t>
      </w:r>
      <w:r>
        <w:rPr>
          <w:rFonts w:ascii="Times New Roman" w:hAnsi="Times New Roman" w:cs="Times New Roman" w:eastAsia="宋体"/>
          <w:b/>
          <w:sz w:val="24"/>
        </w:rPr>
        <w:t>27,418</w:t>
      </w:r>
      <w:r>
        <w:rPr>
          <w:rFonts w:ascii="Times New Roman" w:hAnsi="Times New Roman" w:cs="Times New Roman" w:eastAsia="宋体"/>
          <w:b w:val="0"/>
          <w:sz w:val="24"/>
        </w:rPr>
        <w:t xml:space="preserve">、FY2022 = 5,688+26,960 = </w:t>
      </w:r>
      <w:r>
        <w:rPr>
          <w:rFonts w:ascii="Times New Roman" w:hAnsi="Times New Roman" w:cs="Times New Roman" w:eastAsia="宋体"/>
          <w:b/>
          <w:sz w:val="24"/>
        </w:rPr>
        <w:t>32,648</w:t>
      </w:r>
      <w:r>
        <w:rPr>
          <w:rFonts w:ascii="Times New Roman" w:hAnsi="Times New Roman" w:cs="Times New Roman" w:eastAsia="宋体"/>
          <w:b w:val="0"/>
          <w:sz w:val="24"/>
        </w:rPr>
        <w:t xml:space="preserve">、FY2023 = 4,696+17,568 = </w:t>
      </w:r>
      <w:r>
        <w:rPr>
          <w:rFonts w:ascii="Times New Roman" w:hAnsi="Times New Roman" w:cs="Times New Roman" w:eastAsia="宋体"/>
          <w:b/>
          <w:sz w:val="24"/>
        </w:rPr>
        <w:t>22,264</w:t>
      </w:r>
      <w:r>
        <w:rPr>
          <w:rFonts w:ascii="Times New Roman" w:hAnsi="Times New Roman" w:cs="Times New Roman" w:eastAsia="宋体"/>
          <w:b w:val="0"/>
          <w:sz w:val="24"/>
        </w:rPr>
        <w:t xml:space="preserve">、FY2024 = 5,712+11,547 = </w:t>
      </w:r>
      <w:r>
        <w:rPr>
          <w:rFonts w:ascii="Times New Roman" w:hAnsi="Times New Roman" w:cs="Times New Roman" w:eastAsia="宋体"/>
          <w:b/>
          <w:sz w:val="24"/>
        </w:rPr>
        <w:t>17,259</w:t>
      </w:r>
      <w:r>
        <w:rPr>
          <w:rFonts w:ascii="Times New Roman" w:hAnsi="Times New Roman" w:cs="Times New Roman" w:eastAsia="宋体"/>
          <w:b w:val="0"/>
          <w:sz w:val="24"/>
        </w:rPr>
        <w:t xml:space="preserve">、FY2025 = 5,856+12,568 = </w:t>
      </w:r>
      <w:r>
        <w:rPr>
          <w:rFonts w:ascii="Times New Roman" w:hAnsi="Times New Roman" w:cs="Times New Roman" w:eastAsia="宋体"/>
          <w:b/>
          <w:sz w:val="24"/>
        </w:rPr>
        <w:t>18,424</w:t>
      </w:r>
      <w:r>
        <w:rPr>
          <w:rFonts w:ascii="Times New Roman" w:hAnsi="Times New Roman" w:cs="Times New Roman" w:eastAsia="宋体"/>
          <w:b w:val="0"/>
          <w:sz w:val="24"/>
        </w:rPr>
        <w:t>。</w:t>
      </w:r>
    </w:p>
    <w:p>
      <w:pPr>
        <w:pBdr>
          <w:bottom w:val="single" w:sz="6" w:space="1" w:color="AAAAAA"/>
        </w:pBdr>
        <w:spacing w:after="80"/>
      </w:pPr>
    </w:p>
    <w:p>
      <w:pPr>
        <w:spacing w:before="240" w:after="120" w:line="360" w:lineRule="auto"/>
      </w:pPr>
      <w:r>
        <w:rPr>
          <w:rFonts w:ascii="Times New Roman" w:hAnsi="Times New Roman" w:cs="Times New Roman" w:eastAsia="黑体"/>
          <w:b/>
          <w:sz w:val="32"/>
        </w:rPr>
        <w:t>五、超算 / 算力能力</w:t>
      </w:r>
    </w:p>
    <w:p>
      <w:pPr>
        <w:spacing w:line="360" w:lineRule="auto" w:after="40"/>
        <w:ind w:left="420"/>
      </w:pPr>
      <w:r>
        <w:rPr>
          <w:rFonts w:ascii="Times New Roman" w:hAnsi="Times New Roman" w:cs="Times New Roman" w:eastAsia="宋体"/>
          <w:b w:val="0"/>
          <w:sz w:val="24"/>
        </w:rPr>
        <w:t>口径：各公司公开宣布的旗舰AI超级计算集群与算力规模。</w:t>
      </w:r>
      <w:r>
        <w:rPr>
          <w:rFonts w:ascii="Times New Roman" w:hAnsi="Times New Roman" w:cs="Times New Roman" w:eastAsia="宋体"/>
          <w:b/>
          <w:sz w:val="24"/>
        </w:rPr>
        <w:t>核实说明（勿读为全节已核实）</w:t>
      </w:r>
      <w:r>
        <w:rPr>
          <w:rFonts w:ascii="Times New Roman" w:hAnsi="Times New Roman" w:cs="Times New Roman" w:eastAsia="宋体"/>
          <w:b w:val="0"/>
          <w:sz w:val="24"/>
        </w:rPr>
        <w:t>：事件性事实与 Top500 数据已核实；</w:t>
      </w:r>
      <w:r>
        <w:rPr>
          <w:rFonts w:ascii="Times New Roman" w:hAnsi="Times New Roman" w:cs="Times New Roman" w:eastAsia="宋体"/>
          <w:b/>
          <w:sz w:val="24"/>
        </w:rPr>
        <w:t>GPU/芯片数量、算力 PFLOPS、未来 GW 规划中有相当一部分为媒体报道或公司前瞻，已逐条标【来源待核实】</w:t>
      </w:r>
      <w:r>
        <w:rPr>
          <w:rFonts w:ascii="Times New Roman" w:hAnsi="Times New Roman" w:cs="Times New Roman" w:eastAsia="宋体"/>
          <w:b w:val="0"/>
          <w:sz w:val="24"/>
        </w:rPr>
        <w:t>。链接已就地附在各小节。逐字英文需打开链接确认（本助手无法抓取网页）。</w:t>
      </w:r>
    </w:p>
    <w:p>
      <w:pPr>
        <w:spacing w:line="360" w:lineRule="auto" w:after="40"/>
        <w:ind w:left="420"/>
      </w:pPr>
      <w:r>
        <w:rPr>
          <w:rFonts w:ascii="Times New Roman" w:hAnsi="Times New Roman" w:cs="Times New Roman" w:eastAsia="宋体"/>
          <w:b w:val="0"/>
          <w:sz w:val="24"/>
        </w:rPr>
        <w:t xml:space="preserve">⚠️ </w:t>
      </w:r>
      <w:r>
        <w:rPr>
          <w:rFonts w:ascii="Times New Roman" w:hAnsi="Times New Roman" w:cs="Times New Roman" w:eastAsia="宋体"/>
          <w:b/>
          <w:sz w:val="24"/>
        </w:rPr>
        <w:t>算力口径不可直接横向比较</w:t>
      </w:r>
      <w:r>
        <w:rPr>
          <w:rFonts w:ascii="Times New Roman" w:hAnsi="Times New Roman" w:cs="Times New Roman" w:eastAsia="宋体"/>
          <w:b w:val="0"/>
          <w:sz w:val="24"/>
        </w:rPr>
        <w:t xml:space="preserve">：本节混用 </w:t>
      </w:r>
      <w:r>
        <w:rPr>
          <w:rFonts w:ascii="Times New Roman" w:hAnsi="Times New Roman" w:cs="Times New Roman" w:eastAsia="宋体"/>
          <w:b/>
          <w:sz w:val="24"/>
        </w:rPr>
        <w:t>HPL PFLOPS（FP64/Linpack 基准）</w:t>
      </w:r>
      <w:r>
        <w:rPr>
          <w:rFonts w:ascii="Times New Roman" w:hAnsi="Times New Roman" w:cs="Times New Roman" w:eastAsia="宋体"/>
          <w:b w:val="0"/>
          <w:sz w:val="24"/>
        </w:rPr>
        <w:t>、</w:t>
      </w:r>
      <w:r>
        <w:rPr>
          <w:rFonts w:ascii="Times New Roman" w:hAnsi="Times New Roman" w:cs="Times New Roman" w:eastAsia="宋体"/>
          <w:b/>
          <w:sz w:val="24"/>
        </w:rPr>
        <w:t>FP8 ExaFLOPS（AI 训练/推理峰值）</w:t>
      </w:r>
      <w:r>
        <w:rPr>
          <w:rFonts w:ascii="Times New Roman" w:hAnsi="Times New Roman" w:cs="Times New Roman" w:eastAsia="宋体"/>
          <w:b w:val="0"/>
          <w:sz w:val="24"/>
        </w:rPr>
        <w:t>、</w:t>
      </w:r>
      <w:r>
        <w:rPr>
          <w:rFonts w:ascii="Times New Roman" w:hAnsi="Times New Roman" w:cs="Times New Roman" w:eastAsia="宋体"/>
          <w:b/>
          <w:sz w:val="24"/>
        </w:rPr>
        <w:t>GPU/芯片张数</w:t>
      </w:r>
      <w:r>
        <w:rPr>
          <w:rFonts w:ascii="Times New Roman" w:hAnsi="Times New Roman" w:cs="Times New Roman" w:eastAsia="宋体"/>
          <w:b w:val="0"/>
          <w:sz w:val="24"/>
        </w:rPr>
        <w:t>、</w:t>
      </w:r>
      <w:r>
        <w:rPr>
          <w:rFonts w:ascii="Times New Roman" w:hAnsi="Times New Roman" w:cs="Times New Roman" w:eastAsia="宋体"/>
          <w:b/>
          <w:sz w:val="24"/>
        </w:rPr>
        <w:t>GW 功率</w:t>
      </w:r>
      <w:r>
        <w:rPr>
          <w:rFonts w:ascii="Times New Roman" w:hAnsi="Times New Roman" w:cs="Times New Roman" w:eastAsia="宋体"/>
          <w:b w:val="0"/>
          <w:sz w:val="24"/>
        </w:rPr>
        <w:t>——四者量纲不同，</w:t>
      </w:r>
      <w:r>
        <w:rPr>
          <w:rFonts w:ascii="Times New Roman" w:hAnsi="Times New Roman" w:cs="Times New Roman" w:eastAsia="宋体"/>
          <w:b/>
          <w:sz w:val="24"/>
        </w:rPr>
        <w:t>不能相加或直接比大小</w:t>
      </w:r>
      <w:r>
        <w:rPr>
          <w:rFonts w:ascii="Times New Roman" w:hAnsi="Times New Roman" w:cs="Times New Roman" w:eastAsia="宋体"/>
          <w:b w:val="0"/>
          <w:sz w:val="24"/>
        </w:rPr>
        <w:t>（例：FP8 峰值算力通常是 FP64 Linpack 的数十倍）。每个数字请连同其"</w:t>
      </w:r>
      <w:r>
        <w:rPr>
          <w:rFonts w:ascii="Times New Roman" w:hAnsi="Times New Roman" w:cs="Times New Roman" w:eastAsia="宋体"/>
          <w:b/>
          <w:sz w:val="24"/>
        </w:rPr>
        <w:t>精度 + 范围（单卡/单Pod/单集群/多站点）</w:t>
      </w:r>
      <w:r>
        <w:rPr>
          <w:rFonts w:ascii="Times New Roman" w:hAnsi="Times New Roman" w:cs="Times New Roman" w:eastAsia="宋体"/>
          <w:b w:val="0"/>
          <w:sz w:val="24"/>
        </w:rPr>
        <w:t>"一并理解。</w:t>
      </w:r>
    </w:p>
    <w:p>
      <w:pPr>
        <w:spacing w:before="160" w:after="120" w:line="360" w:lineRule="auto"/>
      </w:pPr>
      <w:r>
        <w:rPr>
          <w:rFonts w:ascii="Times New Roman" w:hAnsi="Times New Roman" w:cs="Times New Roman" w:eastAsia="黑体"/>
          <w:b/>
          <w:sz w:val="28"/>
        </w:rPr>
        <w:t>5.1 微软（与OpenAI）</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Eagle</w:t>
      </w:r>
      <w:r>
        <w:rPr>
          <w:rFonts w:ascii="Times New Roman" w:hAnsi="Times New Roman" w:cs="Times New Roman" w:eastAsia="宋体"/>
          <w:b w:val="0"/>
          <w:sz w:val="24"/>
        </w:rPr>
        <w:t>（Azure NDv5）：</w:t>
      </w:r>
      <w:r>
        <w:rPr>
          <w:rFonts w:ascii="Times New Roman" w:hAnsi="Times New Roman" w:cs="Times New Roman" w:eastAsia="宋体"/>
          <w:b/>
          <w:sz w:val="24"/>
        </w:rPr>
        <w:t>14,400张NVIDIA H100</w:t>
      </w:r>
      <w:r>
        <w:rPr>
          <w:rFonts w:ascii="Times New Roman" w:hAnsi="Times New Roman" w:cs="Times New Roman" w:eastAsia="宋体"/>
          <w:b w:val="0"/>
          <w:sz w:val="24"/>
        </w:rPr>
        <w:t xml:space="preserve">，HPL </w:t>
      </w:r>
      <w:r>
        <w:rPr>
          <w:rFonts w:ascii="Times New Roman" w:hAnsi="Times New Roman" w:cs="Times New Roman" w:eastAsia="宋体"/>
          <w:b/>
          <w:sz w:val="24"/>
        </w:rPr>
        <w:t>561.2 PFLOPS</w:t>
      </w:r>
      <w:r>
        <w:rPr>
          <w:rFonts w:ascii="Times New Roman" w:hAnsi="Times New Roman" w:cs="Times New Roman" w:eastAsia="宋体"/>
          <w:b w:val="0"/>
          <w:sz w:val="24"/>
        </w:rPr>
        <w:t>，2023/11首登Top500即列</w:t>
      </w:r>
      <w:r>
        <w:rPr>
          <w:rFonts w:ascii="Times New Roman" w:hAnsi="Times New Roman" w:cs="Times New Roman" w:eastAsia="宋体"/>
          <w:b/>
          <w:sz w:val="24"/>
        </w:rPr>
        <w:t>全球第3</w:t>
      </w:r>
      <w:r>
        <w:rPr>
          <w:rFonts w:ascii="Times New Roman" w:hAnsi="Times New Roman" w:cs="Times New Roman" w:eastAsia="宋体"/>
          <w:b w:val="0"/>
          <w:sz w:val="24"/>
        </w:rPr>
        <w:t>；2026/6榜单回落至</w:t>
      </w:r>
      <w:r>
        <w:rPr>
          <w:rFonts w:ascii="Times New Roman" w:hAnsi="Times New Roman" w:cs="Times New Roman" w:eastAsia="宋体"/>
          <w:b/>
          <w:sz w:val="24"/>
        </w:rPr>
        <w:t>第7</w:t>
      </w:r>
      <w:r>
        <w:rPr>
          <w:rFonts w:ascii="Times New Roman" w:hAnsi="Times New Roman" w:cs="Times New Roman" w:eastAsia="宋体"/>
          <w:b w:val="0"/>
          <w:sz w:val="24"/>
        </w:rPr>
        <w:t>。</w:t>
      </w:r>
      <w:r>
        <w:rPr>
          <w:rFonts w:ascii="Times New Roman" w:hAnsi="Times New Roman" w:cs="Times New Roman" w:eastAsia="宋体"/>
          <w:b/>
          <w:sz w:val="24"/>
        </w:rPr>
        <w:t>【已核实——Top500官方】</w:t>
      </w:r>
      <w:r>
        <w:rPr>
          <w:rFonts w:ascii="Times New Roman" w:hAnsi="Times New Roman" w:cs="Times New Roman" w:eastAsia="宋体"/>
          <w:b w:val="0"/>
          <w:sz w:val="24"/>
        </w:rPr>
        <w:t xml:space="preserve"> 来源：</w:t>
      </w:r>
      <w:hyperlink r:id="rId55">
        <w:r>
          <w:rPr>
            <w:rFonts w:ascii="Times New Roman" w:hAnsi="Times New Roman" w:eastAsia="宋体"/>
            <w:color w:val="0563C1"/>
            <w:u w:val="single"/>
            <w:sz w:val="24"/>
          </w:rPr>
          <w:t xml:space="preserve">Top500 Eagle 系统页</w:t>
        </w:r>
      </w:hyperlink>
      <w:r>
        <w:rPr>
          <w:rFonts w:ascii="Times New Roman" w:hAnsi="Times New Roman" w:cs="Times New Roman" w:eastAsia="宋体"/>
          <w:b w:val="0"/>
          <w:sz w:val="24"/>
        </w:rPr>
        <w:t>、</w:t>
      </w:r>
      <w:hyperlink r:id="rId56">
        <w:r>
          <w:rPr>
            <w:rFonts w:ascii="Times New Roman" w:hAnsi="Times New Roman" w:eastAsia="宋体"/>
            <w:color w:val="0563C1"/>
            <w:u w:val="single"/>
            <w:sz w:val="24"/>
          </w:rPr>
          <w:t xml:space="preserve">The New Stack</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2020年为OpenAI建成首台AI超算（训练GPT-3）；2022年交付更大系统训练GPT-4。</w:t>
      </w:r>
      <w:r>
        <w:rPr>
          <w:rFonts w:ascii="Times New Roman" w:hAnsi="Times New Roman" w:cs="Times New Roman" w:eastAsia="宋体"/>
          <w:b/>
          <w:sz w:val="24"/>
        </w:rPr>
        <w:t>【已核实方向】</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Eagle发布半年后，微软称"每月部署相当于5台Eagle"（约每月7.2万张H100当量）。</w:t>
      </w:r>
      <w:r>
        <w:rPr>
          <w:rFonts w:ascii="Times New Roman" w:hAnsi="Times New Roman" w:cs="Times New Roman" w:eastAsia="宋体"/>
          <w:b/>
          <w:sz w:val="24"/>
        </w:rPr>
        <w:t>【来源待核实——公司口径媒体报道】</w:t>
      </w:r>
      <w:r>
        <w:rPr>
          <w:rFonts w:ascii="Times New Roman" w:hAnsi="Times New Roman" w:cs="Times New Roman" w:eastAsia="宋体"/>
          <w:b w:val="0"/>
          <w:sz w:val="24"/>
        </w:rPr>
        <w:t xml:space="preserve"> 来源：</w:t>
      </w:r>
      <w:hyperlink r:id="rId57">
        <w:r>
          <w:rPr>
            <w:rFonts w:ascii="Times New Roman" w:hAnsi="Times New Roman" w:eastAsia="宋体"/>
            <w:color w:val="0563C1"/>
            <w:u w:val="single"/>
            <w:sz w:val="24"/>
          </w:rPr>
          <w:t xml:space="preserve">DataCenterDynamics</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Fairwater AI"超级工厂"</w:t>
      </w:r>
      <w:r>
        <w:rPr>
          <w:rFonts w:ascii="Times New Roman" w:hAnsi="Times New Roman" w:cs="Times New Roman" w:eastAsia="宋体"/>
          <w:b w:val="0"/>
          <w:sz w:val="24"/>
        </w:rPr>
        <w:t xml:space="preserve">：威斯康星站（2025/9 公布，315 英亩/3 栋/120 万平方英尺，投资 $73 亿，微软称"全球最强 AI 数据中心"）+ 亚特兰大站（2025/10 上线），两站经专用"AI WAN"互联为分布式超算；采用 </w:t>
      </w:r>
      <w:r>
        <w:rPr>
          <w:rFonts w:ascii="Times New Roman" w:hAnsi="Times New Roman" w:cs="Times New Roman" w:eastAsia="宋体"/>
          <w:b/>
          <w:sz w:val="24"/>
        </w:rPr>
        <w:t>NVIDIA GB200 NVL72</w:t>
      </w:r>
      <w:r>
        <w:rPr>
          <w:rFonts w:ascii="Times New Roman" w:hAnsi="Times New Roman" w:cs="Times New Roman" w:eastAsia="宋体"/>
          <w:b w:val="0"/>
          <w:sz w:val="24"/>
        </w:rPr>
        <w:t xml:space="preserve"> 机架（每机架 72 张 Blackwell，可扩展至</w:t>
      </w:r>
      <w:r>
        <w:rPr>
          <w:rFonts w:ascii="Times New Roman" w:hAnsi="Times New Roman" w:cs="Times New Roman" w:eastAsia="宋体"/>
          <w:b/>
          <w:sz w:val="24"/>
        </w:rPr>
        <w:t>数十万张 Blackwell GPU</w:t>
      </w:r>
      <w:r>
        <w:rPr>
          <w:rFonts w:ascii="Times New Roman" w:hAnsi="Times New Roman" w:cs="Times New Roman" w:eastAsia="宋体"/>
          <w:b w:val="0"/>
          <w:sz w:val="24"/>
        </w:rPr>
        <w:t xml:space="preserve">），多站点合计约 </w:t>
      </w:r>
      <w:r>
        <w:rPr>
          <w:rFonts w:ascii="Times New Roman" w:hAnsi="Times New Roman" w:cs="Times New Roman" w:eastAsia="宋体"/>
          <w:b/>
          <w:sz w:val="24"/>
        </w:rPr>
        <w:t>2GW</w:t>
      </w:r>
      <w:r>
        <w:rPr>
          <w:rFonts w:ascii="Times New Roman" w:hAnsi="Times New Roman" w:cs="Times New Roman" w:eastAsia="宋体"/>
          <w:b w:val="0"/>
          <w:sz w:val="24"/>
        </w:rPr>
        <w:t>。</w:t>
      </w:r>
      <w:r>
        <w:rPr>
          <w:rFonts w:ascii="Times New Roman" w:hAnsi="Times New Roman" w:cs="Times New Roman" w:eastAsia="宋体"/>
          <w:b/>
          <w:sz w:val="24"/>
        </w:rPr>
        <w:t>【已核实——微软官方博客/新闻】</w:t>
      </w:r>
      <w:r>
        <w:rPr>
          <w:rFonts w:ascii="Times New Roman" w:hAnsi="Times New Roman" w:cs="Times New Roman" w:eastAsia="宋体"/>
          <w:b w:val="0"/>
          <w:sz w:val="24"/>
        </w:rPr>
        <w:t xml:space="preserve"> 来源：</w:t>
      </w:r>
      <w:hyperlink r:id="rId58">
        <w:r>
          <w:rPr>
            <w:rFonts w:ascii="Times New Roman" w:hAnsi="Times New Roman" w:eastAsia="宋体"/>
            <w:color w:val="0563C1"/>
            <w:u w:val="single"/>
            <w:sz w:val="24"/>
          </w:rPr>
          <w:t xml:space="preserve">Microsoft 官方博客（2025/9/18）</w:t>
        </w:r>
      </w:hyperlink>
      <w:r>
        <w:rPr>
          <w:rFonts w:ascii="Times New Roman" w:hAnsi="Times New Roman" w:cs="Times New Roman" w:eastAsia="宋体"/>
          <w:b w:val="0"/>
          <w:sz w:val="24"/>
        </w:rPr>
        <w:t>、</w:t>
      </w:r>
      <w:hyperlink r:id="rId59">
        <w:r>
          <w:rPr>
            <w:rFonts w:ascii="Times New Roman" w:hAnsi="Times New Roman" w:eastAsia="宋体"/>
            <w:color w:val="0563C1"/>
            <w:u w:val="single"/>
            <w:sz w:val="24"/>
          </w:rPr>
          <w:t xml:space="preserve">Microsoft News（AI superfactory）</w:t>
        </w:r>
      </w:hyperlink>
    </w:p>
    <w:p>
      <w:pPr>
        <w:spacing w:before="160" w:after="120" w:line="360" w:lineRule="auto"/>
      </w:pPr>
      <w:r>
        <w:rPr>
          <w:rFonts w:ascii="Times New Roman" w:hAnsi="Times New Roman" w:cs="Times New Roman" w:eastAsia="黑体"/>
          <w:b/>
          <w:sz w:val="28"/>
        </w:rPr>
        <w:t>5.2 Meta</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2023年公布</w:t>
      </w:r>
      <w:r>
        <w:rPr>
          <w:rFonts w:ascii="Times New Roman" w:hAnsi="Times New Roman" w:cs="Times New Roman" w:eastAsia="宋体"/>
          <w:b/>
          <w:sz w:val="24"/>
        </w:rPr>
        <w:t>两座各24,576张H100</w:t>
      </w:r>
      <w:r>
        <w:rPr>
          <w:rFonts w:ascii="Times New Roman" w:hAnsi="Times New Roman" w:cs="Times New Roman" w:eastAsia="宋体"/>
          <w:b w:val="0"/>
          <w:sz w:val="24"/>
        </w:rPr>
        <w:t>的集群（训练Llama 3）。</w:t>
      </w:r>
      <w:r>
        <w:rPr>
          <w:rFonts w:ascii="Times New Roman" w:hAnsi="Times New Roman" w:cs="Times New Roman" w:eastAsia="宋体"/>
          <w:b/>
          <w:sz w:val="24"/>
        </w:rPr>
        <w:t>【已核实】</w:t>
      </w:r>
      <w:r>
        <w:rPr>
          <w:rFonts w:ascii="Times New Roman" w:hAnsi="Times New Roman" w:cs="Times New Roman" w:eastAsia="宋体"/>
          <w:b w:val="0"/>
          <w:sz w:val="24"/>
        </w:rPr>
        <w:t xml:space="preserve"> 来源：</w:t>
      </w:r>
      <w:hyperlink r:id="rId60">
        <w:r>
          <w:rPr>
            <w:rFonts w:ascii="Times New Roman" w:hAnsi="Times New Roman" w:eastAsia="宋体"/>
            <w:color w:val="0563C1"/>
            <w:u w:val="single"/>
            <w:sz w:val="24"/>
          </w:rPr>
          <w:t xml:space="preserve">Engineering at Meta</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2024 年 Llama 4 训练于 </w:t>
      </w:r>
      <w:r>
        <w:rPr>
          <w:rFonts w:ascii="Times New Roman" w:hAnsi="Times New Roman" w:cs="Times New Roman" w:eastAsia="宋体"/>
          <w:b/>
          <w:sz w:val="24"/>
        </w:rPr>
        <w:t>10万+张 H100</w:t>
      </w:r>
      <w:r>
        <w:rPr>
          <w:rFonts w:ascii="Times New Roman" w:hAnsi="Times New Roman" w:cs="Times New Roman" w:eastAsia="宋体"/>
          <w:b w:val="0"/>
          <w:sz w:val="24"/>
        </w:rPr>
        <w:t xml:space="preserve"> 集群（扎克伯格 2024 Q3 电话会，约 150MW）</w:t>
      </w:r>
      <w:r>
        <w:rPr>
          <w:rFonts w:ascii="Times New Roman" w:hAnsi="Times New Roman" w:cs="Times New Roman" w:eastAsia="宋体"/>
          <w:b/>
          <w:sz w:val="24"/>
        </w:rPr>
        <w:t>【已核实——训练在进行中】</w:t>
      </w:r>
      <w:r>
        <w:rPr>
          <w:rFonts w:ascii="Times New Roman" w:hAnsi="Times New Roman" w:cs="Times New Roman" w:eastAsia="宋体"/>
          <w:b w:val="0"/>
          <w:sz w:val="24"/>
        </w:rPr>
        <w:t>；另</w:t>
      </w:r>
      <w:r>
        <w:rPr>
          <w:rFonts w:ascii="Times New Roman" w:hAnsi="Times New Roman" w:cs="Times New Roman" w:eastAsia="宋体"/>
          <w:b/>
          <w:sz w:val="24"/>
        </w:rPr>
        <w:t>目标</w:t>
      </w:r>
      <w:r>
        <w:rPr>
          <w:rFonts w:ascii="Times New Roman" w:hAnsi="Times New Roman" w:cs="Times New Roman" w:eastAsia="宋体"/>
          <w:b w:val="0"/>
          <w:sz w:val="24"/>
        </w:rPr>
        <w:t xml:space="preserve">至 2024 年底达 </w:t>
      </w:r>
      <w:r>
        <w:rPr>
          <w:rFonts w:ascii="Times New Roman" w:hAnsi="Times New Roman" w:cs="Times New Roman" w:eastAsia="宋体"/>
          <w:b/>
          <w:sz w:val="24"/>
        </w:rPr>
        <w:t>35 万张 H100</w:t>
      </w:r>
      <w:r>
        <w:rPr>
          <w:rFonts w:ascii="Times New Roman" w:hAnsi="Times New Roman" w:cs="Times New Roman" w:eastAsia="宋体"/>
          <w:b w:val="0"/>
          <w:sz w:val="24"/>
        </w:rPr>
        <w:t xml:space="preserve">、含其他 GPU 约 </w:t>
      </w:r>
      <w:r>
        <w:rPr>
          <w:rFonts w:ascii="Times New Roman" w:hAnsi="Times New Roman" w:cs="Times New Roman" w:eastAsia="宋体"/>
          <w:b/>
          <w:sz w:val="24"/>
        </w:rPr>
        <w:t>60 万张 H100 当量</w:t>
      </w:r>
      <w:r>
        <w:rPr>
          <w:rFonts w:ascii="Times New Roman" w:hAnsi="Times New Roman" w:cs="Times New Roman" w:eastAsia="宋体"/>
          <w:b w:val="0"/>
          <w:sz w:val="24"/>
        </w:rPr>
        <w:t>——</w:t>
      </w:r>
      <w:r>
        <w:rPr>
          <w:rFonts w:ascii="Times New Roman" w:hAnsi="Times New Roman" w:cs="Times New Roman" w:eastAsia="宋体"/>
          <w:b/>
          <w:sz w:val="24"/>
        </w:rPr>
        <w:t>【标注更正：此为扎克伯格公开表态的目标值；到年底"实际部署量"未经独立证实，目标 ≠ 落地】</w:t>
      </w:r>
      <w:r>
        <w:rPr>
          <w:rFonts w:ascii="Times New Roman" w:hAnsi="Times New Roman" w:cs="Times New Roman" w:eastAsia="宋体"/>
          <w:b w:val="0"/>
          <w:sz w:val="24"/>
        </w:rPr>
        <w:t>。来源：</w:t>
      </w:r>
      <w:hyperlink r:id="rId61">
        <w:r>
          <w:rPr>
            <w:rFonts w:ascii="Times New Roman" w:hAnsi="Times New Roman" w:eastAsia="宋体"/>
            <w:color w:val="0563C1"/>
            <w:u w:val="single"/>
            <w:sz w:val="24"/>
          </w:rPr>
          <w:t xml:space="preserve">Tom's Hardware（&gt;100k H100 训 Llama 4）</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Prometheus</w:t>
      </w:r>
      <w:r>
        <w:rPr>
          <w:rFonts w:ascii="Times New Roman" w:hAnsi="Times New Roman" w:cs="Times New Roman" w:eastAsia="宋体"/>
          <w:b w:val="0"/>
          <w:sz w:val="24"/>
        </w:rPr>
        <w:t>：</w:t>
      </w:r>
      <w:r>
        <w:rPr>
          <w:rFonts w:ascii="Times New Roman" w:hAnsi="Times New Roman" w:cs="Times New Roman" w:eastAsia="宋体"/>
          <w:b/>
          <w:sz w:val="24"/>
        </w:rPr>
        <w:t>1GW+</w:t>
      </w:r>
      <w:r>
        <w:rPr>
          <w:rFonts w:ascii="Times New Roman" w:hAnsi="Times New Roman" w:cs="Times New Roman" w:eastAsia="宋体"/>
          <w:b w:val="0"/>
          <w:sz w:val="24"/>
        </w:rPr>
        <w:t xml:space="preserve"> AI超级集群，号称"全球首座1GW+"，约2026年上线。</w:t>
      </w:r>
      <w:r>
        <w:rPr>
          <w:rFonts w:ascii="Times New Roman" w:hAnsi="Times New Roman" w:cs="Times New Roman" w:eastAsia="宋体"/>
          <w:b/>
          <w:sz w:val="24"/>
        </w:rPr>
        <w:t>【公司已公布1GW+；"约130万H100"为媒体推算，待核实】</w:t>
      </w:r>
      <w:r>
        <w:rPr>
          <w:rFonts w:ascii="Times New Roman" w:hAnsi="Times New Roman" w:cs="Times New Roman" w:eastAsia="宋体"/>
          <w:b w:val="0"/>
          <w:sz w:val="24"/>
        </w:rPr>
        <w:t xml:space="preserve"> 来源：</w:t>
      </w:r>
      <w:hyperlink r:id="rId62">
        <w:r>
          <w:rPr>
            <w:rFonts w:ascii="Times New Roman" w:hAnsi="Times New Roman" w:eastAsia="宋体"/>
            <w:color w:val="0563C1"/>
            <w:u w:val="single"/>
            <w:sz w:val="24"/>
          </w:rPr>
          <w:t xml:space="preserve">adwaitx 分析</w:t>
        </w:r>
      </w:hyperlink>
      <w:r>
        <w:rPr>
          <w:rFonts w:ascii="Times New Roman" w:hAnsi="Times New Roman" w:cs="Times New Roman" w:eastAsia="宋体"/>
          <w:b w:val="0"/>
          <w:sz w:val="24"/>
        </w:rPr>
        <w:t>、</w:t>
      </w:r>
      <w:hyperlink r:id="rId63">
        <w:r>
          <w:rPr>
            <w:rFonts w:ascii="Times New Roman" w:hAnsi="Times New Roman" w:eastAsia="宋体"/>
            <w:color w:val="0563C1"/>
            <w:u w:val="single"/>
            <w:sz w:val="24"/>
          </w:rPr>
          <w:t xml:space="preserve">DataCenterDynamics（多GW集群）</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Hyperion</w:t>
      </w:r>
      <w:r>
        <w:rPr>
          <w:rFonts w:ascii="Times New Roman" w:hAnsi="Times New Roman" w:cs="Times New Roman" w:eastAsia="宋体"/>
          <w:b w:val="0"/>
          <w:sz w:val="24"/>
        </w:rPr>
        <w:t>：规划逐步扩至约</w:t>
      </w:r>
      <w:r>
        <w:rPr>
          <w:rFonts w:ascii="Times New Roman" w:hAnsi="Times New Roman" w:cs="Times New Roman" w:eastAsia="宋体"/>
          <w:b/>
          <w:sz w:val="24"/>
        </w:rPr>
        <w:t>5GW</w:t>
      </w:r>
      <w:r>
        <w:rPr>
          <w:rFonts w:ascii="Times New Roman" w:hAnsi="Times New Roman" w:cs="Times New Roman" w:eastAsia="宋体"/>
          <w:b w:val="0"/>
          <w:sz w:val="24"/>
        </w:rPr>
        <w:t>（路易斯安那，2028年起）。</w:t>
      </w:r>
      <w:r>
        <w:rPr>
          <w:rFonts w:ascii="Times New Roman" w:hAnsi="Times New Roman" w:cs="Times New Roman" w:eastAsia="宋体"/>
          <w:b/>
          <w:sz w:val="24"/>
        </w:rPr>
        <w:t>【已核实——公司公布】</w:t>
      </w:r>
      <w:r>
        <w:rPr>
          <w:rFonts w:ascii="Times New Roman" w:hAnsi="Times New Roman" w:cs="Times New Roman" w:eastAsia="宋体"/>
          <w:b w:val="0"/>
          <w:sz w:val="24"/>
        </w:rPr>
        <w:t xml:space="preserve"> 来源：同上 DataCenterDynamics。</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单机架Catalina约140kW、液冷。</w:t>
      </w:r>
      <w:r>
        <w:rPr>
          <w:rFonts w:ascii="Times New Roman" w:hAnsi="Times New Roman" w:cs="Times New Roman" w:eastAsia="宋体"/>
          <w:b/>
          <w:sz w:val="24"/>
        </w:rPr>
        <w:t>【来源待核实】</w:t>
      </w:r>
    </w:p>
    <w:p>
      <w:pPr>
        <w:spacing w:before="160" w:after="120" w:line="360" w:lineRule="auto"/>
      </w:pPr>
      <w:r>
        <w:rPr>
          <w:rFonts w:ascii="Times New Roman" w:hAnsi="Times New Roman" w:cs="Times New Roman" w:eastAsia="黑体"/>
          <w:b/>
          <w:sz w:val="28"/>
        </w:rPr>
        <w:t>5.3 亚马逊/AWS</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Project Rainier</w:t>
      </w:r>
      <w:r>
        <w:rPr>
          <w:rFonts w:ascii="Times New Roman" w:hAnsi="Times New Roman" w:cs="Times New Roman" w:eastAsia="宋体"/>
          <w:b w:val="0"/>
          <w:sz w:val="24"/>
        </w:rPr>
        <w:t>：约</w:t>
      </w:r>
      <w:r>
        <w:rPr>
          <w:rFonts w:ascii="Times New Roman" w:hAnsi="Times New Roman" w:cs="Times New Roman" w:eastAsia="宋体"/>
          <w:b/>
          <w:sz w:val="24"/>
        </w:rPr>
        <w:t>50万张自研Trainium2芯片</w:t>
      </w:r>
      <w:r>
        <w:rPr>
          <w:rFonts w:ascii="Times New Roman" w:hAnsi="Times New Roman" w:cs="Times New Roman" w:eastAsia="宋体"/>
          <w:b w:val="0"/>
          <w:sz w:val="24"/>
        </w:rPr>
        <w:t>的EC2 UltraCluster，2025/10/29上线，供Anthropic训练Claude；提供较Anthropic上一代模型</w:t>
      </w:r>
      <w:r>
        <w:rPr>
          <w:rFonts w:ascii="Times New Roman" w:hAnsi="Times New Roman" w:cs="Times New Roman" w:eastAsia="宋体"/>
          <w:b/>
          <w:sz w:val="24"/>
        </w:rPr>
        <w:t>5倍+算力</w:t>
      </w:r>
      <w:r>
        <w:rPr>
          <w:rFonts w:ascii="Times New Roman" w:hAnsi="Times New Roman" w:cs="Times New Roman" w:eastAsia="宋体"/>
          <w:b w:val="0"/>
          <w:sz w:val="24"/>
        </w:rPr>
        <w:t>；计划2025年底扩至</w:t>
      </w:r>
      <w:r>
        <w:rPr>
          <w:rFonts w:ascii="Times New Roman" w:hAnsi="Times New Roman" w:cs="Times New Roman" w:eastAsia="宋体"/>
          <w:b/>
          <w:sz w:val="24"/>
        </w:rPr>
        <w:t>100万+张Trainium2</w:t>
      </w:r>
      <w:r>
        <w:rPr>
          <w:rFonts w:ascii="Times New Roman" w:hAnsi="Times New Roman" w:cs="Times New Roman" w:eastAsia="宋体"/>
          <w:b w:val="0"/>
          <w:sz w:val="24"/>
        </w:rPr>
        <w:t>。</w:t>
      </w:r>
      <w:r>
        <w:rPr>
          <w:rFonts w:ascii="Times New Roman" w:hAnsi="Times New Roman" w:cs="Times New Roman" w:eastAsia="宋体"/>
          <w:b/>
          <w:sz w:val="24"/>
        </w:rPr>
        <w:t>【已核实——AWS官方公告】</w:t>
      </w:r>
      <w:r>
        <w:rPr>
          <w:rFonts w:ascii="Times New Roman" w:hAnsi="Times New Roman" w:cs="Times New Roman" w:eastAsia="宋体"/>
          <w:b w:val="0"/>
          <w:sz w:val="24"/>
        </w:rPr>
        <w:t xml:space="preserve"> 来源：</w:t>
      </w:r>
      <w:hyperlink r:id="rId64">
        <w:r>
          <w:rPr>
            <w:rFonts w:ascii="Times New Roman" w:hAnsi="Times New Roman" w:eastAsia="宋体"/>
            <w:color w:val="0563C1"/>
            <w:u w:val="single"/>
            <w:sz w:val="24"/>
          </w:rPr>
          <w:t xml:space="preserve">AWS 官方</w:t>
        </w:r>
      </w:hyperlink>
      <w:r>
        <w:rPr>
          <w:rFonts w:ascii="Times New Roman" w:hAnsi="Times New Roman" w:cs="Times New Roman" w:eastAsia="宋体"/>
          <w:b w:val="0"/>
          <w:sz w:val="24"/>
        </w:rPr>
        <w:t>、</w:t>
      </w:r>
      <w:hyperlink r:id="rId65">
        <w:r>
          <w:rPr>
            <w:rFonts w:ascii="Times New Roman" w:hAnsi="Times New Roman" w:eastAsia="宋体"/>
            <w:color w:val="0563C1"/>
            <w:u w:val="single"/>
            <w:sz w:val="24"/>
          </w:rPr>
          <w:t xml:space="preserve">DataCenterDynamics</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自2024年起向Anthropic投资约$80亿。</w:t>
      </w:r>
      <w:r>
        <w:rPr>
          <w:rFonts w:ascii="Times New Roman" w:hAnsi="Times New Roman" w:cs="Times New Roman" w:eastAsia="宋体"/>
          <w:b/>
          <w:sz w:val="24"/>
        </w:rPr>
        <w:t>【已核实】</w:t>
      </w:r>
    </w:p>
    <w:p>
      <w:pPr>
        <w:spacing w:before="160" w:after="120" w:line="360" w:lineRule="auto"/>
      </w:pPr>
      <w:r>
        <w:rPr>
          <w:rFonts w:ascii="Times New Roman" w:hAnsi="Times New Roman" w:cs="Times New Roman" w:eastAsia="黑体"/>
          <w:b/>
          <w:sz w:val="28"/>
        </w:rPr>
        <w:t>5.4 Alphabet/谷歌</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自研</w:t>
      </w:r>
      <w:r>
        <w:rPr>
          <w:rFonts w:ascii="Times New Roman" w:hAnsi="Times New Roman" w:cs="Times New Roman" w:eastAsia="宋体"/>
          <w:b/>
          <w:sz w:val="24"/>
        </w:rPr>
        <w:t>TPU</w:t>
      </w:r>
      <w:r>
        <w:rPr>
          <w:rFonts w:ascii="Times New Roman" w:hAnsi="Times New Roman" w:cs="Times New Roman" w:eastAsia="宋体"/>
          <w:b w:val="0"/>
          <w:sz w:val="24"/>
        </w:rPr>
        <w:t>系列：v4 / v5e / v5p / v6（Trillium）/ v7（Ironwood）。</w:t>
      </w:r>
      <w:r>
        <w:rPr>
          <w:rFonts w:ascii="Times New Roman" w:hAnsi="Times New Roman" w:cs="Times New Roman" w:eastAsia="宋体"/>
          <w:b/>
          <w:sz w:val="24"/>
        </w:rPr>
        <w:t>TPU v4 Pod</w:t>
      </w:r>
      <w:r>
        <w:rPr>
          <w:rFonts w:ascii="Times New Roman" w:hAnsi="Times New Roman" w:cs="Times New Roman" w:eastAsia="宋体"/>
          <w:b w:val="0"/>
          <w:sz w:val="24"/>
        </w:rPr>
        <w:t xml:space="preserve">：4,096 芯片、约 </w:t>
      </w:r>
      <w:r>
        <w:rPr>
          <w:rFonts w:ascii="Times New Roman" w:hAnsi="Times New Roman" w:cs="Times New Roman" w:eastAsia="宋体"/>
          <w:b/>
          <w:sz w:val="24"/>
        </w:rPr>
        <w:t>1.1 ExaFLOPS（BF16，单 Pod）</w:t>
      </w:r>
      <w:r>
        <w:rPr>
          <w:rFonts w:ascii="Times New Roman" w:hAnsi="Times New Roman" w:cs="Times New Roman" w:eastAsia="宋体"/>
          <w:b w:val="0"/>
          <w:sz w:val="24"/>
        </w:rPr>
        <w:t>；</w:t>
      </w:r>
      <w:r>
        <w:rPr>
          <w:rFonts w:ascii="Times New Roman" w:hAnsi="Times New Roman" w:cs="Times New Roman" w:eastAsia="宋体"/>
          <w:b/>
          <w:sz w:val="24"/>
        </w:rPr>
        <w:t>Ironwood(v7，2025)</w:t>
      </w:r>
      <w:r>
        <w:rPr>
          <w:rFonts w:ascii="Times New Roman" w:hAnsi="Times New Roman" w:cs="Times New Roman" w:eastAsia="宋体"/>
          <w:b w:val="0"/>
          <w:sz w:val="24"/>
        </w:rPr>
        <w:t>：单 Pod 9,216 芯片、</w:t>
      </w:r>
      <w:r>
        <w:rPr>
          <w:rFonts w:ascii="Times New Roman" w:hAnsi="Times New Roman" w:cs="Times New Roman" w:eastAsia="宋体"/>
          <w:b/>
          <w:sz w:val="24"/>
        </w:rPr>
        <w:t>42.5 ExaFLOPS（FP8，单 Pod）</w:t>
      </w:r>
      <w:r>
        <w:rPr>
          <w:rFonts w:ascii="Times New Roman" w:hAnsi="Times New Roman" w:cs="Times New Roman" w:eastAsia="宋体"/>
          <w:b w:val="0"/>
          <w:sz w:val="24"/>
        </w:rPr>
        <w:t>（每芯片 4,614 TFLOPs、192GB HBM）。</w:t>
      </w:r>
      <w:r>
        <w:rPr>
          <w:rFonts w:ascii="Times New Roman" w:hAnsi="Times New Roman" w:cs="Times New Roman" w:eastAsia="宋体"/>
          <w:b/>
          <w:sz w:val="24"/>
        </w:rPr>
        <w:t>【v4/Ironwood 已核实——谷歌官方博客】</w:t>
      </w:r>
      <w:r>
        <w:rPr>
          <w:rFonts w:ascii="Times New Roman" w:hAnsi="Times New Roman" w:cs="Times New Roman" w:eastAsia="宋体"/>
          <w:b w:val="0"/>
          <w:sz w:val="24"/>
        </w:rPr>
        <w:t xml:space="preserve"> 来源：</w:t>
      </w:r>
      <w:hyperlink r:id="rId66">
        <w:r>
          <w:rPr>
            <w:rFonts w:ascii="Times New Roman" w:hAnsi="Times New Roman" w:eastAsia="宋体"/>
            <w:color w:val="0563C1"/>
            <w:u w:val="single"/>
            <w:sz w:val="24"/>
          </w:rPr>
          <w:t xml:space="preserve">Google：Ironwood TPU</w:t>
        </w:r>
      </w:hyperlink>
      <w:r>
        <w:rPr>
          <w:rFonts w:ascii="Times New Roman" w:hAnsi="Times New Roman" w:cs="Times New Roman" w:eastAsia="宋体"/>
          <w:b w:val="0"/>
          <w:sz w:val="24"/>
        </w:rPr>
        <w:t>、</w:t>
      </w:r>
      <w:hyperlink r:id="rId67">
        <w:r>
          <w:rPr>
            <w:rFonts w:ascii="Times New Roman" w:hAnsi="Times New Roman" w:eastAsia="宋体"/>
            <w:color w:val="0563C1"/>
            <w:u w:val="single"/>
            <w:sz w:val="24"/>
          </w:rPr>
          <w:t xml:space="preserve">HPCwire（Ironwood）</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Trillium(v6)</w:t>
      </w:r>
      <w:r>
        <w:rPr>
          <w:rFonts w:ascii="Times New Roman" w:hAnsi="Times New Roman" w:cs="Times New Roman" w:eastAsia="宋体"/>
          <w:b w:val="0"/>
          <w:sz w:val="24"/>
        </w:rPr>
        <w:t xml:space="preserve"> 单集群约 </w:t>
      </w:r>
      <w:r>
        <w:rPr>
          <w:rFonts w:ascii="Times New Roman" w:hAnsi="Times New Roman" w:cs="Times New Roman" w:eastAsia="宋体"/>
          <w:b/>
          <w:sz w:val="24"/>
        </w:rPr>
        <w:t>91 ExaFLOPS</w:t>
      </w:r>
      <w:r>
        <w:rPr>
          <w:rFonts w:ascii="Times New Roman" w:hAnsi="Times New Roman" w:cs="Times New Roman" w:eastAsia="宋体"/>
          <w:b w:val="0"/>
          <w:sz w:val="24"/>
        </w:rPr>
        <w:t>——</w:t>
      </w:r>
      <w:r>
        <w:rPr>
          <w:rFonts w:ascii="Times New Roman" w:hAnsi="Times New Roman" w:cs="Times New Roman" w:eastAsia="宋体"/>
          <w:b/>
          <w:sz w:val="24"/>
        </w:rPr>
        <w:t>精度未标注、且本小节无独立来源链接对应此数，【来源待核实】</w:t>
      </w:r>
      <w:r>
        <w:rPr>
          <w:rFonts w:ascii="Times New Roman" w:hAnsi="Times New Roman" w:cs="Times New Roman" w:eastAsia="宋体"/>
          <w:b w:val="0"/>
          <w:sz w:val="24"/>
        </w:rPr>
        <w:t>，不宜与上方 Ironwood"单 Pod/FP8"口径直接比较。</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谷歌用自有TPU超算训练Gemini；苹果亦曾租用谷歌TPU训练Apple Intelligence基础模型。</w:t>
      </w:r>
      <w:r>
        <w:rPr>
          <w:rFonts w:ascii="Times New Roman" w:hAnsi="Times New Roman" w:cs="Times New Roman" w:eastAsia="宋体"/>
          <w:b/>
          <w:sz w:val="24"/>
        </w:rPr>
        <w:t>【已核实方向——见苹果2024基础模型论文】</w:t>
      </w:r>
    </w:p>
    <w:p>
      <w:pPr>
        <w:spacing w:before="160" w:after="120" w:line="360" w:lineRule="auto"/>
      </w:pPr>
      <w:r>
        <w:rPr>
          <w:rFonts w:ascii="Times New Roman" w:hAnsi="Times New Roman" w:cs="Times New Roman" w:eastAsia="黑体"/>
          <w:b/>
          <w:sz w:val="28"/>
        </w:rPr>
        <w:t>5.5 英伟达</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Eos</w:t>
      </w:r>
      <w:r>
        <w:rPr>
          <w:rFonts w:ascii="Times New Roman" w:hAnsi="Times New Roman" w:cs="Times New Roman" w:eastAsia="宋体"/>
          <w:b w:val="0"/>
          <w:sz w:val="24"/>
        </w:rPr>
        <w:t>（DGX SuperPOD，DGX H100 + Xeon 8480C + InfiniBand NDR400）：</w:t>
      </w:r>
      <w:r>
        <w:rPr>
          <w:rFonts w:ascii="Times New Roman" w:hAnsi="Times New Roman" w:cs="Times New Roman" w:eastAsia="宋体"/>
          <w:b/>
          <w:sz w:val="24"/>
        </w:rPr>
        <w:t>4,608张H100</w:t>
      </w:r>
      <w:r>
        <w:rPr>
          <w:rFonts w:ascii="Times New Roman" w:hAnsi="Times New Roman" w:cs="Times New Roman" w:eastAsia="宋体"/>
          <w:b w:val="0"/>
          <w:sz w:val="24"/>
        </w:rPr>
        <w:t xml:space="preserve">，HPL </w:t>
      </w:r>
      <w:r>
        <w:rPr>
          <w:rFonts w:ascii="Times New Roman" w:hAnsi="Times New Roman" w:cs="Times New Roman" w:eastAsia="宋体"/>
          <w:b/>
          <w:sz w:val="24"/>
        </w:rPr>
        <w:t>121.4 PFLOPS</w:t>
      </w:r>
      <w:r>
        <w:rPr>
          <w:rFonts w:ascii="Times New Roman" w:hAnsi="Times New Roman" w:cs="Times New Roman" w:eastAsia="宋体"/>
          <w:b w:val="0"/>
          <w:sz w:val="24"/>
        </w:rPr>
        <w:t>，2023/11 Top500 列</w:t>
      </w:r>
      <w:r>
        <w:rPr>
          <w:rFonts w:ascii="Times New Roman" w:hAnsi="Times New Roman" w:cs="Times New Roman" w:eastAsia="宋体"/>
          <w:b/>
          <w:sz w:val="24"/>
        </w:rPr>
        <w:t>第9</w:t>
      </w:r>
      <w:r>
        <w:rPr>
          <w:rFonts w:ascii="Times New Roman" w:hAnsi="Times New Roman" w:cs="Times New Roman" w:eastAsia="宋体"/>
          <w:b w:val="0"/>
          <w:sz w:val="24"/>
        </w:rPr>
        <w:t xml:space="preserve">；NVIDIA 另称 AI 算力约 </w:t>
      </w:r>
      <w:r>
        <w:rPr>
          <w:rFonts w:ascii="Times New Roman" w:hAnsi="Times New Roman" w:cs="Times New Roman" w:eastAsia="宋体"/>
          <w:b/>
          <w:sz w:val="24"/>
        </w:rPr>
        <w:t>18.4 EFLOPS（FP8）</w:t>
      </w:r>
      <w:r>
        <w:rPr>
          <w:rFonts w:ascii="Times New Roman" w:hAnsi="Times New Roman" w:cs="Times New Roman" w:eastAsia="宋体"/>
          <w:b w:val="0"/>
          <w:sz w:val="24"/>
        </w:rPr>
        <w:t>。</w:t>
      </w:r>
      <w:r>
        <w:rPr>
          <w:rFonts w:ascii="Times New Roman" w:hAnsi="Times New Roman" w:cs="Times New Roman" w:eastAsia="宋体"/>
          <w:b/>
          <w:sz w:val="24"/>
        </w:rPr>
        <w:t>【已核实——Top500官方 + NVIDIA】</w:t>
      </w:r>
      <w:r>
        <w:rPr>
          <w:rFonts w:ascii="Times New Roman" w:hAnsi="Times New Roman" w:cs="Times New Roman" w:eastAsia="宋体"/>
          <w:b w:val="0"/>
          <w:sz w:val="24"/>
        </w:rPr>
        <w:t xml:space="preserve"> 来源：</w:t>
      </w:r>
      <w:hyperlink r:id="rId68">
        <w:r>
          <w:rPr>
            <w:rFonts w:ascii="Times New Roman" w:hAnsi="Times New Roman" w:eastAsia="宋体"/>
            <w:color w:val="0563C1"/>
            <w:u w:val="single"/>
            <w:sz w:val="24"/>
          </w:rPr>
          <w:t xml:space="preserve">TOP500 2023/11 榜单亮点</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作为供应商，为各家提供H100/H200/GB200等GPU与参考架构。</w:t>
      </w:r>
    </w:p>
    <w:p>
      <w:pPr>
        <w:spacing w:before="160" w:after="120" w:line="360" w:lineRule="auto"/>
      </w:pPr>
      <w:r>
        <w:rPr>
          <w:rFonts w:ascii="Times New Roman" w:hAnsi="Times New Roman" w:cs="Times New Roman" w:eastAsia="黑体"/>
          <w:b/>
          <w:sz w:val="28"/>
        </w:rPr>
        <w:t>5.6 特斯拉</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Cortex</w:t>
      </w:r>
      <w:r>
        <w:rPr>
          <w:rFonts w:ascii="Times New Roman" w:hAnsi="Times New Roman" w:cs="Times New Roman" w:eastAsia="宋体"/>
          <w:b w:val="0"/>
          <w:sz w:val="24"/>
        </w:rPr>
        <w:t>：约</w:t>
      </w:r>
      <w:r>
        <w:rPr>
          <w:rFonts w:ascii="Times New Roman" w:hAnsi="Times New Roman" w:cs="Times New Roman" w:eastAsia="宋体"/>
          <w:b/>
          <w:sz w:val="24"/>
        </w:rPr>
        <w:t>5万张H100</w:t>
      </w:r>
      <w:r>
        <w:rPr>
          <w:rFonts w:ascii="Times New Roman" w:hAnsi="Times New Roman" w:cs="Times New Roman" w:eastAsia="宋体"/>
          <w:b w:val="0"/>
          <w:sz w:val="24"/>
        </w:rPr>
        <w:t>，2024年Q4在Giga Texas上线；2025年Q2新增1.6万张H200，达约</w:t>
      </w:r>
      <w:r>
        <w:rPr>
          <w:rFonts w:ascii="Times New Roman" w:hAnsi="Times New Roman" w:cs="Times New Roman" w:eastAsia="宋体"/>
          <w:b/>
          <w:sz w:val="24"/>
        </w:rPr>
        <w:t>6.7万张H100当量</w:t>
      </w:r>
      <w:r>
        <w:rPr>
          <w:rFonts w:ascii="Times New Roman" w:hAnsi="Times New Roman" w:cs="Times New Roman" w:eastAsia="宋体"/>
          <w:b w:val="0"/>
          <w:sz w:val="24"/>
        </w:rPr>
        <w:t>；目标约10万张。</w:t>
      </w:r>
      <w:r>
        <w:rPr>
          <w:rFonts w:ascii="Times New Roman" w:hAnsi="Times New Roman" w:cs="Times New Roman" w:eastAsia="宋体"/>
          <w:b/>
          <w:sz w:val="24"/>
        </w:rPr>
        <w:t>【已核实——公司/媒体一致】</w:t>
      </w:r>
      <w:r>
        <w:rPr>
          <w:rFonts w:ascii="Times New Roman" w:hAnsi="Times New Roman" w:cs="Times New Roman" w:eastAsia="宋体"/>
          <w:b w:val="0"/>
          <w:sz w:val="24"/>
        </w:rPr>
        <w:t xml:space="preserve"> 来源：</w:t>
      </w:r>
      <w:hyperlink r:id="rId69">
        <w:r>
          <w:rPr>
            <w:rFonts w:ascii="Times New Roman" w:hAnsi="Times New Roman" w:eastAsia="宋体"/>
            <w:color w:val="0563C1"/>
            <w:u w:val="single"/>
            <w:sz w:val="24"/>
          </w:rPr>
          <w:t xml:space="preserve">DataCenterDynamics</w:t>
        </w:r>
      </w:hyperlink>
      <w:r>
        <w:rPr>
          <w:rFonts w:ascii="Times New Roman" w:hAnsi="Times New Roman" w:cs="Times New Roman" w:eastAsia="宋体"/>
          <w:b w:val="0"/>
          <w:sz w:val="24"/>
        </w:rPr>
        <w:t>、</w:t>
      </w:r>
      <w:hyperlink r:id="rId70">
        <w:r>
          <w:rPr>
            <w:rFonts w:ascii="Times New Roman" w:hAnsi="Times New Roman" w:eastAsia="宋体"/>
            <w:color w:val="0563C1"/>
            <w:u w:val="single"/>
            <w:sz w:val="24"/>
          </w:rPr>
          <w:t xml:space="preserve">Tom's Hardware</w:t>
        </w:r>
      </w:hyperlink>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Dojo</w:t>
      </w:r>
      <w:r>
        <w:rPr>
          <w:rFonts w:ascii="Times New Roman" w:hAnsi="Times New Roman" w:cs="Times New Roman" w:eastAsia="宋体"/>
          <w:b w:val="0"/>
          <w:sz w:val="24"/>
        </w:rPr>
        <w:t>（自研D1芯片超算）：</w:t>
      </w:r>
      <w:r>
        <w:rPr>
          <w:rFonts w:ascii="Times New Roman" w:hAnsi="Times New Roman" w:cs="Times New Roman" w:eastAsia="宋体"/>
          <w:b/>
          <w:sz w:val="24"/>
        </w:rPr>
        <w:t>2025年8月项目关停、团队解散</w:t>
      </w:r>
      <w:r>
        <w:rPr>
          <w:rFonts w:ascii="Times New Roman" w:hAnsi="Times New Roman" w:cs="Times New Roman" w:eastAsia="宋体"/>
          <w:b w:val="0"/>
          <w:sz w:val="24"/>
        </w:rPr>
        <w:t>，转向依赖英伟达硬件（Cortex）。</w:t>
      </w:r>
      <w:r>
        <w:rPr>
          <w:rFonts w:ascii="Times New Roman" w:hAnsi="Times New Roman" w:cs="Times New Roman" w:eastAsia="宋体"/>
          <w:b/>
          <w:sz w:val="24"/>
        </w:rPr>
        <w:t>【已核实】</w:t>
      </w:r>
      <w:r>
        <w:rPr>
          <w:rFonts w:ascii="Times New Roman" w:hAnsi="Times New Roman" w:cs="Times New Roman" w:eastAsia="宋体"/>
          <w:b w:val="0"/>
          <w:sz w:val="24"/>
        </w:rPr>
        <w:t xml:space="preserve"> 来源：</w:t>
      </w:r>
      <w:hyperlink r:id="rId71">
        <w:r>
          <w:rPr>
            <w:rFonts w:ascii="Times New Roman" w:hAnsi="Times New Roman" w:eastAsia="宋体"/>
            <w:color w:val="0563C1"/>
            <w:u w:val="single"/>
            <w:sz w:val="24"/>
          </w:rPr>
          <w:t xml:space="preserve">TechCrunch（Dojo 兴衰）</w:t>
        </w:r>
      </w:hyperlink>
    </w:p>
    <w:p>
      <w:pPr>
        <w:spacing w:before="160" w:after="120" w:line="360" w:lineRule="auto"/>
      </w:pPr>
      <w:r>
        <w:rPr>
          <w:rFonts w:ascii="Times New Roman" w:hAnsi="Times New Roman" w:cs="Times New Roman" w:eastAsia="黑体"/>
          <w:b/>
          <w:sz w:val="28"/>
        </w:rPr>
        <w:t>5.7 苹果</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无大型公开超算上榜；AI训练</w:t>
      </w:r>
      <w:r>
        <w:rPr>
          <w:rFonts w:ascii="Times New Roman" w:hAnsi="Times New Roman" w:cs="Times New Roman" w:eastAsia="宋体"/>
          <w:b/>
          <w:sz w:val="24"/>
        </w:rPr>
        <w:t>部分依赖谷歌Cloud TPU</w:t>
      </w:r>
      <w:r>
        <w:rPr>
          <w:rFonts w:ascii="Times New Roman" w:hAnsi="Times New Roman" w:cs="Times New Roman" w:eastAsia="宋体"/>
          <w:b w:val="0"/>
          <w:sz w:val="24"/>
        </w:rPr>
        <w:t>（据苹果2024年基础模型论文）；推理侧自建</w:t>
      </w:r>
      <w:r>
        <w:rPr>
          <w:rFonts w:ascii="Times New Roman" w:hAnsi="Times New Roman" w:cs="Times New Roman" w:eastAsia="宋体"/>
          <w:b/>
          <w:sz w:val="24"/>
        </w:rPr>
        <w:t>Private Cloud Compute</w:t>
      </w:r>
      <w:r>
        <w:rPr>
          <w:rFonts w:ascii="Times New Roman" w:hAnsi="Times New Roman" w:cs="Times New Roman" w:eastAsia="宋体"/>
          <w:b w:val="0"/>
          <w:sz w:val="24"/>
        </w:rPr>
        <w:t>（基于Apple Silicon）。</w:t>
      </w:r>
      <w:r>
        <w:rPr>
          <w:rFonts w:ascii="Times New Roman" w:hAnsi="Times New Roman" w:cs="Times New Roman" w:eastAsia="宋体"/>
          <w:b/>
          <w:sz w:val="24"/>
        </w:rPr>
        <w:t>【已核实方向】</w:t>
      </w:r>
      <w:r>
        <w:rPr>
          <w:rFonts w:ascii="Times New Roman" w:hAnsi="Times New Roman" w:cs="Times New Roman" w:eastAsia="宋体"/>
          <w:b w:val="0"/>
          <w:sz w:val="24"/>
        </w:rPr>
        <w:t xml:space="preserve"> 👉 需你核：苹果《Apple Intelligence Foundation Language Models》论文。</w:t>
      </w:r>
    </w:p>
    <w:p>
      <w:pPr>
        <w:pBdr>
          <w:bottom w:val="single" w:sz="6" w:space="1" w:color="AAAAAA"/>
        </w:pBdr>
        <w:spacing w:after="80"/>
      </w:pPr>
    </w:p>
    <w:p>
      <w:pPr>
        <w:spacing w:before="240" w:after="120" w:line="360" w:lineRule="auto"/>
      </w:pPr>
      <w:r>
        <w:rPr>
          <w:rFonts w:ascii="Times New Roman" w:hAnsi="Times New Roman" w:cs="Times New Roman" w:eastAsia="黑体"/>
          <w:b/>
          <w:sz w:val="32"/>
        </w:rPr>
        <w:t>六、深度分析：这些数字意味着什么</w:t>
      </w:r>
    </w:p>
    <w:p>
      <w:pPr>
        <w:spacing w:line="360" w:lineRule="auto" w:after="40"/>
        <w:ind w:left="420"/>
      </w:pPr>
      <w:r>
        <w:rPr>
          <w:rFonts w:ascii="Times New Roman" w:hAnsi="Times New Roman" w:cs="Times New Roman" w:eastAsia="宋体"/>
          <w:b w:val="0"/>
          <w:sz w:val="24"/>
        </w:rPr>
        <w:t>前五节是"数据与来源"，本节是"研究"——即这些数字叠加起来指向什么风险与判断。以下为</w:t>
      </w:r>
      <w:r>
        <w:rPr>
          <w:rFonts w:ascii="Times New Roman" w:hAnsi="Times New Roman" w:cs="Times New Roman" w:eastAsia="宋体"/>
          <w:b/>
          <w:sz w:val="24"/>
        </w:rPr>
        <w:t>分析性观点（非新数据）</w:t>
      </w:r>
      <w:r>
        <w:rPr>
          <w:rFonts w:ascii="Times New Roman" w:hAnsi="Times New Roman" w:cs="Times New Roman" w:eastAsia="宋体"/>
          <w:b w:val="0"/>
          <w:sz w:val="24"/>
        </w:rPr>
        <w:t>，均依据前文已核实数据推演。</w:t>
      </w:r>
    </w:p>
    <w:p>
      <w:pPr>
        <w:spacing w:line="360" w:lineRule="auto" w:after="40"/>
        <w:ind w:firstLine="480"/>
      </w:pPr>
      <w:r>
        <w:rPr>
          <w:rFonts w:ascii="Times New Roman" w:hAnsi="Times New Roman" w:cs="Times New Roman" w:eastAsia="宋体"/>
          <w:b/>
          <w:sz w:val="24"/>
        </w:rPr>
        <w:t>1. 投资强度已到历史极值，且仍在加速。</w:t>
      </w:r>
      <w:r>
        <w:rPr>
          <w:rFonts w:ascii="Times New Roman" w:hAnsi="Times New Roman" w:cs="Times New Roman" w:eastAsia="宋体"/>
          <w:b w:val="0"/>
          <w:sz w:val="24"/>
        </w:rPr>
        <w:t xml:space="preserve"> 2025 年四家合计 capex </w:t>
      </w:r>
      <w:r>
        <w:rPr>
          <w:rFonts w:ascii="Times New Roman" w:hAnsi="Times New Roman" w:cs="Times New Roman" w:eastAsia="宋体"/>
          <w:b/>
          <w:sz w:val="24"/>
        </w:rPr>
        <w:t>$416B（+66%）</w:t>
      </w:r>
      <w:r>
        <w:rPr>
          <w:rFonts w:ascii="Times New Roman" w:hAnsi="Times New Roman" w:cs="Times New Roman" w:eastAsia="宋体"/>
          <w:b w:val="0"/>
          <w:sz w:val="24"/>
        </w:rPr>
        <w:t xml:space="preserve">，CAPEX/营收比创纪录（Meta </w:t>
      </w:r>
      <w:r>
        <w:rPr>
          <w:rFonts w:ascii="Times New Roman" w:hAnsi="Times New Roman" w:cs="Times New Roman" w:eastAsia="宋体"/>
          <w:b/>
          <w:sz w:val="24"/>
        </w:rPr>
        <w:t>44%</w:t>
      </w:r>
      <w:r>
        <w:rPr>
          <w:rFonts w:ascii="Times New Roman" w:hAnsi="Times New Roman" w:cs="Times New Roman" w:eastAsia="宋体"/>
          <w:b w:val="0"/>
          <w:sz w:val="24"/>
        </w:rPr>
        <w:t xml:space="preserve">、微软 </w:t>
      </w:r>
      <w:r>
        <w:rPr>
          <w:rFonts w:ascii="Times New Roman" w:hAnsi="Times New Roman" w:cs="Times New Roman" w:eastAsia="宋体"/>
          <w:b/>
          <w:sz w:val="24"/>
        </w:rPr>
        <w:t>39%</w:t>
      </w:r>
      <w:r>
        <w:rPr>
          <w:rFonts w:ascii="Times New Roman" w:hAnsi="Times New Roman" w:cs="Times New Roman" w:eastAsia="宋体"/>
          <w:b w:val="0"/>
          <w:sz w:val="24"/>
        </w:rPr>
        <w:t>）。这已不是"从充裕现金流里挤一部分投基建"，而是把</w:t>
      </w:r>
      <w:r>
        <w:rPr>
          <w:rFonts w:ascii="Times New Roman" w:hAnsi="Times New Roman" w:cs="Times New Roman" w:eastAsia="宋体"/>
          <w:b/>
          <w:sz w:val="24"/>
        </w:rPr>
        <w:t>营收的近半数</w:t>
      </w:r>
      <w:r>
        <w:rPr>
          <w:rFonts w:ascii="Times New Roman" w:hAnsi="Times New Roman" w:cs="Times New Roman" w:eastAsia="宋体"/>
          <w:b w:val="0"/>
          <w:sz w:val="24"/>
        </w:rPr>
        <w:t>投入固定资产——典型软件公司的资产负债表正在"重工业化"。</w:t>
      </w:r>
    </w:p>
    <w:p>
      <w:pPr>
        <w:spacing w:line="360" w:lineRule="auto" w:after="40"/>
        <w:ind w:firstLine="480"/>
      </w:pPr>
      <w:r>
        <w:rPr>
          <w:rFonts w:ascii="Times New Roman" w:hAnsi="Times New Roman" w:cs="Times New Roman" w:eastAsia="宋体"/>
          <w:b/>
          <w:sz w:val="24"/>
        </w:rPr>
        <w:t>2. 最关键的拐点：自由现金流（FCF）由正转负。</w:t>
      </w:r>
      <w:r>
        <w:rPr>
          <w:rFonts w:ascii="Times New Roman" w:hAnsi="Times New Roman" w:cs="Times New Roman" w:eastAsia="宋体"/>
          <w:b w:val="0"/>
          <w:sz w:val="24"/>
        </w:rPr>
        <w:t xml:space="preserve"> 按 2026 指引，亚马逊/谷歌/Meta 的 capex 将逼近或超过其 2025 经营现金流（亚马逊 capex $134.7B vs OCF $139.5B；Meta 2026 指引 $125B vs OCF $115.8B）。§2.3 已列：</w:t>
      </w:r>
      <w:r>
        <w:rPr>
          <w:rFonts w:ascii="Times New Roman" w:hAnsi="Times New Roman" w:cs="Times New Roman" w:eastAsia="宋体"/>
          <w:b/>
          <w:sz w:val="24"/>
        </w:rPr>
        <w:t>除微软外，四家 2026 年或将 FCF 转负</w:t>
      </w:r>
      <w:r>
        <w:rPr>
          <w:rFonts w:ascii="Times New Roman" w:hAnsi="Times New Roman" w:cs="Times New Roman" w:eastAsia="宋体"/>
          <w:b w:val="0"/>
          <w:sz w:val="24"/>
        </w:rPr>
        <w:t>。这意味着这些"印钞机"平台</w:t>
      </w:r>
      <w:r>
        <w:rPr>
          <w:rFonts w:ascii="Times New Roman" w:hAnsi="Times New Roman" w:cs="Times New Roman" w:eastAsia="宋体"/>
          <w:b/>
          <w:sz w:val="24"/>
        </w:rPr>
        <w:t>首次需要动用外部融资/消耗现金储备</w:t>
      </w:r>
      <w:r>
        <w:rPr>
          <w:rFonts w:ascii="Times New Roman" w:hAnsi="Times New Roman" w:cs="Times New Roman" w:eastAsia="宋体"/>
          <w:b w:val="0"/>
          <w:sz w:val="24"/>
        </w:rPr>
        <w:t>来支撑 AI 投入——从"自筹"转向"举债扩张"，是信用画像的结构性变化。</w:t>
      </w:r>
    </w:p>
    <w:p>
      <w:pPr>
        <w:spacing w:line="360" w:lineRule="auto" w:after="40"/>
        <w:ind w:firstLine="480"/>
      </w:pPr>
      <w:r>
        <w:rPr>
          <w:rFonts w:ascii="Times New Roman" w:hAnsi="Times New Roman" w:cs="Times New Roman" w:eastAsia="宋体"/>
          <w:b/>
          <w:sz w:val="24"/>
        </w:rPr>
        <w:t>3. "AI 债券潮"埋下久期错配与信用风险。</w:t>
      </w:r>
      <w:r>
        <w:rPr>
          <w:rFonts w:ascii="Times New Roman" w:hAnsi="Times New Roman" w:cs="Times New Roman" w:eastAsia="宋体"/>
          <w:b w:val="0"/>
          <w:sz w:val="24"/>
        </w:rPr>
        <w:t xml:space="preserve"> 2025 年集中发债：Meta $300亿（含 30/40 年期）＋表外 $270亿、亚马逊 $149.61亿、Alphabet 全年发债 </w:t>
      </w:r>
      <w:r>
        <w:rPr>
          <w:rFonts w:ascii="Times New Roman" w:hAnsi="Times New Roman" w:cs="Times New Roman" w:eastAsia="宋体"/>
          <w:b/>
          <w:sz w:val="24"/>
        </w:rPr>
        <w:t>$645.64亿</w:t>
      </w:r>
      <w:r>
        <w:rPr>
          <w:rFonts w:ascii="Times New Roman" w:hAnsi="Times New Roman" w:cs="Times New Roman" w:eastAsia="宋体"/>
          <w:b w:val="0"/>
          <w:sz w:val="24"/>
        </w:rPr>
        <w:t>（含百年期债券）。</w:t>
      </w:r>
      <w:r>
        <w:rPr>
          <w:rFonts w:ascii="Times New Roman" w:hAnsi="Times New Roman" w:cs="Times New Roman" w:eastAsia="宋体"/>
          <w:b/>
          <w:sz w:val="24"/>
        </w:rPr>
        <w:t>债务久期长达数十年乃至百年，而 AI 资产（GPU）折旧周期仅 4–6 年</w:t>
      </w:r>
      <w:r>
        <w:rPr>
          <w:rFonts w:ascii="Times New Roman" w:hAnsi="Times New Roman" w:cs="Times New Roman" w:eastAsia="宋体"/>
          <w:b w:val="0"/>
          <w:sz w:val="24"/>
        </w:rPr>
        <w:t>——以超长债为超短寿命资产融资，一旦 AI 变现慢于折旧节奏，利息与折旧将双重挤压利润。</w:t>
      </w:r>
    </w:p>
    <w:p>
      <w:pPr>
        <w:spacing w:line="360" w:lineRule="auto" w:after="40"/>
        <w:ind w:firstLine="480"/>
      </w:pPr>
      <w:r>
        <w:rPr>
          <w:rFonts w:ascii="Times New Roman" w:hAnsi="Times New Roman" w:cs="Times New Roman" w:eastAsia="宋体"/>
          <w:b/>
          <w:sz w:val="24"/>
        </w:rPr>
        <w:t>4. Meta 表外 SPV 的会计风险不容忽视。</w:t>
      </w:r>
      <w:r>
        <w:rPr>
          <w:rFonts w:ascii="Times New Roman" w:hAnsi="Times New Roman" w:cs="Times New Roman" w:eastAsia="宋体"/>
          <w:b w:val="0"/>
          <w:sz w:val="24"/>
        </w:rPr>
        <w:t xml:space="preserve"> Hyperion $270亿装入 SPV、Meta 仅持 20%、以"无控制权"实现表外，但</w:t>
      </w:r>
      <w:r>
        <w:rPr>
          <w:rFonts w:ascii="Times New Roman" w:hAnsi="Times New Roman" w:cs="Times New Roman" w:eastAsia="宋体"/>
          <w:b/>
          <w:sz w:val="24"/>
        </w:rPr>
        <w:t>审计师并不完全认同</w:t>
      </w:r>
      <w:r>
        <w:rPr>
          <w:rFonts w:ascii="Times New Roman" w:hAnsi="Times New Roman" w:cs="Times New Roman" w:eastAsia="宋体"/>
          <w:b w:val="0"/>
          <w:sz w:val="24"/>
        </w:rPr>
        <w:t>（§4.1）。若被要求并表，$270亿债务将上表、改变杠杆画像；且 Meta"付费使用"计入 OPEX 而非 CAPEX，</w:t>
      </w:r>
      <w:r>
        <w:rPr>
          <w:rFonts w:ascii="Times New Roman" w:hAnsi="Times New Roman" w:cs="Times New Roman" w:eastAsia="宋体"/>
          <w:b/>
          <w:sz w:val="24"/>
        </w:rPr>
        <w:t>人为压低了其显示的 capex 与账面杠杆</w:t>
      </w:r>
      <w:r>
        <w:rPr>
          <w:rFonts w:ascii="Times New Roman" w:hAnsi="Times New Roman" w:cs="Times New Roman" w:eastAsia="宋体"/>
          <w:b w:val="0"/>
          <w:sz w:val="24"/>
        </w:rPr>
        <w:t>——这类结构（分析师径称"Hello Enron!"）是财报可比性的隐患。</w:t>
      </w:r>
    </w:p>
    <w:p>
      <w:pPr>
        <w:spacing w:line="360" w:lineRule="auto" w:after="40"/>
        <w:ind w:firstLine="480"/>
      </w:pPr>
      <w:r>
        <w:rPr>
          <w:rFonts w:ascii="Times New Roman" w:hAnsi="Times New Roman" w:cs="Times New Roman" w:eastAsia="宋体"/>
          <w:b/>
          <w:sz w:val="24"/>
        </w:rPr>
        <w:t>5. 折旧"回旋镖"与 GPU 早衰。</w:t>
      </w:r>
      <w:r>
        <w:rPr>
          <w:rFonts w:ascii="Times New Roman" w:hAnsi="Times New Roman" w:cs="Times New Roman" w:eastAsia="宋体"/>
          <w:b w:val="0"/>
          <w:sz w:val="24"/>
        </w:rPr>
        <w:t xml:space="preserve"> capex 先冲现金流，数年后经折旧回冲利润。亚马逊已把服务器寿命从 6 年缩短至 5 年（2025 起每年减少运营利润约 $7 亿），并对提前退役设备计提约 $9.2 亿加速折旧。</w:t>
      </w:r>
      <w:r>
        <w:rPr>
          <w:rFonts w:ascii="Times New Roman" w:hAnsi="Times New Roman" w:cs="Times New Roman" w:eastAsia="宋体"/>
          <w:b/>
          <w:sz w:val="24"/>
        </w:rPr>
        <w:t>若 GPU 因迭代过快而早于折旧表报废，利润端将承受超预期冲击</w:t>
      </w:r>
      <w:r>
        <w:rPr>
          <w:rFonts w:ascii="Times New Roman" w:hAnsi="Times New Roman" w:cs="Times New Roman" w:eastAsia="宋体"/>
          <w:b w:val="0"/>
          <w:sz w:val="24"/>
        </w:rPr>
        <w:t>——这是高 capex 尚未在利润表充分显形的"滞后账单"。</w:t>
      </w:r>
    </w:p>
    <w:p>
      <w:pPr>
        <w:spacing w:line="360" w:lineRule="auto" w:after="40"/>
        <w:ind w:firstLine="480"/>
      </w:pPr>
      <w:r>
        <w:rPr>
          <w:rFonts w:ascii="Times New Roman" w:hAnsi="Times New Roman" w:cs="Times New Roman" w:eastAsia="宋体"/>
          <w:b/>
          <w:sz w:val="24"/>
        </w:rPr>
        <w:t>6. 样本框决定了本报告只回答了"半个问题"。</w:t>
      </w:r>
      <w:r>
        <w:rPr>
          <w:rFonts w:ascii="Times New Roman" w:hAnsi="Times New Roman" w:cs="Times New Roman" w:eastAsia="宋体"/>
          <w:b w:val="0"/>
          <w:sz w:val="24"/>
        </w:rPr>
        <w:t xml:space="preserve"> 本组为</w:t>
      </w:r>
      <w:r>
        <w:rPr>
          <w:rFonts w:ascii="Times New Roman" w:hAnsi="Times New Roman" w:cs="Times New Roman" w:eastAsia="宋体"/>
          <w:b/>
          <w:sz w:val="24"/>
        </w:rPr>
        <w:t>市值</w:t>
      </w:r>
      <w:r>
        <w:rPr>
          <w:rFonts w:ascii="Times New Roman" w:hAnsi="Times New Roman" w:cs="Times New Roman" w:eastAsia="宋体"/>
          <w:b w:val="0"/>
          <w:sz w:val="24"/>
        </w:rPr>
        <w:t>七巨头，非</w:t>
      </w:r>
      <w:r>
        <w:rPr>
          <w:rFonts w:ascii="Times New Roman" w:hAnsi="Times New Roman" w:cs="Times New Roman" w:eastAsia="宋体"/>
          <w:b/>
          <w:sz w:val="24"/>
        </w:rPr>
        <w:t>AI 算力</w:t>
      </w:r>
      <w:r>
        <w:rPr>
          <w:rFonts w:ascii="Times New Roman" w:hAnsi="Times New Roman" w:cs="Times New Roman" w:eastAsia="宋体"/>
          <w:b w:val="0"/>
          <w:sz w:val="24"/>
        </w:rPr>
        <w:t>七巨头（见文首样本框说明）。它刻画的是"超大现金流平台自筹 AI"这一子集；而 AI 基建的边际增量买家——OpenAI / Oracle(OCI) / CoreWeave / xAI / 字节——多在样本外，且</w:t>
      </w:r>
      <w:r>
        <w:rPr>
          <w:rFonts w:ascii="Times New Roman" w:hAnsi="Times New Roman" w:cs="Times New Roman" w:eastAsia="宋体"/>
          <w:b/>
          <w:sz w:val="24"/>
        </w:rPr>
        <w:t>更依赖外部债务、租赁与预售合同</w:t>
      </w:r>
      <w:r>
        <w:rPr>
          <w:rFonts w:ascii="Times New Roman" w:hAnsi="Times New Roman" w:cs="Times New Roman" w:eastAsia="宋体"/>
          <w:b w:val="0"/>
          <w:sz w:val="24"/>
        </w:rPr>
        <w:t>，信用特征与本组不同。</w:t>
      </w:r>
      <w:r>
        <w:rPr>
          <w:rFonts w:ascii="Times New Roman" w:hAnsi="Times New Roman" w:cs="Times New Roman" w:eastAsia="宋体"/>
          <w:b/>
          <w:sz w:val="24"/>
        </w:rPr>
        <w:t>故"AI capex 可持续性"的完整判断需把这些纯 play 玩家一并纳入</w:t>
      </w:r>
      <w:r>
        <w:rPr>
          <w:rFonts w:ascii="Times New Roman" w:hAnsi="Times New Roman" w:cs="Times New Roman" w:eastAsia="宋体"/>
          <w:b w:val="0"/>
          <w:sz w:val="24"/>
        </w:rPr>
        <w:t>——本报告是必要但不充分的一块拼图。</w:t>
      </w:r>
    </w:p>
    <w:p>
      <w:pPr>
        <w:spacing w:line="360" w:lineRule="auto" w:after="40"/>
        <w:ind w:left="420"/>
      </w:pPr>
      <w:r>
        <w:rPr>
          <w:rFonts w:ascii="Times New Roman" w:hAnsi="Times New Roman" w:cs="Times New Roman" w:eastAsia="宋体"/>
          <w:b/>
          <w:sz w:val="24"/>
        </w:rPr>
        <w:t>一句话</w:t>
      </w:r>
      <w:r>
        <w:rPr>
          <w:rFonts w:ascii="Times New Roman" w:hAnsi="Times New Roman" w:cs="Times New Roman" w:eastAsia="宋体"/>
          <w:b w:val="0"/>
          <w:sz w:val="24"/>
        </w:rPr>
        <w:t>：强度空前（第1点）＋ FCF 转负（第2点）＋ 长久期集中发债（第3点）＋ 表外杠杆（第4点）＋ 折旧滞后账单（第5点），共同构成本轮 AI capex 周期的风险敞口。市场当前以"AI 必然兑现"给这些投入定价；若兑现节奏低于折旧/利息节奏，最先承压的将是 FCF 已转负、又用长债融短命资产的那几家。</w:t>
      </w:r>
    </w:p>
    <w:p>
      <w:pPr>
        <w:pBdr>
          <w:bottom w:val="single" w:sz="6" w:space="1" w:color="AAAAAA"/>
        </w:pBdr>
        <w:spacing w:after="80"/>
      </w:pPr>
    </w:p>
    <w:p>
      <w:pPr>
        <w:spacing w:before="240" w:after="120" w:line="360" w:lineRule="auto"/>
      </w:pPr>
      <w:r>
        <w:rPr>
          <w:rFonts w:ascii="Times New Roman" w:hAnsi="Times New Roman" w:cs="Times New Roman" w:eastAsia="黑体"/>
          <w:b/>
          <w:sz w:val="32"/>
        </w:rPr>
        <w:t>七、跨公司小结（要点）</w:t>
      </w:r>
    </w:p>
    <w:p>
      <w:pPr>
        <w:spacing w:line="360" w:lineRule="auto" w:after="40"/>
        <w:ind w:firstLine="480"/>
      </w:pPr>
      <w:r>
        <w:rPr>
          <w:rFonts w:ascii="Times New Roman" w:hAnsi="Times New Roman" w:cs="Times New Roman" w:eastAsia="宋体"/>
          <w:b w:val="0"/>
          <w:sz w:val="24"/>
        </w:rPr>
        <w:t xml:space="preserve">1. </w:t>
      </w:r>
      <w:r>
        <w:rPr>
          <w:rFonts w:ascii="Times New Roman" w:hAnsi="Times New Roman" w:cs="Times New Roman" w:eastAsia="宋体"/>
          <w:b/>
          <w:sz w:val="24"/>
        </w:rPr>
        <w:t>市值</w:t>
      </w:r>
      <w:r>
        <w:rPr>
          <w:rFonts w:ascii="Times New Roman" w:hAnsi="Times New Roman" w:cs="Times New Roman" w:eastAsia="宋体"/>
          <w:b w:val="0"/>
          <w:sz w:val="24"/>
        </w:rPr>
        <w:t>：2020→2024英伟达涨幅最惊人（约$0.32万亿→$3.29万亿，约10倍），成为AI浪潮最大赢家；亚马逊2022曾大幅回撤（跌破$1万亿）后2024–25强劲反弹。</w:t>
      </w:r>
    </w:p>
    <w:p>
      <w:pPr>
        <w:spacing w:line="360" w:lineRule="auto" w:after="40"/>
        <w:ind w:firstLine="480"/>
      </w:pPr>
      <w:r>
        <w:rPr>
          <w:rFonts w:ascii="Times New Roman" w:hAnsi="Times New Roman" w:cs="Times New Roman" w:eastAsia="宋体"/>
          <w:b w:val="0"/>
          <w:sz w:val="24"/>
        </w:rPr>
        <w:t xml:space="preserve">2. </w:t>
      </w:r>
      <w:r>
        <w:rPr>
          <w:rFonts w:ascii="Times New Roman" w:hAnsi="Times New Roman" w:cs="Times New Roman" w:eastAsia="宋体"/>
          <w:b/>
          <w:sz w:val="24"/>
        </w:rPr>
        <w:t>CapEx</w:t>
      </w:r>
      <w:r>
        <w:rPr>
          <w:rFonts w:ascii="Times New Roman" w:hAnsi="Times New Roman" w:cs="Times New Roman" w:eastAsia="宋体"/>
          <w:b w:val="0"/>
          <w:sz w:val="24"/>
        </w:rPr>
        <w:t xml:space="preserve">：四大"建AI"巨头（亚马逊/微软/Alphabet/Meta）2025 年合计 CapEx 达 </w:t>
      </w:r>
      <w:r>
        <w:rPr>
          <w:rFonts w:ascii="Times New Roman" w:hAnsi="Times New Roman" w:cs="Times New Roman" w:eastAsia="宋体"/>
          <w:b/>
          <w:sz w:val="24"/>
        </w:rPr>
        <w:t>$416B</w:t>
      </w:r>
      <w:r>
        <w:rPr>
          <w:rFonts w:ascii="Times New Roman" w:hAnsi="Times New Roman" w:cs="Times New Roman" w:eastAsia="宋体"/>
          <w:b w:val="0"/>
          <w:sz w:val="24"/>
        </w:rPr>
        <w:t>（+66%，均创历史新高：亚马逊 134.7 / 微软 118 / 谷歌 91.5 / Meta 72.2 十亿美元），2026 年指引继续跳升（合计约 $645B+）。英伟达（fabless）、苹果 CapEx 相对很小。</w:t>
      </w:r>
    </w:p>
    <w:p>
      <w:pPr>
        <w:spacing w:line="360" w:lineRule="auto" w:after="40"/>
        <w:ind w:firstLine="480"/>
      </w:pPr>
      <w:r>
        <w:rPr>
          <w:rFonts w:ascii="Times New Roman" w:hAnsi="Times New Roman" w:cs="Times New Roman" w:eastAsia="宋体"/>
          <w:b w:val="0"/>
          <w:sz w:val="24"/>
        </w:rPr>
        <w:t xml:space="preserve">3. </w:t>
      </w:r>
      <w:r>
        <w:rPr>
          <w:rFonts w:ascii="Times New Roman" w:hAnsi="Times New Roman" w:cs="Times New Roman" w:eastAsia="宋体"/>
          <w:b/>
          <w:sz w:val="24"/>
        </w:rPr>
        <w:t>数据中心CapEx</w:t>
      </w:r>
      <w:r>
        <w:rPr>
          <w:rFonts w:ascii="Times New Roman" w:hAnsi="Times New Roman" w:cs="Times New Roman" w:eastAsia="宋体"/>
          <w:b w:val="0"/>
          <w:sz w:val="24"/>
        </w:rPr>
        <w:t>：仅</w:t>
      </w:r>
      <w:r>
        <w:rPr>
          <w:rFonts w:ascii="Times New Roman" w:hAnsi="Times New Roman" w:cs="Times New Roman" w:eastAsia="宋体"/>
          <w:b/>
          <w:sz w:val="24"/>
        </w:rPr>
        <w:t>亚马逊在 10-K 单列 AWS capex</w:t>
      </w:r>
      <w:r>
        <w:rPr>
          <w:rFonts w:ascii="Times New Roman" w:hAnsi="Times New Roman" w:cs="Times New Roman" w:eastAsia="宋体"/>
          <w:b w:val="0"/>
          <w:sz w:val="24"/>
        </w:rPr>
        <w:t>（2021≈$22B、2023 $24.8B→2024 $53.27B，占其总 capex 64%）；其余公司不单列，按谷歌官方"60–70% capex 投数据中心"口径估算，2024 起"几乎全部"投数据中心。特斯拉自 2026 起将 AI 算力/数据中心明确列为 capex 用途（2026 指引 $25B）。详见第三节。</w:t>
      </w:r>
    </w:p>
    <w:p>
      <w:pPr>
        <w:spacing w:line="360" w:lineRule="auto" w:after="40"/>
        <w:ind w:firstLine="480"/>
      </w:pPr>
      <w:r>
        <w:rPr>
          <w:rFonts w:ascii="Times New Roman" w:hAnsi="Times New Roman" w:cs="Times New Roman" w:eastAsia="宋体"/>
          <w:b w:val="0"/>
          <w:sz w:val="24"/>
        </w:rPr>
        <w:t xml:space="preserve">4. </w:t>
      </w:r>
      <w:r>
        <w:rPr>
          <w:rFonts w:ascii="Times New Roman" w:hAnsi="Times New Roman" w:cs="Times New Roman" w:eastAsia="宋体"/>
          <w:b/>
          <w:sz w:val="24"/>
        </w:rPr>
        <w:t>融资</w:t>
      </w:r>
      <w:r>
        <w:rPr>
          <w:rFonts w:ascii="Times New Roman" w:hAnsi="Times New Roman" w:cs="Times New Roman" w:eastAsia="宋体"/>
          <w:b w:val="0"/>
          <w:sz w:val="24"/>
        </w:rPr>
        <w:t>：2025年出现</w:t>
      </w:r>
      <w:r>
        <w:rPr>
          <w:rFonts w:ascii="Times New Roman" w:hAnsi="Times New Roman" w:cs="Times New Roman" w:eastAsia="宋体"/>
          <w:b/>
          <w:sz w:val="24"/>
        </w:rPr>
        <w:t>"AI债券潮"</w:t>
      </w:r>
      <w:r>
        <w:rPr>
          <w:rFonts w:ascii="Times New Roman" w:hAnsi="Times New Roman" w:cs="Times New Roman" w:eastAsia="宋体"/>
          <w:b w:val="0"/>
          <w:sz w:val="24"/>
        </w:rPr>
        <w:t>——Meta（$300亿+$270亿表外SPV）、亚马逊（$150亿，三年首发）、Alphabet（$250亿，美欧双市场）集中发债；微软/英伟达基本自筹并大额回购；特斯拉历史靠增发股票。</w:t>
      </w:r>
    </w:p>
    <w:p>
      <w:pPr>
        <w:spacing w:line="360" w:lineRule="auto" w:after="40"/>
        <w:ind w:firstLine="480"/>
      </w:pPr>
      <w:r>
        <w:rPr>
          <w:rFonts w:ascii="Times New Roman" w:hAnsi="Times New Roman" w:cs="Times New Roman" w:eastAsia="宋体"/>
          <w:b w:val="0"/>
          <w:sz w:val="24"/>
        </w:rPr>
        <w:t xml:space="preserve">5. </w:t>
      </w:r>
      <w:r>
        <w:rPr>
          <w:rFonts w:ascii="Times New Roman" w:hAnsi="Times New Roman" w:cs="Times New Roman" w:eastAsia="宋体"/>
          <w:b/>
          <w:sz w:val="24"/>
        </w:rPr>
        <w:t>算力</w:t>
      </w:r>
      <w:r>
        <w:rPr>
          <w:rFonts w:ascii="Times New Roman" w:hAnsi="Times New Roman" w:cs="Times New Roman" w:eastAsia="宋体"/>
          <w:b w:val="0"/>
          <w:sz w:val="24"/>
        </w:rPr>
        <w:t xml:space="preserve">：代表性系统——AWS </w:t>
      </w:r>
      <w:r>
        <w:rPr>
          <w:rFonts w:ascii="Times New Roman" w:hAnsi="Times New Roman" w:cs="Times New Roman" w:eastAsia="宋体"/>
          <w:b/>
          <w:sz w:val="24"/>
        </w:rPr>
        <w:t>Project Rainier</w:t>
      </w:r>
      <w:r>
        <w:rPr>
          <w:rFonts w:ascii="Times New Roman" w:hAnsi="Times New Roman" w:cs="Times New Roman" w:eastAsia="宋体"/>
          <w:b w:val="0"/>
          <w:sz w:val="24"/>
        </w:rPr>
        <w:t>（~50万 Trainium2）、Meta（Llama 4 训练于 10万+ H100 单集群，</w:t>
      </w:r>
      <w:r>
        <w:rPr>
          <w:rFonts w:ascii="Times New Roman" w:hAnsi="Times New Roman" w:cs="Times New Roman" w:eastAsia="宋体"/>
          <w:b/>
          <w:sz w:val="24"/>
        </w:rPr>
        <w:t>目标</w:t>
      </w:r>
      <w:r>
        <w:rPr>
          <w:rFonts w:ascii="Times New Roman" w:hAnsi="Times New Roman" w:cs="Times New Roman" w:eastAsia="宋体"/>
          <w:b w:val="0"/>
          <w:sz w:val="24"/>
        </w:rPr>
        <w:t xml:space="preserve"> 35万 H100）与 </w:t>
      </w:r>
      <w:r>
        <w:rPr>
          <w:rFonts w:ascii="Times New Roman" w:hAnsi="Times New Roman" w:cs="Times New Roman" w:eastAsia="宋体"/>
          <w:b/>
          <w:sz w:val="24"/>
        </w:rPr>
        <w:t>Prometheus</w:t>
      </w:r>
      <w:r>
        <w:rPr>
          <w:rFonts w:ascii="Times New Roman" w:hAnsi="Times New Roman" w:cs="Times New Roman" w:eastAsia="宋体"/>
          <w:b w:val="0"/>
          <w:sz w:val="24"/>
        </w:rPr>
        <w:t xml:space="preserve">（1GW+）、微软 </w:t>
      </w:r>
      <w:r>
        <w:rPr>
          <w:rFonts w:ascii="Times New Roman" w:hAnsi="Times New Roman" w:cs="Times New Roman" w:eastAsia="宋体"/>
          <w:b/>
          <w:sz w:val="24"/>
        </w:rPr>
        <w:t>Eagle</w:t>
      </w:r>
      <w:r>
        <w:rPr>
          <w:rFonts w:ascii="Times New Roman" w:hAnsi="Times New Roman" w:cs="Times New Roman" w:eastAsia="宋体"/>
          <w:b w:val="0"/>
          <w:sz w:val="24"/>
        </w:rPr>
        <w:t xml:space="preserve">（1.44万 H100，Top500 曾列第3）与 </w:t>
      </w:r>
      <w:r>
        <w:rPr>
          <w:rFonts w:ascii="Times New Roman" w:hAnsi="Times New Roman" w:cs="Times New Roman" w:eastAsia="宋体"/>
          <w:b/>
          <w:sz w:val="24"/>
        </w:rPr>
        <w:t>Fairwater 超级工厂</w:t>
      </w:r>
      <w:r>
        <w:rPr>
          <w:rFonts w:ascii="Times New Roman" w:hAnsi="Times New Roman" w:cs="Times New Roman" w:eastAsia="宋体"/>
          <w:b w:val="0"/>
          <w:sz w:val="24"/>
        </w:rPr>
        <w:t xml:space="preserve">（GB200 NVL72，~2GW）、谷歌 </w:t>
      </w:r>
      <w:r>
        <w:rPr>
          <w:rFonts w:ascii="Times New Roman" w:hAnsi="Times New Roman" w:cs="Times New Roman" w:eastAsia="宋体"/>
          <w:b/>
          <w:sz w:val="24"/>
        </w:rPr>
        <w:t>Ironwood TPU</w:t>
      </w:r>
      <w:r>
        <w:rPr>
          <w:rFonts w:ascii="Times New Roman" w:hAnsi="Times New Roman" w:cs="Times New Roman" w:eastAsia="宋体"/>
          <w:b w:val="0"/>
          <w:sz w:val="24"/>
        </w:rPr>
        <w:t xml:space="preserve">（单 Pod 9,216 芯片/42.5 FP8 EF）、英伟达 </w:t>
      </w:r>
      <w:r>
        <w:rPr>
          <w:rFonts w:ascii="Times New Roman" w:hAnsi="Times New Roman" w:cs="Times New Roman" w:eastAsia="宋体"/>
          <w:b/>
          <w:sz w:val="24"/>
        </w:rPr>
        <w:t>Eos</w:t>
      </w:r>
      <w:r>
        <w:rPr>
          <w:rFonts w:ascii="Times New Roman" w:hAnsi="Times New Roman" w:cs="Times New Roman" w:eastAsia="宋体"/>
          <w:b w:val="0"/>
          <w:sz w:val="24"/>
        </w:rPr>
        <w:t xml:space="preserve">（4,608 H100/121.4 PF）、特斯拉 </w:t>
      </w:r>
      <w:r>
        <w:rPr>
          <w:rFonts w:ascii="Times New Roman" w:hAnsi="Times New Roman" w:cs="Times New Roman" w:eastAsia="宋体"/>
          <w:b/>
          <w:sz w:val="24"/>
        </w:rPr>
        <w:t>Cortex</w:t>
      </w:r>
      <w:r>
        <w:rPr>
          <w:rFonts w:ascii="Times New Roman" w:hAnsi="Times New Roman" w:cs="Times New Roman" w:eastAsia="宋体"/>
          <w:b w:val="0"/>
          <w:sz w:val="24"/>
        </w:rPr>
        <w:t xml:space="preserve">（~6.7万 H100 当量）；特斯拉自研 </w:t>
      </w:r>
      <w:r>
        <w:rPr>
          <w:rFonts w:ascii="Times New Roman" w:hAnsi="Times New Roman" w:cs="Times New Roman" w:eastAsia="宋体"/>
          <w:b/>
          <w:sz w:val="24"/>
        </w:rPr>
        <w:t>Dojo</w:t>
      </w:r>
      <w:r>
        <w:rPr>
          <w:rFonts w:ascii="Times New Roman" w:hAnsi="Times New Roman" w:cs="Times New Roman" w:eastAsia="宋体"/>
          <w:b w:val="0"/>
          <w:sz w:val="24"/>
        </w:rPr>
        <w:t xml:space="preserve"> 于 2025/8 关停。</w:t>
      </w:r>
    </w:p>
    <w:p>
      <w:pPr>
        <w:pBdr>
          <w:bottom w:val="single" w:sz="6" w:space="1" w:color="AAAAAA"/>
        </w:pBdr>
        <w:spacing w:after="80"/>
      </w:pPr>
    </w:p>
    <w:p>
      <w:pPr>
        <w:spacing w:before="240" w:after="120" w:line="360" w:lineRule="auto"/>
      </w:pPr>
      <w:r>
        <w:rPr>
          <w:rFonts w:ascii="Times New Roman" w:hAnsi="Times New Roman" w:cs="Times New Roman" w:eastAsia="黑体"/>
          <w:b/>
          <w:sz w:val="32"/>
        </w:rPr>
        <w:t>八、一手来源清单（建议据此做最终复核）</w:t>
      </w:r>
    </w:p>
    <w:p>
      <w:pPr>
        <w:spacing w:line="360" w:lineRule="auto" w:after="40"/>
        <w:ind w:left="420"/>
      </w:pPr>
      <w:r>
        <w:rPr>
          <w:rFonts w:ascii="Times New Roman" w:hAnsi="Times New Roman" w:cs="Times New Roman" w:eastAsia="宋体"/>
          <w:b w:val="0"/>
          <w:sz w:val="24"/>
        </w:rPr>
        <w:t>本报告绝大部分数字已就地附一手/权威来源链接（10-K 现金流量表、权益变动表、SEC 8-K/424B 募集书、Top500、公司官方博客、Platformonomics 分析）。以下为进一步复核入口：</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SEC EDGAR 公司文件页</w:t>
      </w:r>
      <w:r>
        <w:rPr>
          <w:rFonts w:ascii="Times New Roman" w:hAnsi="Times New Roman" w:cs="Times New Roman" w:eastAsia="宋体"/>
          <w:b w:val="0"/>
          <w:sz w:val="24"/>
        </w:rPr>
        <w:t>（换 CIK 与 form type）：https://www.sec.gov/cgi-bin/browse-edgar?action=getcompany&amp;CIK=&lt;CIK&gt;&amp;type=10-K&amp;count=40（type 可换 10-Q/8-K/424B5/424B2）</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EDGAR 全文检索</w:t>
      </w:r>
      <w:r>
        <w:rPr>
          <w:rFonts w:ascii="Times New Roman" w:hAnsi="Times New Roman" w:cs="Times New Roman" w:eastAsia="宋体"/>
          <w:b w:val="0"/>
          <w:sz w:val="24"/>
        </w:rPr>
        <w:t>：在 https://www.sec.gov 站内 "Full-Text Search" 框输入关键词（如 "senior notes"）；efts.sec.gov/LATEST/search-index?q= 为其 JSON API、非网页。</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各公司 CIK</w:t>
      </w:r>
      <w:r>
        <w:rPr>
          <w:rFonts w:ascii="Times New Roman" w:hAnsi="Times New Roman" w:cs="Times New Roman" w:eastAsia="宋体"/>
          <w:b w:val="0"/>
          <w:sz w:val="24"/>
        </w:rPr>
        <w:t>：微软 0000789019｜苹果 0000320193｜英伟达 0001045810｜Alphabet 0001652044｜亚马逊 0001018724｜Meta 0001326801｜特斯拉 0001318605</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sz w:val="24"/>
        </w:rPr>
        <w:t>Top500 榜单</w:t>
      </w:r>
      <w:r>
        <w:rPr>
          <w:rFonts w:ascii="Times New Roman" w:hAnsi="Times New Roman" w:cs="Times New Roman" w:eastAsia="宋体"/>
          <w:b w:val="0"/>
          <w:sz w:val="24"/>
        </w:rPr>
        <w:t>：https://top500.org（搜 "Eagle"/"Eos"）</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微软投资者关系：https://www.microsoft.com/en-us/investor</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亚马逊投资者关系：https://ir.aboutamazon.com</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Alphabet 投资者关系：https://abc.xyz/investor/</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Meta 投资者关系：https://investor.atmeta.com</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英伟达投资者关系：https://investor.nvidia.com</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特斯拉投资者关系：https://ir.tesla.com</w:t>
      </w:r>
    </w:p>
    <w:p>
      <w:pPr>
        <w:spacing w:line="360" w:lineRule="auto" w:after="40"/>
        <w:ind w:left="420" w:hanging="210"/>
      </w:pPr>
      <w:r>
        <w:rPr>
          <w:rFonts w:ascii="Times New Roman" w:hAnsi="Times New Roman" w:cs="Times New Roman" w:eastAsia="宋体"/>
          <w:b w:val="0"/>
          <w:sz w:val="24"/>
        </w:rPr>
        <w:t xml:space="preserve">• </w:t>
      </w:r>
      <w:r>
        <w:rPr>
          <w:rFonts w:ascii="Times New Roman" w:hAnsi="Times New Roman" w:cs="Times New Roman" w:eastAsia="宋体"/>
          <w:b w:val="0"/>
          <w:sz w:val="24"/>
        </w:rPr>
        <w:t>苹果投资者关系：https://investor.apple.com</w:t>
      </w:r>
    </w:p>
    <w:p>
      <w:pPr>
        <w:pBdr>
          <w:bottom w:val="single" w:sz="6" w:space="1" w:color="AAAAAA"/>
        </w:pBdr>
        <w:spacing w:after="80"/>
      </w:pPr>
    </w:p>
    <w:p>
      <w:pPr>
        <w:spacing w:before="160" w:after="120" w:line="360" w:lineRule="auto"/>
      </w:pPr>
      <w:r>
        <w:rPr>
          <w:rFonts w:ascii="Times New Roman" w:hAnsi="Times New Roman" w:cs="Times New Roman" w:eastAsia="黑体"/>
          <w:b/>
          <w:sz w:val="28"/>
        </w:rPr>
        <w:t>免责声明</w:t>
      </w:r>
    </w:p>
    <w:p>
      <w:pPr>
        <w:spacing w:line="360" w:lineRule="auto" w:after="40"/>
        <w:ind w:firstLine="480"/>
      </w:pPr>
      <w:r>
        <w:rPr>
          <w:rFonts w:ascii="Times New Roman" w:hAnsi="Times New Roman" w:cs="Times New Roman" w:eastAsia="宋体"/>
          <w:b w:val="0"/>
          <w:sz w:val="24"/>
        </w:rPr>
        <w:t>本报告为基于公开信息的研究整理，不构成投资建议。所有标【来源待核实】的数字请以公司 SEC 原始文件/官方公告为准。</w:t>
      </w:r>
      <w:r>
        <w:rPr>
          <w:rFonts w:ascii="Times New Roman" w:hAnsi="Times New Roman" w:cs="Times New Roman" w:eastAsia="宋体"/>
          <w:b/>
          <w:sz w:val="24"/>
        </w:rPr>
        <w:t>2026 年 capex 指引</w:t>
      </w:r>
      <w:r>
        <w:rPr>
          <w:rFonts w:ascii="Times New Roman" w:hAnsi="Times New Roman" w:cs="Times New Roman" w:eastAsia="宋体"/>
          <w:b w:val="0"/>
          <w:sz w:val="24"/>
        </w:rPr>
        <w:t>为公司前瞻、可能随后续季报修订；</w:t>
      </w:r>
      <w:r>
        <w:rPr>
          <w:rFonts w:ascii="Times New Roman" w:hAnsi="Times New Roman" w:cs="Times New Roman" w:eastAsia="宋体"/>
          <w:b/>
          <w:sz w:val="24"/>
        </w:rPr>
        <w:t>市值</w:t>
      </w:r>
      <w:r>
        <w:rPr>
          <w:rFonts w:ascii="Times New Roman" w:hAnsi="Times New Roman" w:cs="Times New Roman" w:eastAsia="宋体"/>
          <w:b w:val="0"/>
          <w:sz w:val="24"/>
        </w:rPr>
        <w:t>为市场数据、2025 年末已为定值（不存在"后续披露修订"）。</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ompaniesmarketcap.com/microsoft/marketcap/" TargetMode="External"/><Relationship Id="rId11" Type="http://schemas.openxmlformats.org/officeDocument/2006/relationships/hyperlink" Target="https://companiesmarketcap.com/nvidia/marketcap/" TargetMode="External"/><Relationship Id="rId12" Type="http://schemas.openxmlformats.org/officeDocument/2006/relationships/hyperlink" Target="https://companiesmarketcap.com/meta-platforms/marketcap/" TargetMode="External"/><Relationship Id="rId13" Type="http://schemas.openxmlformats.org/officeDocument/2006/relationships/hyperlink" Target="https://companiesmarketcap.com/tesla/marketcap/" TargetMode="External"/><Relationship Id="rId14" Type="http://schemas.openxmlformats.org/officeDocument/2006/relationships/hyperlink" Target="https://companiesmarketcap.com/amazon/marketcap/" TargetMode="External"/><Relationship Id="rId15" Type="http://schemas.openxmlformats.org/officeDocument/2006/relationships/hyperlink" Target="https://www.macrotrends.net/stocks/charts/MSFT/microsoft/market-cap" TargetMode="External"/><Relationship Id="rId16" Type="http://schemas.openxmlformats.org/officeDocument/2006/relationships/hyperlink" Target="https://www.macrotrends.net/stocks/charts/META/meta-platforms/market-cap" TargetMode="External"/><Relationship Id="rId17" Type="http://schemas.openxmlformats.org/officeDocument/2006/relationships/hyperlink" Target="https://www.macrotrends.net/stocks/charts/TSLA/tesla/market-cap" TargetMode="External"/><Relationship Id="rId18" Type="http://schemas.openxmlformats.org/officeDocument/2006/relationships/hyperlink" Target="https://www.visualcapitalist.com/magnificent-seven-stock-returns-in-2025/" TargetMode="External"/><Relationship Id="rId19" Type="http://schemas.openxmlformats.org/officeDocument/2006/relationships/hyperlink" Target="https://platformonomics.com/2026/02/follow-the-capex-2025-retrospective/" TargetMode="External"/><Relationship Id="rId20" Type="http://schemas.openxmlformats.org/officeDocument/2006/relationships/hyperlink" Target="https://techcrunch.com/2026/04/22/tesla-just-increased-its-capex-to-25b-heres-where-the-money-is-going/" TargetMode="External"/><Relationship Id="rId21" Type="http://schemas.openxmlformats.org/officeDocument/2006/relationships/hyperlink" Target="https://www.sec.gov/Archives/edgar/data/0000789019/000095017024087843/Financial_Report.xlsx" TargetMode="External"/><Relationship Id="rId22" Type="http://schemas.openxmlformats.org/officeDocument/2006/relationships/hyperlink" Target="https://www.sec.gov/Archives/edgar/data/0000789019/000095017025010484/msft-ex99_1.htm" TargetMode="External"/><Relationship Id="rId23" Type="http://schemas.openxmlformats.org/officeDocument/2006/relationships/hyperlink" Target="https://www.financecharts.com/stocks/MSFT/cash-flow/capital-expenditures" TargetMode="External"/><Relationship Id="rId24" Type="http://schemas.openxmlformats.org/officeDocument/2006/relationships/hyperlink" Target="https://www.macrotrends.net/stocks/charts/AMZN/amazon/net-change-in-property-plant-equipment" TargetMode="External"/><Relationship Id="rId25" Type="http://schemas.openxmlformats.org/officeDocument/2006/relationships/hyperlink" Target="https://www.cnbc.com/2024/10/31/amazon-ceo-pledges-ai-investments-will-pay-off-as-capex-surges-81percent.html" TargetMode="External"/><Relationship Id="rId26" Type="http://schemas.openxmlformats.org/officeDocument/2006/relationships/hyperlink" Target="https://www.sec.gov/Archives/edgar/data/1652044/000165204425000010/googexhibit991q42024.htm" TargetMode="External"/><Relationship Id="rId27" Type="http://schemas.openxmlformats.org/officeDocument/2006/relationships/hyperlink" Target="https://www.sec.gov/Archives/edgar/data/1652044/000165204426000012/googexhibit991q42025.htm" TargetMode="External"/><Relationship Id="rId28" Type="http://schemas.openxmlformats.org/officeDocument/2006/relationships/hyperlink" Target="https://s206.q4cdn.com/479360582/files/doc_financials/2025/q4/GOOG-10-K-2025.pdf" TargetMode="External"/><Relationship Id="rId29" Type="http://schemas.openxmlformats.org/officeDocument/2006/relationships/hyperlink" Target="https://investor.atmeta.com/investor-news/press-release-details/2026/Meta-Reports-Fourth-Quarter-and-Full-Year-2025-Results/default.aspx" TargetMode="External"/><Relationship Id="rId30" Type="http://schemas.openxmlformats.org/officeDocument/2006/relationships/hyperlink" Target="https://www.prnewswire.com/news-releases/meta-reports-fourth-quarter-and-full-year-2022-results-301736645.html" TargetMode="External"/><Relationship Id="rId31" Type="http://schemas.openxmlformats.org/officeDocument/2006/relationships/hyperlink" Target="https://www.statista.com/chart/33859/capital-expenditure-of-meta-inc/" TargetMode="External"/><Relationship Id="rId32" Type="http://schemas.openxmlformats.org/officeDocument/2006/relationships/hyperlink" Target="https://www.sec.gov/Archives/edgar/data/0001045810/000104581022000036/Financial_Report.xlsx" TargetMode="External"/><Relationship Id="rId33" Type="http://schemas.openxmlformats.org/officeDocument/2006/relationships/hyperlink" Target="https://bullfincher.io/companies/nvidia-corporation/financial-statements" TargetMode="External"/><Relationship Id="rId34" Type="http://schemas.openxmlformats.org/officeDocument/2006/relationships/hyperlink" Target="https://www.sec.gov/Archives/edgar/data/0001318605/000095017024007073/tsla-ex99_1.htm" TargetMode="External"/><Relationship Id="rId35" Type="http://schemas.openxmlformats.org/officeDocument/2006/relationships/hyperlink" Target="https://bullfincher.io/companies/apple/financial-statements" TargetMode="External"/><Relationship Id="rId36" Type="http://schemas.openxmlformats.org/officeDocument/2006/relationships/hyperlink" Target="https://www.financecharts.com/stocks/AAPL/cash-flow/capital-expenditures" TargetMode="External"/><Relationship Id="rId37" Type="http://schemas.openxmlformats.org/officeDocument/2006/relationships/hyperlink" Target="https://platformonomics.com/2022/02/follow-the-capex-cloud-table-stakes-2021-retrospective/" TargetMode="External"/><Relationship Id="rId38" Type="http://schemas.openxmlformats.org/officeDocument/2006/relationships/hyperlink" Target="https://platformonomics.com/2025/02/follow-the-capex-cloud-table-stakes-2024-retrospective/" TargetMode="External"/><Relationship Id="rId39" Type="http://schemas.openxmlformats.org/officeDocument/2006/relationships/hyperlink" Target="https://platformonomics.com/2021/02/follow-the-capex-cloud-table-stakes-2020-retrospective/" TargetMode="External"/><Relationship Id="rId40" Type="http://schemas.openxmlformats.org/officeDocument/2006/relationships/hyperlink" Target="https://platformonomics.com/2023/02/follow-the-capex-cloud-table-stakes-2022-retrospective/" TargetMode="External"/><Relationship Id="rId41" Type="http://schemas.openxmlformats.org/officeDocument/2006/relationships/hyperlink" Target="https://platformonomics.com/2024/02/follow-the-capex-cloud-table-stakes-2023-retrospective/" TargetMode="External"/><Relationship Id="rId42" Type="http://schemas.openxmlformats.org/officeDocument/2006/relationships/hyperlink" Target="https://www.datacenterdynamics.com/en/news/meta-forms-27-billion-joint-venture-with-blue-owl-to-fund-gigawatt-scale-ai-data-center-campus-in-louisiana/" TargetMode="External"/><Relationship Id="rId43" Type="http://schemas.openxmlformats.org/officeDocument/2006/relationships/hyperlink" Target="https://www.bloomberg.com/news/articles/2025-10-30/meta-platforms-offers-six-part-bond-amid-ai-spending-rush" TargetMode="External"/><Relationship Id="rId44" Type="http://schemas.openxmlformats.org/officeDocument/2006/relationships/hyperlink" Target="https://www.investing.com/news/sec-filings/meta-platforms-completes-30-billion-senior-notes-offering-across-multiple-maturities-93CH-4328562" TargetMode="External"/><Relationship Id="rId45" Type="http://schemas.openxmlformats.org/officeDocument/2006/relationships/hyperlink" Target="https://fortune.com/2025/10/31/metas-27-billion-bet-turns-ai-compute-into-wall-streets-hottest-new-investment/" TargetMode="External"/><Relationship Id="rId46" Type="http://schemas.openxmlformats.org/officeDocument/2006/relationships/hyperlink" Target="https://www.stocktitan.net/sec-filings/AMZN/8-k-amazon-com-inc-reports-material-event-d0fb3cc71c9a.html" TargetMode="External"/><Relationship Id="rId47" Type="http://schemas.openxmlformats.org/officeDocument/2006/relationships/hyperlink" Target="https://www.bloomberg.com/news/articles/2025-11-17/amazon-kicks-off-first-us-high-grade-bond-sale-in-three-years" TargetMode="External"/><Relationship Id="rId48" Type="http://schemas.openxmlformats.org/officeDocument/2006/relationships/hyperlink" Target="https://seekingalpha.com/news/4523183-amazon-raises-15b-in-first-us-bond-sale-since-2022" TargetMode="External"/><Relationship Id="rId49" Type="http://schemas.openxmlformats.org/officeDocument/2006/relationships/hyperlink" Target="https://www.bloomberg.com/news/articles/2025-11-03/alphabet-to-sell-at-least-3-billion-bonds-to-fund-ai-expansion" TargetMode="External"/><Relationship Id="rId50" Type="http://schemas.openxmlformats.org/officeDocument/2006/relationships/hyperlink" Target="https://www.sec.gov/Archives/edgar/data/0001652044/000119312525267244/d64361d424b2.htm" TargetMode="External"/><Relationship Id="rId51" Type="http://schemas.openxmlformats.org/officeDocument/2006/relationships/hyperlink" Target="https://www.sec.gov/Archives/edgar/data/0001652044/000119312525107005/d910841d424b2.htm" TargetMode="External"/><Relationship Id="rId52" Type="http://schemas.openxmlformats.org/officeDocument/2006/relationships/hyperlink" Target="https://www.fool.com/investing/2020/02/20/tesla-raises-231-billion-in-its-stock-offering.aspx" TargetMode="External"/><Relationship Id="rId53" Type="http://schemas.openxmlformats.org/officeDocument/2006/relationships/hyperlink" Target="https://www.bloomberg.com/news/articles/2020-02-13/tesla-capital-raise-keeps-a-14-billion-virtuous-circle-rolling" TargetMode="External"/><Relationship Id="rId54" Type="http://schemas.openxmlformats.org/officeDocument/2006/relationships/hyperlink" Target="https://www.fool.com/investing/2025/08/28/nvidia-buyback-stock-repurchase-nvda-ai/" TargetMode="External"/><Relationship Id="rId55" Type="http://schemas.openxmlformats.org/officeDocument/2006/relationships/hyperlink" Target="https://top500.org/system/180236/" TargetMode="External"/><Relationship Id="rId56" Type="http://schemas.openxmlformats.org/officeDocument/2006/relationships/hyperlink" Target="https://thenewstack.io/sc500-microsoft-now-has-the-third-fastest-computer-in-the-world/" TargetMode="External"/><Relationship Id="rId57" Type="http://schemas.openxmlformats.org/officeDocument/2006/relationships/hyperlink" Target="https://www.datacenterdynamics.com/en/news/microsoft-deploying-equivalent-of-five-561-petaflops-supercomputers-every-month/" TargetMode="External"/><Relationship Id="rId58" Type="http://schemas.openxmlformats.org/officeDocument/2006/relationships/hyperlink" Target="https://blogs.microsoft.com/blog/2025/09/18/inside-the-worlds-most-powerful-ai-datacenter/" TargetMode="External"/><Relationship Id="rId59" Type="http://schemas.openxmlformats.org/officeDocument/2006/relationships/hyperlink" Target="https://news.microsoft.com/source/features/ai/from-wisconsin-to-atlanta-microsoft-connects-datacenters-to-build-its-first-ai-superfactory/" TargetMode="External"/><Relationship Id="rId60" Type="http://schemas.openxmlformats.org/officeDocument/2006/relationships/hyperlink" Target="https://engineering.fb.com/2025/09/29/data-infrastructure/metas-infrastructure-evolution-and-the-advent-of-ai/" TargetMode="External"/><Relationship Id="rId61" Type="http://schemas.openxmlformats.org/officeDocument/2006/relationships/hyperlink" Target="https://www.tomshardware.com/tech-industry/artificial-intelligence/meta-is-using-more-than-100-000-nvidia-h100-ai-gpus-to-train-llama-4-mark-zuckerberg-says-that-llama-4-is-being-trained-on-a-cluster-bigger-than-anything-that-ive-seen" TargetMode="External"/><Relationship Id="rId62" Type="http://schemas.openxmlformats.org/officeDocument/2006/relationships/hyperlink" Target="https://www.adwaitx.com/meta-prometheus-ai-cluster/" TargetMode="External"/><Relationship Id="rId63" Type="http://schemas.openxmlformats.org/officeDocument/2006/relationships/hyperlink" Target="https://www.datacenterdynamics.com/en/news/meta-to-invest-hundreds-of-billions-of-dollars-into-compute-to-build-superintelligence-with-several-multi-gw-data-center-clusters/" TargetMode="External"/><Relationship Id="rId64" Type="http://schemas.openxmlformats.org/officeDocument/2006/relationships/hyperlink" Target="https://www.aboutamazon.com/news/aws/aws-project-rainier-ai-trainium-chips-compute-cluster" TargetMode="External"/><Relationship Id="rId65" Type="http://schemas.openxmlformats.org/officeDocument/2006/relationships/hyperlink" Target="https://www.datacenterdynamics.com/en/news/aws-activates-project-rainier-cluster-of-nearly-500000-trainium2-chips/" TargetMode="External"/><Relationship Id="rId66" Type="http://schemas.openxmlformats.org/officeDocument/2006/relationships/hyperlink" Target="https://blog.google/innovation-and-ai/infrastructure-and-cloud/google-cloud/ironwood-tpu-age-of-inference/" TargetMode="External"/><Relationship Id="rId67" Type="http://schemas.openxmlformats.org/officeDocument/2006/relationships/hyperlink" Target="https://www.hpcwire.com/2025/11/10/google-aims-to-flip-the-script-on-ai-inference-with-new-ironwood-tpus/" TargetMode="External"/><Relationship Id="rId68" Type="http://schemas.openxmlformats.org/officeDocument/2006/relationships/hyperlink" Target="https://www.top500.org/lists/top500/2023/11/highs/" TargetMode="External"/><Relationship Id="rId69" Type="http://schemas.openxmlformats.org/officeDocument/2006/relationships/hyperlink" Target="https://www.datacenterdynamics.com/en/news/teslas-50000-gpu-cortex-supercomputer-went-live-in-q4-2024/" TargetMode="External"/><Relationship Id="rId70" Type="http://schemas.openxmlformats.org/officeDocument/2006/relationships/hyperlink" Target="https://www.tomshardware.com/desktops/servers/elon-musk-shows-off-cortex-ai-supercluster-first-look-at-teslas-50000-nvidia-h100s" TargetMode="External"/><Relationship Id="rId71" Type="http://schemas.openxmlformats.org/officeDocument/2006/relationships/hyperlink" Target="https://techcrunch.com/2025/09/02/tesla-dojo-the-rise-and-fall-of-elon-musks-ai-supercompu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