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60" w:lineRule="auto"/>
        <w:jc w:val="center"/>
      </w:pPr>
      <w:r>
        <w:rPr>
          <w:rFonts w:ascii="Times New Roman" w:hAnsi="Times New Roman" w:cs="Times New Roman" w:eastAsia="黑体"/>
          <w:b/>
          <w:sz w:val="36"/>
        </w:rPr>
        <w:t>美国四大AI算力巨头财务与算力研究（2020–2025）</w:t>
      </w:r>
    </w:p>
    <w:p>
      <w:pPr>
        <w:spacing w:after="120"/>
        <w:jc w:val="center"/>
      </w:pPr>
      <w:r>
        <w:rPr>
          <w:rFonts w:ascii="Times New Roman" w:hAnsi="Times New Roman" w:cs="Times New Roman" w:eastAsia="黑体"/>
          <w:b/>
          <w:sz w:val="32"/>
        </w:rPr>
        <w:t>目录</w:t>
      </w:r>
    </w:p>
    <w:p>
      <w:r>
        <w:rPr>
          <w:rFonts w:ascii="Times New Roman" w:hAnsi="Times New Roman" w:cs="Times New Roman" w:eastAsia="宋体"/>
          <w:b w:val="0"/>
          <w:sz w:val="22"/>
        </w:rPr>
        <w:fldChar w:fldCharType="begin" w:dirty="true"/>
        <w:instrText xml:space="preserve"> TOC \o "1-3" \h \z \u </w:instrText>
        <w:fldChar w:fldCharType="separate"/>
        <w:t>（在 Word 中右键“更新域/Update Field”即可生成目录与页码）</w:t>
        <w:fldChar w:fldCharType="end"/>
      </w:r>
    </w:p>
    <w:p>
      <w:r>
        <w:br w:type="page"/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/>
          <w:sz w:val="24"/>
        </w:rPr>
        <w:t>研究对象：Oracle（ORCL）、Broadcom（AVGO）、AMD、CoreWeave（CRWV）</w:t>
      </w:r>
    </w:p>
    <w:p>
      <w:pPr>
        <w:pBdr>
          <w:bottom w:val="single" w:sz="6" w:space="1" w:color="AAAAAA"/>
        </w:pBdr>
        <w:spacing w:after="80"/>
      </w:pPr>
    </w:p>
    <w:p>
      <w:pPr>
        <w:spacing w:line="360" w:lineRule="auto" w:before="240" w:after="120"/>
        <w:outlineLvl w:val="0"/>
      </w:pPr>
      <w:r>
        <w:rPr>
          <w:rFonts w:ascii="Times New Roman" w:hAnsi="Times New Roman" w:cs="Times New Roman" w:eastAsia="黑体"/>
          <w:b/>
          <w:sz w:val="32"/>
        </w:rPr>
        <w:t>一、说明</w:t>
      </w:r>
    </w:p>
    <w:p>
      <w:pPr>
        <w:spacing w:line="360" w:lineRule="auto" w:before="120" w:after="40"/>
      </w:pPr>
      <w:r>
        <w:rPr>
          <w:rFonts w:ascii="Times New Roman" w:hAnsi="Times New Roman" w:cs="Times New Roman" w:eastAsia="宋体"/>
          <w:b/>
          <w:sz w:val="24"/>
        </w:rPr>
        <w:t>1. 研究对象与选择原因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本轮调研主题为"AI 算力美国巨头"。与第一轮 Magnificent Seven（按市值选样）不同，本轮按</w:t>
      </w:r>
      <w:r>
        <w:rPr>
          <w:rFonts w:ascii="Times New Roman" w:hAnsi="Times New Roman" w:cs="Times New Roman" w:eastAsia="宋体"/>
          <w:b/>
          <w:sz w:val="24"/>
        </w:rPr>
        <w:t>在 AI 算力产业链中的角色</w:t>
      </w:r>
      <w:r>
        <w:rPr>
          <w:rFonts w:ascii="Times New Roman" w:hAnsi="Times New Roman" w:cs="Times New Roman" w:eastAsia="宋体"/>
          <w:b w:val="0"/>
          <w:sz w:val="24"/>
        </w:rPr>
        <w:t>选取四家：一家算力云卖方（Oracle）、一家定制 AI 芯片+网络供应商（Broadcom）、一家 AI GPU 供应商（AMD）、一家纯 GPU 云新贵（CoreWeave）。</w:t>
      </w:r>
    </w:p>
    <w:p>
      <w:pPr>
        <w:spacing w:before="120" w:after="40" w:line="312" w:lineRule="auto"/>
        <w:jc w:val="center"/>
      </w:pPr>
      <w:r>
        <w:rPr>
          <w:rFonts w:ascii="Times New Roman" w:hAnsi="Times New Roman" w:cs="Times New Roman" w:eastAsia="宋体"/>
          <w:b/>
          <w:sz w:val="21"/>
        </w:rPr>
        <w:t>表 1 选择原因与证据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公司</w:t>
            </w:r>
          </w:p>
        </w:tc>
        <w:tc>
          <w:tcPr>
            <w:tcW w:type="dxa" w:w="2126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角色 / 选择原因</w:t>
            </w:r>
          </w:p>
        </w:tc>
        <w:tc>
          <w:tcPr>
            <w:tcW w:type="dxa" w:w="2126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证据（英文原文）</w:t>
            </w:r>
          </w:p>
        </w:tc>
        <w:tc>
          <w:tcPr>
            <w:tcW w:type="dxa" w:w="2126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来源</w:t>
            </w:r>
          </w:p>
        </w:tc>
      </w:tr>
      <w:tr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Oracle ORCL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 算力云卖方：OCI 为 OpenAI 等提供超大规模 GPU 集群，积压合同爆炸式增长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"Oracle has more than $455 billion in remaining performance obligations (RPO) at the end of its first quarter of fiscal year 2026"（RPO 同比 +359%，主要来自 AI/OpenAI 合同）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hyperlink r:id="rId10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DataCenterDynamics</w:t>
              </w:r>
            </w:hyperlink>
            <w:r>
              <w:rPr>
                <w:rFonts w:ascii="Times New Roman" w:hAnsi="Times New Roman" w:cs="Times New Roman" w:eastAsia="宋体"/>
                <w:b w:val="0"/>
                <w:sz w:val="21"/>
              </w:rPr>
              <w:t>、</w:t>
            </w:r>
            <w:hyperlink r:id="rId11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Oracle Q1 FY26 新闻稿</w:t>
              </w:r>
            </w:hyperlink>
          </w:p>
        </w:tc>
      </w:tr>
      <w:tr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Broadcom AVGO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定制 AI 加速器（XPU）与 AI 网络芯片供应商：谷歌 TPU 七代协同设计方，OpenAI 自研芯片合作方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"OpenAI and Broadcom announce strategic collaboration to deploy 10 gigawatts of OpenAI-designed AI accelerators"（2025/10/13）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hyperlink r:id="rId12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Broadcom 官方新闻稿</w:t>
              </w:r>
            </w:hyperlink>
            <w:r>
              <w:rPr>
                <w:rFonts w:ascii="Times New Roman" w:hAnsi="Times New Roman" w:cs="Times New Roman" w:eastAsia="宋体"/>
                <w:b w:val="0"/>
                <w:sz w:val="21"/>
              </w:rPr>
              <w:t>、</w:t>
            </w:r>
            <w:hyperlink r:id="rId13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OpenAI 官网</w:t>
              </w:r>
            </w:hyperlink>
          </w:p>
        </w:tc>
      </w:tr>
      <w:tr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AMD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英伟达之外最大 AI GPU 供应商（Instinct 系列）；全球最快超算 El Capitan 的芯片供应方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"AMD and OpenAI Announce Strategic Partnership to Deploy 6 Gigawatts of AMD GPUs"（2025/10/6）；"AMD-powered El Capitan is now the world's fastest supercomputer with 1.7 exaflops"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hyperlink r:id="rId14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AMD 官方新闻稿</w:t>
              </w:r>
            </w:hyperlink>
            <w:r>
              <w:rPr>
                <w:rFonts w:ascii="Times New Roman" w:hAnsi="Times New Roman" w:cs="Times New Roman" w:eastAsia="宋体"/>
                <w:b w:val="0"/>
                <w:sz w:val="21"/>
              </w:rPr>
              <w:t>、</w:t>
            </w:r>
            <w:hyperlink r:id="rId15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Tom's Hardware</w:t>
              </w:r>
            </w:hyperlink>
          </w:p>
        </w:tc>
      </w:tr>
      <w:tr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CoreWeave CRWV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纯 AI GPU 云（neocloud 代表）：25 万+张英伟达 GPU、微软/OpenAI 为核心客户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"CoreWeave's fleet now exceeds 250,000 GPUs across 32+ data centers"；OpenAI 签约 $11.9B（2025/3）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hyperlink r:id="rId16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The Next Platform</w:t>
              </w:r>
            </w:hyperlink>
            <w:r>
              <w:rPr>
                <w:rFonts w:ascii="Times New Roman" w:hAnsi="Times New Roman" w:cs="Times New Roman" w:eastAsia="宋体"/>
                <w:b w:val="0"/>
                <w:sz w:val="21"/>
              </w:rPr>
              <w:t>、</w:t>
            </w:r>
            <w:hyperlink r:id="rId17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CNBC</w:t>
              </w:r>
            </w:hyperlink>
          </w:p>
        </w:tc>
      </w:tr>
    </w:tbl>
    <w:p>
      <w:pPr>
        <w:spacing w:after="40"/>
      </w:pPr>
    </w:p>
    <w:p>
      <w:pPr>
        <w:spacing w:line="360" w:lineRule="auto" w:before="120" w:after="40"/>
      </w:pPr>
      <w:r>
        <w:rPr>
          <w:rFonts w:ascii="Times New Roman" w:hAnsi="Times New Roman" w:cs="Times New Roman" w:eastAsia="宋体"/>
          <w:b/>
          <w:sz w:val="24"/>
        </w:rPr>
        <w:t>2. 覆盖维度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①市值变化 ②资本性开支（CapEx） ③用于数据中心建设的资本性开支 ④融资额（债/股） ⑤超算/算力能力</w:t>
      </w:r>
    </w:p>
    <w:p>
      <w:pPr>
        <w:spacing w:line="360" w:lineRule="auto" w:before="120" w:after="40"/>
      </w:pPr>
      <w:r>
        <w:rPr>
          <w:rFonts w:ascii="Times New Roman" w:hAnsi="Times New Roman" w:cs="Times New Roman" w:eastAsia="宋体"/>
          <w:b/>
          <w:sz w:val="24"/>
        </w:rPr>
        <w:t>3. 口径统一说明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各公司财年不同：</w:t>
      </w:r>
      <w:r>
        <w:rPr>
          <w:rFonts w:ascii="Times New Roman" w:hAnsi="Times New Roman" w:cs="Times New Roman" w:eastAsia="宋体"/>
          <w:b/>
          <w:sz w:val="24"/>
        </w:rPr>
        <w:t>Oracle 财年止 5/31</w:t>
      </w:r>
      <w:r>
        <w:rPr>
          <w:rFonts w:ascii="Times New Roman" w:hAnsi="Times New Roman" w:cs="Times New Roman" w:eastAsia="宋体"/>
          <w:b w:val="0"/>
          <w:sz w:val="24"/>
        </w:rPr>
        <w:t>；</w:t>
      </w:r>
      <w:r>
        <w:rPr>
          <w:rFonts w:ascii="Times New Roman" w:hAnsi="Times New Roman" w:cs="Times New Roman" w:eastAsia="宋体"/>
          <w:b/>
          <w:sz w:val="24"/>
        </w:rPr>
        <w:t>Broadcom 财年止 11 月初</w:t>
      </w:r>
      <w:r>
        <w:rPr>
          <w:rFonts w:ascii="Times New Roman" w:hAnsi="Times New Roman" w:cs="Times New Roman" w:eastAsia="宋体"/>
          <w:b w:val="0"/>
          <w:sz w:val="24"/>
        </w:rPr>
        <w:t>（52/53 周制）；AMD、CoreWeave 为日历年（AMD 止 12 月最后一个周六）。</w:t>
      </w:r>
      <w:r>
        <w:rPr>
          <w:rFonts w:ascii="Times New Roman" w:hAnsi="Times New Roman" w:cs="Times New Roman" w:eastAsia="宋体"/>
          <w:b/>
          <w:sz w:val="24"/>
        </w:rPr>
        <w:t>CoreWeave 2025/3/28 才上市</w:t>
      </w:r>
      <w:r>
        <w:rPr>
          <w:rFonts w:ascii="Times New Roman" w:hAnsi="Times New Roman" w:cs="Times New Roman" w:eastAsia="宋体"/>
          <w:b w:val="0"/>
          <w:sz w:val="24"/>
        </w:rPr>
        <w:t>，上市前财务数据来自招股书（S-1）与第三方研究，2020–2021 年公司尚以加密货币挖矿为主业，多数指标无可比数据。</w:t>
      </w:r>
    </w:p>
    <w:p>
      <w:pPr>
        <w:pBdr>
          <w:bottom w:val="single" w:sz="6" w:space="1" w:color="AAAAAA"/>
        </w:pBdr>
        <w:spacing w:after="80"/>
      </w:pPr>
    </w:p>
    <w:p>
      <w:pPr>
        <w:spacing w:line="360" w:lineRule="auto" w:before="240" w:after="120"/>
        <w:outlineLvl w:val="0"/>
      </w:pPr>
      <w:r>
        <w:rPr>
          <w:rFonts w:ascii="Times New Roman" w:hAnsi="Times New Roman" w:cs="Times New Roman" w:eastAsia="黑体"/>
          <w:b/>
          <w:sz w:val="32"/>
        </w:rPr>
        <w:t>二、市值变化</w:t>
      </w:r>
    </w:p>
    <w:p>
      <w:pPr>
        <w:spacing w:line="360" w:lineRule="auto" w:before="120" w:after="40"/>
      </w:pPr>
      <w:r>
        <w:rPr>
          <w:rFonts w:ascii="Times New Roman" w:hAnsi="Times New Roman" w:cs="Times New Roman" w:eastAsia="宋体"/>
          <w:b/>
          <w:sz w:val="24"/>
        </w:rPr>
        <w:t>口径与来源说明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各年 12 月 31 日（或当年最后交易日）收盘总市值（Market Capitalization = 全部已发行股份 × 股价），单位十亿美元。市值非 SEC 申报项，采用市场数据源；数字四舍五入。</w:t>
      </w:r>
      <w:r>
        <w:rPr>
          <w:rFonts w:ascii="Times New Roman" w:hAnsi="Times New Roman" w:cs="Times New Roman" w:eastAsia="宋体"/>
          <w:b/>
          <w:sz w:val="24"/>
        </w:rPr>
        <w:t>本表为 companiesmarketcap 各年末市值，已由用户核对【已核实】</w:t>
      </w:r>
      <w:r>
        <w:rPr>
          <w:rFonts w:ascii="Times New Roman" w:hAnsi="Times New Roman" w:cs="Times New Roman" w:eastAsia="宋体"/>
          <w:b w:val="0"/>
          <w:sz w:val="24"/>
        </w:rPr>
        <w:t>（含各年 YoY 变化）。</w:t>
      </w:r>
    </w:p>
    <w:p>
      <w:pPr>
        <w:spacing w:before="120" w:after="40" w:line="312" w:lineRule="auto"/>
        <w:jc w:val="center"/>
      </w:pPr>
      <w:r>
        <w:rPr>
          <w:rFonts w:ascii="Times New Roman" w:hAnsi="Times New Roman" w:cs="Times New Roman" w:eastAsia="宋体"/>
          <w:b/>
          <w:sz w:val="21"/>
        </w:rPr>
        <w:t>表 2 四家公司市值 2020–2025（各年末，单位：十亿美元）【已核实——companiesmarketcap 年末值】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公司</w:t>
            </w:r>
          </w:p>
        </w:tc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2020末</w:t>
            </w:r>
          </w:p>
        </w:tc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2021末</w:t>
            </w:r>
          </w:p>
        </w:tc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2022末</w:t>
            </w:r>
          </w:p>
        </w:tc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2023末</w:t>
            </w:r>
          </w:p>
        </w:tc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2024末</w:t>
            </w:r>
          </w:p>
        </w:tc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2025末</w:t>
            </w:r>
          </w:p>
        </w:tc>
      </w:tr>
      <w:tr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Oracle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190.44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232.88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220.39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289.81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472.57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568.85</w:t>
            </w:r>
          </w:p>
        </w:tc>
      </w:tr>
      <w:tr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Broadcom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178.07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274.73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233.65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461.01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1,133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1,669</w:t>
            </w:r>
          </w:p>
        </w:tc>
      </w:tr>
      <w:tr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AMD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110.42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173.77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104.43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238.14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203.15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350.01</w:t>
            </w:r>
          </w:p>
        </w:tc>
      </w:tr>
      <w:tr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CoreWeave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未上市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未上市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未上市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未上市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未上市（2024/10 二级交易估值约 $23B）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38.08</w:t>
            </w:r>
          </w:p>
        </w:tc>
      </w:tr>
    </w:tbl>
    <w:p>
      <w:pPr>
        <w:spacing w:after="40"/>
      </w:pPr>
    </w:p>
    <w:p>
      <w:pPr>
        <w:spacing w:after="120" w:line="312" w:lineRule="auto"/>
        <w:jc w:val="left"/>
      </w:pPr>
      <w:r>
        <w:rPr>
          <w:rFonts w:ascii="Times New Roman" w:hAnsi="Times New Roman" w:cs="Times New Roman" w:eastAsia="宋体"/>
          <w:b w:val="0"/>
          <w:sz w:val="22"/>
        </w:rPr>
        <w:t>资料来源：companiesmarketcap 各年末市值——</w:t>
      </w:r>
      <w:hyperlink r:id="rId18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Oracle</w:t>
        </w:r>
      </w:hyperlink>
      <w:r>
        <w:rPr>
          <w:rFonts w:ascii="Times New Roman" w:hAnsi="Times New Roman" w:cs="Times New Roman" w:eastAsia="宋体"/>
          <w:b w:val="0"/>
          <w:sz w:val="22"/>
        </w:rPr>
        <w:t>、</w:t>
      </w:r>
      <w:hyperlink r:id="rId19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Broadcom</w:t>
        </w:r>
      </w:hyperlink>
      <w:r>
        <w:rPr>
          <w:rFonts w:ascii="Times New Roman" w:hAnsi="Times New Roman" w:cs="Times New Roman" w:eastAsia="宋体"/>
          <w:b w:val="0"/>
          <w:sz w:val="22"/>
        </w:rPr>
        <w:t>、</w:t>
      </w:r>
      <w:hyperlink r:id="rId20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AMD</w:t>
        </w:r>
      </w:hyperlink>
      <w:r>
        <w:rPr>
          <w:rFonts w:ascii="Times New Roman" w:hAnsi="Times New Roman" w:cs="Times New Roman" w:eastAsia="宋体"/>
          <w:b w:val="0"/>
          <w:sz w:val="22"/>
        </w:rPr>
        <w:t>、</w:t>
      </w:r>
      <w:hyperlink r:id="rId21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CoreWeave</w:t>
        </w:r>
      </w:hyperlink>
      <w:r>
        <w:rPr>
          <w:rFonts w:ascii="Times New Roman" w:hAnsi="Times New Roman" w:cs="Times New Roman" w:eastAsia="宋体"/>
          <w:b w:val="0"/>
          <w:sz w:val="22"/>
        </w:rPr>
        <w:t>（2025末 $38.08B）【已核实】。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/>
          <w:sz w:val="24"/>
        </w:rPr>
        <w:t>关键看点</w:t>
      </w:r>
      <w:r>
        <w:rPr>
          <w:rFonts w:ascii="Times New Roman" w:hAnsi="Times New Roman" w:cs="Times New Roman" w:eastAsia="宋体"/>
          <w:b w:val="0"/>
          <w:sz w:val="24"/>
        </w:rPr>
        <w:t>：Broadcom 六年约 9 倍、2024/12 突破 $1 万亿（继英伟达后第二家半导体公司）；Oracle 2023→2024 近翻倍（AI 云合同驱动）；AMD 2024 年跑输（数据中心 GPU 份额之争）、2025 年因 OpenAI 交易回升；CoreWeave 上市首年股价一度大涨（2025/6 盘中约 $187）后回落，峰值市值约 $80–90B【概算·待核】。</w:t>
      </w:r>
    </w:p>
    <w:p>
      <w:pPr>
        <w:pBdr>
          <w:bottom w:val="single" w:sz="6" w:space="1" w:color="AAAAAA"/>
        </w:pBdr>
        <w:spacing w:after="80"/>
      </w:pPr>
    </w:p>
    <w:p>
      <w:pPr>
        <w:spacing w:line="360" w:lineRule="auto" w:before="240" w:after="120"/>
        <w:outlineLvl w:val="0"/>
      </w:pPr>
      <w:r>
        <w:rPr>
          <w:rFonts w:ascii="Times New Roman" w:hAnsi="Times New Roman" w:cs="Times New Roman" w:eastAsia="黑体"/>
          <w:b/>
          <w:sz w:val="32"/>
        </w:rPr>
        <w:t>三、资本性开支 CapEx</w:t>
      </w:r>
    </w:p>
    <w:p>
      <w:pPr>
        <w:spacing w:line="360" w:lineRule="auto" w:before="120" w:after="40"/>
      </w:pPr>
      <w:r>
        <w:rPr>
          <w:rFonts w:ascii="Times New Roman" w:hAnsi="Times New Roman" w:cs="Times New Roman" w:eastAsia="宋体"/>
          <w:b/>
          <w:sz w:val="24"/>
        </w:rPr>
        <w:t>口径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与第一轮相同：CapEx = 现金流量表"投资活动"段中"购置不动产、厂房及设备"行，不含融资租赁，只计现金购置。</w:t>
      </w:r>
      <w:r>
        <w:rPr>
          <w:rFonts w:ascii="Times New Roman" w:hAnsi="Times New Roman" w:cs="Times New Roman" w:eastAsia="宋体"/>
          <w:b/>
          <w:sz w:val="24"/>
        </w:rPr>
        <w:t>四家的 CapEx 结构本质不同</w:t>
      </w:r>
      <w:r>
        <w:rPr>
          <w:rFonts w:ascii="Times New Roman" w:hAnsi="Times New Roman" w:cs="Times New Roman" w:eastAsia="宋体"/>
          <w:b w:val="0"/>
          <w:sz w:val="24"/>
        </w:rPr>
        <w:t>：Oracle 和 CoreWeave 的 CapEx 就是数据中心/GPU（重资产）；Broadcom 与 AMD 是 fabless（无晶圆厂）芯片公司，制造外包给台积电，自身 CapEx 极小——这一点与第一轮里的英伟达同理。</w:t>
      </w:r>
    </w:p>
    <w:p>
      <w:pPr>
        <w:spacing w:before="120" w:after="40" w:line="312" w:lineRule="auto"/>
        <w:jc w:val="center"/>
      </w:pPr>
      <w:r>
        <w:rPr>
          <w:rFonts w:ascii="Times New Roman" w:hAnsi="Times New Roman" w:cs="Times New Roman" w:eastAsia="宋体"/>
          <w:b/>
          <w:sz w:val="21"/>
        </w:rPr>
        <w:t>表 3 四家公司资本性开支 2020–2025（单位：百万美元）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063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公司</w:t>
            </w:r>
          </w:p>
        </w:tc>
        <w:tc>
          <w:tcPr>
            <w:tcW w:type="dxa" w:w="1063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2020</w:t>
            </w:r>
          </w:p>
        </w:tc>
        <w:tc>
          <w:tcPr>
            <w:tcW w:type="dxa" w:w="1063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2021</w:t>
            </w:r>
          </w:p>
        </w:tc>
        <w:tc>
          <w:tcPr>
            <w:tcW w:type="dxa" w:w="1063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2022</w:t>
            </w:r>
          </w:p>
        </w:tc>
        <w:tc>
          <w:tcPr>
            <w:tcW w:type="dxa" w:w="1063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2023</w:t>
            </w:r>
          </w:p>
        </w:tc>
        <w:tc>
          <w:tcPr>
            <w:tcW w:type="dxa" w:w="1063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2024</w:t>
            </w:r>
          </w:p>
        </w:tc>
        <w:tc>
          <w:tcPr>
            <w:tcW w:type="dxa" w:w="1063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2025</w:t>
            </w:r>
          </w:p>
        </w:tc>
        <w:tc>
          <w:tcPr>
            <w:tcW w:type="dxa" w:w="1063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现金流量表对应行项</w:t>
            </w:r>
          </w:p>
        </w:tc>
      </w:tr>
      <w:tr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Oracle（FY止5/31）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1,564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2,135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4,511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8,695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6,866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21,215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Capital expenditures</w:t>
            </w:r>
          </w:p>
        </w:tc>
      </w:tr>
      <w:tr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Broadcom（FY止11月）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463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443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424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452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548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623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Purchases of property, plant and equipment</w:t>
            </w:r>
          </w:p>
        </w:tc>
      </w:tr>
      <w:tr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AMD（日历年）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294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301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546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636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974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Purchases of property and equipment</w:t>
            </w:r>
          </w:p>
        </w:tc>
      </w:tr>
      <w:tr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CoreWeave（日历年）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未上市，无披露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未上市，无披露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72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2,943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8,702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10,309</w:t>
            </w:r>
          </w:p>
        </w:tc>
        <w:tc>
          <w:tcPr>
            <w:tcW w:type="dxa" w:w="106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Purchases of property and equipment（含资本化内部使用软件）</w:t>
            </w:r>
          </w:p>
        </w:tc>
      </w:tr>
    </w:tbl>
    <w:p>
      <w:pPr>
        <w:spacing w:after="40"/>
      </w:pPr>
    </w:p>
    <w:p>
      <w:pPr>
        <w:spacing w:after="120" w:line="312" w:lineRule="auto"/>
        <w:jc w:val="left"/>
      </w:pPr>
      <w:r>
        <w:rPr>
          <w:rFonts w:ascii="Times New Roman" w:hAnsi="Times New Roman" w:cs="Times New Roman" w:eastAsia="宋体"/>
          <w:b w:val="0"/>
          <w:sz w:val="22"/>
        </w:rPr>
        <w:t>资料来源（均逐格核对）：</w:t>
      </w:r>
      <w:r>
        <w:rPr>
          <w:rFonts w:ascii="Times New Roman" w:hAnsi="Times New Roman" w:cs="Times New Roman" w:eastAsia="宋体"/>
          <w:b/>
          <w:sz w:val="22"/>
        </w:rPr>
        <w:t>Oracle FY2020–FY2025 全部已核实</w:t>
      </w:r>
      <w:r>
        <w:rPr>
          <w:rFonts w:ascii="Times New Roman" w:hAnsi="Times New Roman" w:cs="Times New Roman" w:eastAsia="宋体"/>
          <w:b w:val="0"/>
          <w:sz w:val="22"/>
        </w:rPr>
        <w:t xml:space="preserve">（FY2020=$1,564M 出自 </w:t>
      </w:r>
      <w:hyperlink r:id="rId22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FY2020 10-K</w:t>
        </w:r>
      </w:hyperlink>
      <w:r>
        <w:rPr>
          <w:rFonts w:ascii="Times New Roman" w:hAnsi="Times New Roman" w:cs="Times New Roman" w:eastAsia="宋体"/>
          <w:b w:val="0"/>
          <w:sz w:val="22"/>
        </w:rPr>
        <w:t xml:space="preserve">；FY2021–2025 见 </w:t>
      </w:r>
      <w:hyperlink r:id="rId23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Macrotrends ORCL</w:t>
        </w:r>
      </w:hyperlink>
      <w:r>
        <w:rPr>
          <w:rFonts w:ascii="Times New Roman" w:hAnsi="Times New Roman" w:cs="Times New Roman" w:eastAsia="宋体"/>
          <w:b w:val="0"/>
          <w:sz w:val="22"/>
        </w:rPr>
        <w:t>、</w:t>
      </w:r>
      <w:hyperlink r:id="rId24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Finbox</w:t>
        </w:r>
      </w:hyperlink>
      <w:r>
        <w:rPr>
          <w:rFonts w:ascii="Times New Roman" w:hAnsi="Times New Roman" w:cs="Times New Roman" w:eastAsia="宋体"/>
          <w:b w:val="0"/>
          <w:sz w:val="22"/>
        </w:rPr>
        <w:t>）；</w:t>
      </w:r>
      <w:r>
        <w:rPr>
          <w:rFonts w:ascii="Times New Roman" w:hAnsi="Times New Roman" w:cs="Times New Roman" w:eastAsia="宋体"/>
          <w:b/>
          <w:sz w:val="22"/>
        </w:rPr>
        <w:t>Broadcom FY2020–FY2025 全部已核实</w:t>
      </w:r>
      <w:r>
        <w:rPr>
          <w:rFonts w:ascii="Times New Roman" w:hAnsi="Times New Roman" w:cs="Times New Roman" w:eastAsia="宋体"/>
          <w:b w:val="0"/>
          <w:sz w:val="22"/>
        </w:rPr>
        <w:t>（FY2020=$463M、FY2025=$623M，</w:t>
      </w:r>
      <w:hyperlink r:id="rId25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Finbox AVGO</w:t>
        </w:r>
      </w:hyperlink>
      <w:r>
        <w:rPr>
          <w:rFonts w:ascii="Times New Roman" w:hAnsi="Times New Roman" w:cs="Times New Roman" w:eastAsia="宋体"/>
          <w:b w:val="0"/>
          <w:sz w:val="22"/>
        </w:rPr>
        <w:t xml:space="preserve"> + 用户核对 10-K）；</w:t>
      </w:r>
      <w:r>
        <w:rPr>
          <w:rFonts w:ascii="Times New Roman" w:hAnsi="Times New Roman" w:cs="Times New Roman" w:eastAsia="宋体"/>
          <w:b/>
          <w:sz w:val="22"/>
        </w:rPr>
        <w:t>AMD 2020–2025 全部已核实</w:t>
      </w:r>
      <w:r>
        <w:rPr>
          <w:rFonts w:ascii="Times New Roman" w:hAnsi="Times New Roman" w:cs="Times New Roman" w:eastAsia="宋体"/>
          <w:b w:val="0"/>
          <w:sz w:val="22"/>
        </w:rPr>
        <w:t>（</w:t>
      </w:r>
      <w:hyperlink r:id="rId26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stock-analysis-on.net AMD 现金流</w:t>
        </w:r>
      </w:hyperlink>
      <w:r>
        <w:rPr>
          <w:rFonts w:ascii="Times New Roman" w:hAnsi="Times New Roman" w:cs="Times New Roman" w:eastAsia="宋体"/>
          <w:b w:val="0"/>
          <w:sz w:val="22"/>
        </w:rPr>
        <w:t>、</w:t>
      </w:r>
      <w:hyperlink r:id="rId27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stockdividendscreener</w:t>
        </w:r>
      </w:hyperlink>
      <w:r>
        <w:rPr>
          <w:rFonts w:ascii="Times New Roman" w:hAnsi="Times New Roman" w:cs="Times New Roman" w:eastAsia="宋体"/>
          <w:b w:val="0"/>
          <w:sz w:val="22"/>
        </w:rPr>
        <w:t>，2020=$294M、2025=$974M）；</w:t>
      </w:r>
      <w:r>
        <w:rPr>
          <w:rFonts w:ascii="Times New Roman" w:hAnsi="Times New Roman" w:cs="Times New Roman" w:eastAsia="宋体"/>
          <w:b/>
          <w:sz w:val="22"/>
        </w:rPr>
        <w:t>CoreWeave 2022–2024 已核实</w:t>
      </w:r>
      <w:r>
        <w:rPr>
          <w:rFonts w:ascii="Times New Roman" w:hAnsi="Times New Roman" w:cs="Times New Roman" w:eastAsia="宋体"/>
          <w:b w:val="0"/>
          <w:sz w:val="22"/>
        </w:rPr>
        <w:t xml:space="preserve">（招股书 S-1 现金流，经 </w:t>
      </w:r>
      <w:hyperlink r:id="rId28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Macrotrends CRWV</w:t>
        </w:r>
      </w:hyperlink>
      <w:r>
        <w:rPr>
          <w:rFonts w:ascii="Times New Roman" w:hAnsi="Times New Roman" w:cs="Times New Roman" w:eastAsia="宋体"/>
          <w:b w:val="0"/>
          <w:sz w:val="22"/>
        </w:rPr>
        <w:t>、</w:t>
      </w:r>
      <w:hyperlink r:id="rId29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stockanalysis CRWV</w:t>
        </w:r>
      </w:hyperlink>
      <w:r>
        <w:rPr>
          <w:rFonts w:ascii="Times New Roman" w:hAnsi="Times New Roman" w:cs="Times New Roman" w:eastAsia="宋体"/>
          <w:b w:val="0"/>
          <w:sz w:val="22"/>
        </w:rPr>
        <w:t xml:space="preserve"> 镜像；2022=$72.4M、2023=$2,943.1M、2024=$8,702.1M），</w:t>
      </w:r>
      <w:r>
        <w:rPr>
          <w:rFonts w:ascii="Times New Roman" w:hAnsi="Times New Roman" w:cs="Times New Roman" w:eastAsia="宋体"/>
          <w:b/>
          <w:sz w:val="22"/>
        </w:rPr>
        <w:t>2025 全年 = $10,309M 已核实</w:t>
      </w:r>
      <w:r>
        <w:rPr>
          <w:rFonts w:ascii="Times New Roman" w:hAnsi="Times New Roman" w:cs="Times New Roman" w:eastAsia="宋体"/>
          <w:b w:val="0"/>
          <w:sz w:val="22"/>
        </w:rPr>
        <w:t>（FY25 10-K 现金流"Purchase of property and equipment, including capitalized internal-use software"，用户核对）。</w:t>
      </w:r>
    </w:p>
    <w:p>
      <w:pPr>
        <w:spacing w:line="360" w:lineRule="auto" w:before="120" w:after="40"/>
      </w:pPr>
      <w:r>
        <w:rPr>
          <w:rFonts w:ascii="Times New Roman" w:hAnsi="Times New Roman" w:cs="Times New Roman" w:eastAsia="宋体"/>
          <w:b/>
          <w:sz w:val="24"/>
        </w:rPr>
        <w:t>说明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Oracle FY2025 CapEx $21.2B，同比 +209%</w:t>
      </w:r>
      <w:r>
        <w:rPr>
          <w:rFonts w:ascii="Times New Roman" w:hAnsi="Times New Roman" w:cs="Times New Roman" w:eastAsia="宋体"/>
          <w:b w:val="0"/>
          <w:sz w:val="24"/>
        </w:rPr>
        <w:t>，几乎全部投向 OCI 数据中心；FY2026 指引约 $35B（窗口外，2026/6 实际披露更高）。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CoreWeave</w:t>
      </w:r>
      <w:r>
        <w:rPr>
          <w:rFonts w:ascii="Times New Roman" w:hAnsi="Times New Roman" w:cs="Times New Roman" w:eastAsia="宋体"/>
          <w:b w:val="0"/>
          <w:sz w:val="24"/>
        </w:rPr>
        <w:t>：现金购置 PP&amp;E 全部已核实（2022=$72.4M / 2023=$2,943.1M / 2024=$8,702.1M 出自 S-1；</w:t>
      </w:r>
      <w:r>
        <w:rPr>
          <w:rFonts w:ascii="Times New Roman" w:hAnsi="Times New Roman" w:cs="Times New Roman" w:eastAsia="宋体"/>
          <w:b/>
          <w:sz w:val="24"/>
        </w:rPr>
        <w:t>2025=$10,309M</w:t>
      </w:r>
      <w:r>
        <w:rPr>
          <w:rFonts w:ascii="Times New Roman" w:hAnsi="Times New Roman" w:cs="Times New Roman" w:eastAsia="宋体"/>
          <w:b w:val="0"/>
          <w:sz w:val="24"/>
        </w:rPr>
        <w:t xml:space="preserve"> 出自 FY25 10-K，含资本化内部使用软件）——从挖矿转型 GPU 云后逐年放量。注意此为"现金购置 PP&amp;E"口径，仍小于公司对外宣传的 2026 年 $30–35B capex（后者含融资租赁购置的 GPU，</w:t>
      </w:r>
      <w:hyperlink r:id="rId30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Yahoo Finance</w:t>
        </w:r>
      </w:hyperlink>
      <w:r>
        <w:rPr>
          <w:rFonts w:ascii="Times New Roman" w:hAnsi="Times New Roman" w:cs="Times New Roman" w:eastAsia="宋体"/>
          <w:b w:val="0"/>
          <w:sz w:val="24"/>
        </w:rPr>
        <w:t>）。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Broadcom / AMD CapEx 常年 &lt; 收入的 2%</w:t>
      </w:r>
      <w:r>
        <w:rPr>
          <w:rFonts w:ascii="Times New Roman" w:hAnsi="Times New Roman" w:cs="Times New Roman" w:eastAsia="宋体"/>
          <w:b w:val="0"/>
          <w:sz w:val="24"/>
        </w:rPr>
        <w:t>：fabless 模式，无需为 AI 需求扩产自建工厂（产能在台积电）。AI 敞口体现在收入与研发，不在 CapEx。</w:t>
      </w:r>
    </w:p>
    <w:p>
      <w:pPr>
        <w:spacing w:before="120" w:after="40" w:line="312" w:lineRule="auto"/>
        <w:jc w:val="center"/>
      </w:pPr>
      <w:r>
        <w:rPr>
          <w:rFonts w:ascii="Times New Roman" w:hAnsi="Times New Roman" w:cs="Times New Roman" w:eastAsia="宋体"/>
          <w:b/>
          <w:sz w:val="21"/>
        </w:rPr>
        <w:t>表 4 2026 年 CapEx 指引对照（第三方口径，窗口外前瞻）【待核实】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公司</w:t>
            </w:r>
          </w:p>
        </w:tc>
        <w:tc>
          <w:tcPr>
            <w:tcW w:type="dxa" w:w="283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2026 CapEx 指引</w:t>
            </w:r>
          </w:p>
        </w:tc>
        <w:tc>
          <w:tcPr>
            <w:tcW w:type="dxa" w:w="283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出处</w:t>
            </w:r>
          </w:p>
        </w:tc>
      </w:tr>
      <w:tr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Oracle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~$35B（FY2026）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hyperlink r:id="rId11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Oracle Q1 FY26 电话会</w:t>
              </w:r>
            </w:hyperlink>
          </w:p>
        </w:tc>
      </w:tr>
      <w:tr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CoreWeave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$30–35B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hyperlink r:id="rId30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Yahoo Finance</w:t>
              </w:r>
            </w:hyperlink>
          </w:p>
        </w:tc>
      </w:tr>
      <w:tr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Broadcom / AMD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无重大变化（fabless）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各公司业绩电话会</w:t>
            </w:r>
          </w:p>
        </w:tc>
      </w:tr>
    </w:tbl>
    <w:p>
      <w:pPr>
        <w:spacing w:after="40"/>
      </w:pPr>
    </w:p>
    <w:p>
      <w:pPr>
        <w:pBdr>
          <w:bottom w:val="single" w:sz="6" w:space="1" w:color="AAAAAA"/>
        </w:pBdr>
        <w:spacing w:after="80"/>
      </w:pPr>
    </w:p>
    <w:p>
      <w:pPr>
        <w:spacing w:line="360" w:lineRule="auto" w:before="240" w:after="120"/>
        <w:outlineLvl w:val="0"/>
      </w:pPr>
      <w:r>
        <w:rPr>
          <w:rFonts w:ascii="Times New Roman" w:hAnsi="Times New Roman" w:cs="Times New Roman" w:eastAsia="黑体"/>
          <w:b/>
          <w:sz w:val="32"/>
        </w:rPr>
        <w:t>四、用于数据中心建设的资本性开支</w:t>
      </w:r>
    </w:p>
    <w:p>
      <w:pPr>
        <w:spacing w:line="360" w:lineRule="auto" w:before="120" w:after="40"/>
      </w:pPr>
      <w:r>
        <w:rPr>
          <w:rFonts w:ascii="Times New Roman" w:hAnsi="Times New Roman" w:cs="Times New Roman" w:eastAsia="宋体"/>
          <w:b/>
          <w:sz w:val="24"/>
        </w:rPr>
        <w:t>说明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四家中</w:t>
      </w:r>
      <w:r>
        <w:rPr>
          <w:rFonts w:ascii="Times New Roman" w:hAnsi="Times New Roman" w:cs="Times New Roman" w:eastAsia="宋体"/>
          <w:b/>
          <w:sz w:val="24"/>
        </w:rPr>
        <w:t>只有 Oracle 和 CoreWeave 自建/自租数据中心</w:t>
      </w:r>
      <w:r>
        <w:rPr>
          <w:rFonts w:ascii="Times New Roman" w:hAnsi="Times New Roman" w:cs="Times New Roman" w:eastAsia="宋体"/>
          <w:b w:val="0"/>
          <w:sz w:val="24"/>
        </w:rPr>
        <w:t>，且两家的 CapEx 几乎全部就是数据中心（GPU、服务器、机房）；Broadcom、AMD 为芯片供应商，不运营数据中心（与第一轮英伟达同一角色）。</w:t>
      </w:r>
    </w:p>
    <w:p>
      <w:pPr>
        <w:spacing w:before="120" w:after="40" w:line="312" w:lineRule="auto"/>
        <w:jc w:val="center"/>
      </w:pPr>
      <w:r>
        <w:rPr>
          <w:rFonts w:ascii="Times New Roman" w:hAnsi="Times New Roman" w:cs="Times New Roman" w:eastAsia="宋体"/>
          <w:b/>
          <w:sz w:val="21"/>
        </w:rPr>
        <w:t>表 5 各公司用于数据中心的资本开支说明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公司</w:t>
            </w:r>
          </w:p>
        </w:tc>
        <w:tc>
          <w:tcPr>
            <w:tcW w:type="dxa" w:w="2126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数据中心 CapEx</w:t>
            </w:r>
          </w:p>
        </w:tc>
        <w:tc>
          <w:tcPr>
            <w:tcW w:type="dxa" w:w="2126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原文对照</w:t>
            </w:r>
          </w:p>
        </w:tc>
        <w:tc>
          <w:tcPr>
            <w:tcW w:type="dxa" w:w="2126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资料来源</w:t>
            </w:r>
          </w:p>
        </w:tc>
      </w:tr>
      <w:tr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Oracle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整体 CapEx ≈ 数据中心（OCI GPU 集群与机房）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"The vast majority of our capex investments are for revenue generating equipment that is going into data centers"（Safra Catz，FY2025 Q4 电话会）【引文原话待核实——大意已多方印证】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hyperlink r:id="rId11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Oracle 业绩电话会记录</w:t>
              </w:r>
            </w:hyperlink>
          </w:p>
        </w:tc>
      </w:tr>
      <w:tr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CoreWeave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整体 CapEx = 100% AI 数据中心（GPU、机房、电力）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"CoreWeave's fleet now exceeds 250,000 GPUs across 32+ data centers"；"expanded its infrastructure to 470 MW of active power and 2.2 GW of contracted power"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hyperlink r:id="rId16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The Next Platform</w:t>
              </w:r>
            </w:hyperlink>
            <w:r>
              <w:rPr>
                <w:rFonts w:ascii="Times New Roman" w:hAnsi="Times New Roman" w:cs="Times New Roman" w:eastAsia="宋体"/>
                <w:b w:val="0"/>
                <w:sz w:val="21"/>
              </w:rPr>
              <w:t>、</w:t>
            </w:r>
            <w:hyperlink r:id="rId31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Introl</w:t>
              </w:r>
            </w:hyperlink>
          </w:p>
        </w:tc>
      </w:tr>
      <w:tr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Broadcom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≈ 0（fabless，不建数据中心；向数据中心卖 XPU/交换芯片）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 xml:space="preserve">"Broadcom is targeting deployment of racks of AI accelerator and network systems…across OpenAI's facilities </w:t>
            </w:r>
            <w:r>
              <w:rPr>
                <w:rFonts w:ascii="Times New Roman" w:hAnsi="Times New Roman" w:cs="Times New Roman" w:eastAsia="宋体"/>
                <w:b/>
                <w:sz w:val="21"/>
              </w:rPr>
              <w:t>and partner data centers</w:t>
            </w:r>
            <w:r>
              <w:rPr>
                <w:rFonts w:ascii="Times New Roman" w:hAnsi="Times New Roman" w:cs="Times New Roman" w:eastAsia="宋体"/>
                <w:b w:val="0"/>
                <w:sz w:val="21"/>
              </w:rPr>
              <w:t>"（部署在客户/伙伴的数据中心，非自建）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hyperlink r:id="rId12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Broadcom 新闻稿</w:t>
              </w:r>
            </w:hyperlink>
          </w:p>
        </w:tc>
      </w:tr>
      <w:tr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AMD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≈ 0（fabless；2025/3 以 $4.9B 完成收购 ZT Systems 获得 AI 服务器/机架设计能力，随即宣布将其制造业务以 $3B 出售给 Sanmina——保留设计、不持重资产）【ZT 交易金额已核实，Sanmina 细节待核实】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"AMD completed its acquisition of ZT Systems…approximately $4.9 billion in cash and stock"</w:t>
            </w:r>
          </w:p>
        </w:tc>
        <w:tc>
          <w:tcPr>
            <w:tcW w:type="dxa" w:w="2126"/>
          </w:tcPr>
          <w:p>
            <w:pPr>
              <w:spacing w:line="264" w:lineRule="auto" w:after="0"/>
            </w:pPr>
            <w:r/>
            <w:hyperlink r:id="rId32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AMD 新闻稿（2025/3）</w:t>
              </w:r>
            </w:hyperlink>
            <w:r>
              <w:rPr>
                <w:rFonts w:ascii="Times New Roman" w:hAnsi="Times New Roman" w:cs="Times New Roman" w:eastAsia="宋体"/>
                <w:b w:val="0"/>
                <w:sz w:val="21"/>
              </w:rPr>
              <w:t>、</w:t>
            </w:r>
            <w:hyperlink r:id="rId33">
              <w:r>
                <w:rPr>
                  <w:rFonts w:ascii="Times New Roman" w:hAnsi="Times New Roman" w:eastAsia="宋体"/>
                  <w:color w:val="0563C1"/>
                  <w:u w:val="single"/>
                  <w:sz w:val="19"/>
                </w:rPr>
                <w:t xml:space="preserve">Tom's Hardware</w:t>
              </w:r>
            </w:hyperlink>
          </w:p>
        </w:tc>
      </w:tr>
    </w:tbl>
    <w:p>
      <w:pPr>
        <w:spacing w:after="40"/>
      </w:pPr>
    </w:p>
    <w:p>
      <w:pPr>
        <w:spacing w:before="120" w:after="40" w:line="312" w:lineRule="auto"/>
        <w:jc w:val="center"/>
      </w:pPr>
      <w:r>
        <w:rPr>
          <w:rFonts w:ascii="Times New Roman" w:hAnsi="Times New Roman" w:cs="Times New Roman" w:eastAsia="宋体"/>
          <w:b/>
          <w:sz w:val="21"/>
        </w:rPr>
        <w:t>表 6 CoreWeave 逐年"Purchases of property and equipment"（现金流口径，单位：百万美元）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年份</w:t>
            </w:r>
          </w:p>
        </w:tc>
        <w:tc>
          <w:tcPr>
            <w:tcW w:type="dxa" w:w="283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现金购置 PP&amp;E</w:t>
            </w:r>
          </w:p>
        </w:tc>
        <w:tc>
          <w:tcPr>
            <w:tcW w:type="dxa" w:w="283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核实状态 / 来源</w:t>
            </w:r>
          </w:p>
        </w:tc>
      </w:tr>
      <w:tr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2022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72.4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已核实——招股书 S-1 现金流</w:t>
            </w:r>
          </w:p>
        </w:tc>
      </w:tr>
      <w:tr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2023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2,943.1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已核实——招股书 S-1 现金流</w:t>
            </w:r>
          </w:p>
        </w:tc>
      </w:tr>
      <w:tr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2024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8,702.1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已核实——招股书 S-1 现金流</w:t>
            </w:r>
          </w:p>
        </w:tc>
      </w:tr>
      <w:tr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2025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10,309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已核实——FY25 10-K 现金流（含资本化内部使用软件）</w:t>
            </w:r>
          </w:p>
        </w:tc>
      </w:tr>
    </w:tbl>
    <w:p>
      <w:pPr>
        <w:spacing w:after="40"/>
      </w:pPr>
    </w:p>
    <w:p>
      <w:pPr>
        <w:spacing w:after="120" w:line="312" w:lineRule="auto"/>
        <w:jc w:val="left"/>
      </w:pPr>
      <w:r>
        <w:rPr>
          <w:rFonts w:ascii="Times New Roman" w:hAnsi="Times New Roman" w:cs="Times New Roman" w:eastAsia="宋体"/>
          <w:b w:val="0"/>
          <w:sz w:val="22"/>
        </w:rPr>
        <w:t xml:space="preserve">资料来源：CoreWeave 招股书 </w:t>
      </w:r>
      <w:hyperlink r:id="rId34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S-1（2025/3，SEC）</w:t>
        </w:r>
      </w:hyperlink>
      <w:r>
        <w:rPr>
          <w:rFonts w:ascii="Times New Roman" w:hAnsi="Times New Roman" w:cs="Times New Roman" w:eastAsia="宋体"/>
          <w:b w:val="0"/>
          <w:sz w:val="22"/>
        </w:rPr>
        <w:t xml:space="preserve">，2022–2024 数经 </w:t>
      </w:r>
      <w:hyperlink r:id="rId28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Macrotrends CRWV 现金流</w:t>
        </w:r>
      </w:hyperlink>
      <w:r>
        <w:rPr>
          <w:rFonts w:ascii="Times New Roman" w:hAnsi="Times New Roman" w:cs="Times New Roman" w:eastAsia="宋体"/>
          <w:b w:val="0"/>
          <w:sz w:val="22"/>
        </w:rPr>
        <w:t>、</w:t>
      </w:r>
      <w:hyperlink r:id="rId29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stockanalysis CRWV</w:t>
        </w:r>
      </w:hyperlink>
      <w:r>
        <w:rPr>
          <w:rFonts w:ascii="Times New Roman" w:hAnsi="Times New Roman" w:cs="Times New Roman" w:eastAsia="宋体"/>
          <w:b w:val="0"/>
          <w:sz w:val="22"/>
        </w:rPr>
        <w:t xml:space="preserve"> 镜像核对；2025 全年 $10,309M 出自 </w:t>
      </w:r>
      <w:hyperlink r:id="rId35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CoreWeave FY25 10-K / 4Q25 业绩（SEC）</w:t>
        </w:r>
      </w:hyperlink>
      <w:r>
        <w:rPr>
          <w:rFonts w:ascii="Times New Roman" w:hAnsi="Times New Roman" w:cs="Times New Roman" w:eastAsia="宋体"/>
          <w:b w:val="0"/>
          <w:sz w:val="22"/>
        </w:rPr>
        <w:t>（现金流"Purchase of property and equipment, including capitalized internal-use software"）。</w:t>
      </w:r>
    </w:p>
    <w:p>
      <w:pPr>
        <w:pBdr>
          <w:bottom w:val="single" w:sz="6" w:space="1" w:color="AAAAAA"/>
        </w:pBdr>
        <w:spacing w:after="80"/>
      </w:pPr>
    </w:p>
    <w:p>
      <w:pPr>
        <w:spacing w:line="360" w:lineRule="auto" w:before="240" w:after="120"/>
        <w:outlineLvl w:val="0"/>
      </w:pPr>
      <w:r>
        <w:rPr>
          <w:rFonts w:ascii="Times New Roman" w:hAnsi="Times New Roman" w:cs="Times New Roman" w:eastAsia="黑体"/>
          <w:b/>
          <w:sz w:val="32"/>
        </w:rPr>
        <w:t>五、融资额：债 / 股（2020–2025）</w:t>
      </w:r>
    </w:p>
    <w:p>
      <w:pPr>
        <w:spacing w:line="360" w:lineRule="auto" w:before="120" w:after="40"/>
      </w:pPr>
      <w:r>
        <w:rPr>
          <w:rFonts w:ascii="Times New Roman" w:hAnsi="Times New Roman" w:cs="Times New Roman" w:eastAsia="宋体"/>
          <w:b/>
          <w:sz w:val="24"/>
        </w:rPr>
        <w:t>分类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四家分三类：①</w:t>
      </w:r>
      <w:r>
        <w:rPr>
          <w:rFonts w:ascii="Times New Roman" w:hAnsi="Times New Roman" w:cs="Times New Roman" w:eastAsia="宋体"/>
          <w:b/>
          <w:sz w:val="24"/>
        </w:rPr>
        <w:t>发债狂人</w:t>
      </w:r>
      <w:r>
        <w:rPr>
          <w:rFonts w:ascii="Times New Roman" w:hAnsi="Times New Roman" w:cs="Times New Roman" w:eastAsia="宋体"/>
          <w:b w:val="0"/>
          <w:sz w:val="24"/>
        </w:rPr>
        <w:t>（Oracle——六年年年发债、CoreWeave——高息抵押债）；②</w:t>
      </w:r>
      <w:r>
        <w:rPr>
          <w:rFonts w:ascii="Times New Roman" w:hAnsi="Times New Roman" w:cs="Times New Roman" w:eastAsia="宋体"/>
          <w:b/>
          <w:sz w:val="24"/>
        </w:rPr>
        <w:t>并购驱动发债</w:t>
      </w:r>
      <w:r>
        <w:rPr>
          <w:rFonts w:ascii="Times New Roman" w:hAnsi="Times New Roman" w:cs="Times New Roman" w:eastAsia="宋体"/>
          <w:b w:val="0"/>
          <w:sz w:val="24"/>
        </w:rPr>
        <w:t>（Broadcom——为 VMware 一次性举债 $30B+）；③</w:t>
      </w:r>
      <w:r>
        <w:rPr>
          <w:rFonts w:ascii="Times New Roman" w:hAnsi="Times New Roman" w:cs="Times New Roman" w:eastAsia="宋体"/>
          <w:b/>
          <w:sz w:val="24"/>
        </w:rPr>
        <w:t>几乎不借钱</w:t>
      </w:r>
      <w:r>
        <w:rPr>
          <w:rFonts w:ascii="Times New Roman" w:hAnsi="Times New Roman" w:cs="Times New Roman" w:eastAsia="宋体"/>
          <w:b w:val="0"/>
          <w:sz w:val="24"/>
        </w:rPr>
        <w:t>（AMD——用股票并购、账上净现金）。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各项对应的财报行项与第一轮一致：发债（流量）→ 现金流量表 "Proceeds from issuance of debt"；存量 → 资产负债表 "Long-term debt"；发股 → "Proceeds from issuance of common stock"；回购 → "Repurchases of common stock"。</w:t>
      </w:r>
    </w:p>
    <w:p>
      <w:pPr>
        <w:spacing w:line="360" w:lineRule="auto" w:before="160" w:after="120"/>
        <w:outlineLvl w:val="1"/>
      </w:pPr>
      <w:r>
        <w:rPr>
          <w:rFonts w:ascii="Times New Roman" w:hAnsi="Times New Roman" w:cs="Times New Roman" w:eastAsia="黑体"/>
          <w:b/>
          <w:sz w:val="28"/>
        </w:rPr>
        <w:t>5.1 Oracle</w:t>
      </w:r>
    </w:p>
    <w:p>
      <w:pPr>
        <w:spacing w:line="360" w:lineRule="auto" w:before="160" w:after="120"/>
        <w:outlineLvl w:val="2"/>
      </w:pPr>
      <w:r>
        <w:rPr>
          <w:rFonts w:ascii="Times New Roman" w:hAnsi="Times New Roman" w:cs="Times New Roman" w:eastAsia="黑体"/>
          <w:b/>
          <w:sz w:val="28"/>
        </w:rPr>
        <w:t>5.1.1 债券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逐年发债额（按各笔定价年，$M）：</w:t>
      </w:r>
      <w:r>
        <w:rPr>
          <w:rFonts w:ascii="Times New Roman" w:hAnsi="Times New Roman" w:cs="Times New Roman" w:eastAsia="宋体"/>
          <w:b/>
          <w:sz w:val="24"/>
        </w:rPr>
        <w:t>2020 = 20,000 / 2021 = 15,000 / 2022 = 7,000 / 2023 = 5,250 / 2024 = 6,250 / 2025 = 25,750（2月 $7,750 + 9月 $18,000）</w:t>
      </w:r>
      <w:r>
        <w:rPr>
          <w:rFonts w:ascii="Times New Roman" w:hAnsi="Times New Roman" w:cs="Times New Roman" w:eastAsia="宋体"/>
          <w:b w:val="0"/>
          <w:sz w:val="24"/>
        </w:rPr>
        <w:t>；高级无担保票据（senior unsecured notes，投资级）。【已核实——SEC 424B2/8-K 及承销律所公告】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>2020/3：$20B 六档（2.500%/2025 ~ 3.850%/2060）——"Oracle Prices $20 Billion Aggregate Principal Amount of Investment Grade Notes"（</w:t>
      </w:r>
      <w:hyperlink r:id="rId36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Oracle IR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37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PR Newswire</w:t>
        </w:r>
      </w:hyperlink>
      <w:r>
        <w:rPr>
          <w:rFonts w:ascii="Times New Roman" w:hAnsi="Times New Roman" w:cs="Times New Roman" w:eastAsia="宋体"/>
          <w:b w:val="0"/>
          <w:sz w:val="24"/>
        </w:rPr>
        <w:t>）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>2021/3：$15B 六档（1.650%/2026 ~ 4.100%/2061），部分用于 Cerner（$28.3B，2022/6 完成）前置资金（</w:t>
      </w:r>
      <w:hyperlink r:id="rId38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SEC 424B2</w:t>
        </w:r>
      </w:hyperlink>
      <w:r>
        <w:rPr>
          <w:rFonts w:ascii="Times New Roman" w:hAnsi="Times New Roman" w:cs="Times New Roman" w:eastAsia="宋体"/>
          <w:b w:val="0"/>
          <w:sz w:val="24"/>
        </w:rPr>
        <w:t>）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>2022/11：$7B 四档（5.800%~6.900%）（</w:t>
      </w:r>
      <w:hyperlink r:id="rId39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SEC 424B2</w:t>
        </w:r>
      </w:hyperlink>
      <w:r>
        <w:rPr>
          <w:rFonts w:ascii="Times New Roman" w:hAnsi="Times New Roman" w:cs="Times New Roman" w:eastAsia="宋体"/>
          <w:b w:val="0"/>
          <w:sz w:val="24"/>
        </w:rPr>
        <w:t>）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>2023/2：$5.25B 四档（</w:t>
      </w:r>
      <w:hyperlink r:id="rId40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SEC 424B2</w:t>
        </w:r>
      </w:hyperlink>
      <w:r>
        <w:rPr>
          <w:rFonts w:ascii="Times New Roman" w:hAnsi="Times New Roman" w:cs="Times New Roman" w:eastAsia="宋体"/>
          <w:b w:val="0"/>
          <w:sz w:val="24"/>
        </w:rPr>
        <w:t>）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>2024/9：$6.25B 四档（</w:t>
      </w:r>
      <w:hyperlink r:id="rId41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SEC 424B2</w:t>
        </w:r>
      </w:hyperlink>
      <w:r>
        <w:rPr>
          <w:rFonts w:ascii="Times New Roman" w:hAnsi="Times New Roman" w:cs="Times New Roman" w:eastAsia="宋体"/>
          <w:b w:val="0"/>
          <w:sz w:val="24"/>
        </w:rPr>
        <w:t>）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>2025/2：$7.75B（</w:t>
      </w:r>
      <w:hyperlink r:id="rId42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Simpson Thacher</w:t>
        </w:r>
      </w:hyperlink>
      <w:r>
        <w:rPr>
          <w:rFonts w:ascii="Times New Roman" w:hAnsi="Times New Roman" w:cs="Times New Roman" w:eastAsia="宋体"/>
          <w:b w:val="0"/>
          <w:sz w:val="24"/>
        </w:rPr>
        <w:t>）；2025/9：$18B 六档（2030–2065），为 AI 数据中心扩建——"Oracle Completes $18 Billion Senior Notes Offering"（</w:t>
      </w:r>
      <w:hyperlink r:id="rId43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Simpson Thacher</w:t>
        </w:r>
      </w:hyperlink>
      <w:r>
        <w:rPr>
          <w:rFonts w:ascii="Times New Roman" w:hAnsi="Times New Roman" w:cs="Times New Roman" w:eastAsia="宋体"/>
          <w:b w:val="0"/>
          <w:sz w:val="24"/>
        </w:rPr>
        <w:t>）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存量：总借款从 FY2020 约 $71B 升至 2025 末约 $104B，为四家中杠杆最高（净债务/EBITDA 约 3 倍+）。</w:t>
      </w:r>
      <w:r>
        <w:rPr>
          <w:rFonts w:ascii="Times New Roman" w:hAnsi="Times New Roman" w:cs="Times New Roman" w:eastAsia="宋体"/>
          <w:b/>
          <w:sz w:val="24"/>
        </w:rPr>
        <w:t>窗口外</w:t>
      </w:r>
      <w:r>
        <w:rPr>
          <w:rFonts w:ascii="Times New Roman" w:hAnsi="Times New Roman" w:cs="Times New Roman" w:eastAsia="宋体"/>
          <w:b w:val="0"/>
          <w:sz w:val="24"/>
        </w:rPr>
        <w:t>：2026/1 再发 $25B 债券并宣布 2026 全年 $45–50B 债+股融资计划（</w:t>
      </w:r>
      <w:hyperlink r:id="rId44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Oracle IR</w:t>
        </w:r>
      </w:hyperlink>
      <w:r>
        <w:rPr>
          <w:rFonts w:ascii="Times New Roman" w:hAnsi="Times New Roman" w:cs="Times New Roman" w:eastAsia="宋体"/>
          <w:b w:val="0"/>
          <w:sz w:val="24"/>
        </w:rPr>
        <w:t>）。</w:t>
      </w:r>
    </w:p>
    <w:p>
      <w:pPr>
        <w:spacing w:line="360" w:lineRule="auto" w:before="160" w:after="120"/>
        <w:outlineLvl w:val="2"/>
      </w:pPr>
      <w:r>
        <w:rPr>
          <w:rFonts w:ascii="Times New Roman" w:hAnsi="Times New Roman" w:cs="Times New Roman" w:eastAsia="黑体"/>
          <w:b/>
          <w:sz w:val="28"/>
        </w:rPr>
        <w:t>5.1.2 股票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逐年发股额：</w:t>
      </w:r>
      <w:r>
        <w:rPr>
          <w:rFonts w:ascii="Times New Roman" w:hAnsi="Times New Roman" w:cs="Times New Roman" w:eastAsia="宋体"/>
          <w:b/>
          <w:sz w:val="24"/>
        </w:rPr>
        <w:t>= 0</w:t>
      </w:r>
      <w:r>
        <w:rPr>
          <w:rFonts w:ascii="Times New Roman" w:hAnsi="Times New Roman" w:cs="Times New Roman" w:eastAsia="宋体"/>
          <w:b w:val="0"/>
          <w:sz w:val="24"/>
        </w:rPr>
        <w:t>（2020–2025 窗口内无股权融资增发；员工股票计划为小额）。单一类普通股。</w:t>
      </w:r>
      <w:r>
        <w:rPr>
          <w:rFonts w:ascii="Times New Roman" w:hAnsi="Times New Roman" w:cs="Times New Roman" w:eastAsia="宋体"/>
          <w:b/>
          <w:sz w:val="24"/>
        </w:rPr>
        <w:t>窗口外</w:t>
      </w:r>
      <w:r>
        <w:rPr>
          <w:rFonts w:ascii="Times New Roman" w:hAnsi="Times New Roman" w:cs="Times New Roman" w:eastAsia="宋体"/>
          <w:b w:val="0"/>
          <w:sz w:val="24"/>
        </w:rPr>
        <w:t xml:space="preserve">：2026/1 启动 </w:t>
      </w:r>
      <w:r>
        <w:rPr>
          <w:rFonts w:ascii="Times New Roman" w:hAnsi="Times New Roman" w:cs="Times New Roman" w:eastAsia="宋体"/>
          <w:b/>
          <w:sz w:val="24"/>
        </w:rPr>
        <w:t>$20B at-the-market（ATM）增发</w:t>
      </w:r>
      <w:r>
        <w:rPr>
          <w:rFonts w:ascii="Times New Roman" w:hAnsi="Times New Roman" w:cs="Times New Roman" w:eastAsia="宋体"/>
          <w:b w:val="0"/>
          <w:sz w:val="24"/>
        </w:rPr>
        <w:t>——Oracle 历史首次大规模卖股融资，标志现金流已无法同时覆盖 CapEx 与分红（</w:t>
      </w:r>
      <w:hyperlink r:id="rId45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Investing.com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46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DCD</w:t>
        </w:r>
      </w:hyperlink>
      <w:r>
        <w:rPr>
          <w:rFonts w:ascii="Times New Roman" w:hAnsi="Times New Roman" w:cs="Times New Roman" w:eastAsia="宋体"/>
          <w:b w:val="0"/>
          <w:sz w:val="24"/>
        </w:rPr>
        <w:t>）。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回购：从"回购巨鲸"急刹车——</w:t>
      </w:r>
      <w:r>
        <w:rPr>
          <w:rFonts w:ascii="Times New Roman" w:hAnsi="Times New Roman" w:cs="Times New Roman" w:eastAsia="宋体"/>
          <w:b/>
          <w:sz w:val="24"/>
        </w:rPr>
        <w:t>FY2020 = 19,240 / FY2021 = 20,934 / FY2022 = 16,248 / FY2023 = 1,300 / FY2024 = 1,200 / FY2025 = 5,300（$M）</w:t>
      </w:r>
      <w:r>
        <w:rPr>
          <w:rFonts w:ascii="Times New Roman" w:hAnsi="Times New Roman" w:cs="Times New Roman" w:eastAsia="宋体"/>
          <w:b w:val="0"/>
          <w:sz w:val="24"/>
        </w:rPr>
        <w:t xml:space="preserve">【全部已核实——各年 10-K/8-K 现金流；FY2024/2025 另见 </w:t>
      </w:r>
      <w:hyperlink r:id="rId47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Forbes</w:t>
        </w:r>
      </w:hyperlink>
      <w:r>
        <w:rPr>
          <w:rFonts w:ascii="Times New Roman" w:hAnsi="Times New Roman" w:cs="Times New Roman" w:eastAsia="宋体"/>
          <w:b w:val="0"/>
          <w:sz w:val="24"/>
        </w:rPr>
        <w:t>】。钱从回购转向 CapEx（FY2023 骤降至 $1.3B）。持续分红。</w:t>
      </w:r>
    </w:p>
    <w:p>
      <w:pPr>
        <w:spacing w:line="360" w:lineRule="auto" w:before="160" w:after="120"/>
        <w:outlineLvl w:val="1"/>
      </w:pPr>
      <w:r>
        <w:rPr>
          <w:rFonts w:ascii="Times New Roman" w:hAnsi="Times New Roman" w:cs="Times New Roman" w:eastAsia="黑体"/>
          <w:b/>
          <w:sz w:val="28"/>
        </w:rPr>
        <w:t>5.2 Broadcom</w:t>
      </w:r>
    </w:p>
    <w:p>
      <w:pPr>
        <w:spacing w:line="360" w:lineRule="auto" w:before="160" w:after="120"/>
        <w:outlineLvl w:val="2"/>
      </w:pPr>
      <w:r>
        <w:rPr>
          <w:rFonts w:ascii="Times New Roman" w:hAnsi="Times New Roman" w:cs="Times New Roman" w:eastAsia="黑体"/>
          <w:b/>
          <w:sz w:val="28"/>
        </w:rPr>
        <w:t>5.2.1 债券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逐年发债额：常规年份以再融资为主（$2–10B 级别，精确逐年现金流数【待核实】）；</w:t>
      </w:r>
      <w:r>
        <w:rPr>
          <w:rFonts w:ascii="Times New Roman" w:hAnsi="Times New Roman" w:cs="Times New Roman" w:eastAsia="宋体"/>
          <w:b/>
          <w:sz w:val="24"/>
        </w:rPr>
        <w:t>一次性巨额举债 = 2023/11 VMware 收购</w:t>
      </w:r>
      <w:r>
        <w:rPr>
          <w:rFonts w:ascii="Times New Roman" w:hAnsi="Times New Roman" w:cs="Times New Roman" w:eastAsia="宋体"/>
          <w:b w:val="0"/>
          <w:sz w:val="24"/>
        </w:rPr>
        <w:t xml:space="preserve">：签约 $30.4B 银团定期贷款、2023/11/22 实际提款 </w:t>
      </w:r>
      <w:r>
        <w:rPr>
          <w:rFonts w:ascii="Times New Roman" w:hAnsi="Times New Roman" w:cs="Times New Roman" w:eastAsia="宋体"/>
          <w:b/>
          <w:sz w:val="24"/>
        </w:rPr>
        <w:t>$28,390.6M</w:t>
      </w:r>
      <w:r>
        <w:rPr>
          <w:rFonts w:ascii="Times New Roman" w:hAnsi="Times New Roman" w:cs="Times New Roman" w:eastAsia="宋体"/>
          <w:b w:val="0"/>
          <w:sz w:val="24"/>
        </w:rPr>
        <w:t>——"Broadcom funded the cash portion of the VMware merger consideration with net proceeds from the issuance of $30.4 billion in term loans"（</w:t>
      </w:r>
      <w:hyperlink r:id="rId48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Broadcom 8-K 2023/11/22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49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Bloomberg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）【已核实】。2024 年起陆续发行高级无担保票据置换浮息贷款。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什么债：</w:t>
      </w:r>
      <w:r>
        <w:rPr>
          <w:rFonts w:ascii="Times New Roman" w:hAnsi="Times New Roman" w:cs="Times New Roman" w:eastAsia="宋体"/>
          <w:b/>
          <w:sz w:val="24"/>
        </w:rPr>
        <w:t>投资级高级无担保票据 + 银团定期贷款（term loan）</w:t>
      </w:r>
      <w:r>
        <w:rPr>
          <w:rFonts w:ascii="Times New Roman" w:hAnsi="Times New Roman" w:cs="Times New Roman" w:eastAsia="宋体"/>
          <w:b w:val="0"/>
          <w:sz w:val="24"/>
        </w:rPr>
        <w:t xml:space="preserve">。存量长期债务：VMware 交割后 2024/3 峰值 </w:t>
      </w:r>
      <w:r>
        <w:rPr>
          <w:rFonts w:ascii="Times New Roman" w:hAnsi="Times New Roman" w:cs="Times New Roman" w:eastAsia="宋体"/>
          <w:b/>
          <w:sz w:val="24"/>
        </w:rPr>
        <w:t>$73.5B</w:t>
      </w:r>
      <w:r>
        <w:rPr>
          <w:rFonts w:ascii="Times New Roman" w:hAnsi="Times New Roman" w:cs="Times New Roman" w:eastAsia="宋体"/>
          <w:b w:val="0"/>
          <w:sz w:val="24"/>
        </w:rPr>
        <w:t xml:space="preserve"> → 2024/12 降至 </w:t>
      </w:r>
      <w:r>
        <w:rPr>
          <w:rFonts w:ascii="Times New Roman" w:hAnsi="Times New Roman" w:cs="Times New Roman" w:eastAsia="宋体"/>
          <w:b/>
          <w:sz w:val="24"/>
        </w:rPr>
        <w:t>$66.3B</w:t>
      </w:r>
      <w:r>
        <w:rPr>
          <w:rFonts w:ascii="Times New Roman" w:hAnsi="Times New Roman" w:cs="Times New Roman" w:eastAsia="宋体"/>
          <w:b w:val="0"/>
          <w:sz w:val="24"/>
        </w:rPr>
        <w:t>（快速去杠杆，</w:t>
      </w:r>
      <w:hyperlink r:id="rId50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AInvest 数据汇总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）【已核实】。</w:t>
      </w:r>
    </w:p>
    <w:p>
      <w:pPr>
        <w:spacing w:line="360" w:lineRule="auto" w:before="160" w:after="120"/>
        <w:outlineLvl w:val="2"/>
      </w:pPr>
      <w:r>
        <w:rPr>
          <w:rFonts w:ascii="Times New Roman" w:hAnsi="Times New Roman" w:cs="Times New Roman" w:eastAsia="黑体"/>
          <w:b/>
          <w:sz w:val="28"/>
        </w:rPr>
        <w:t>5.2.2 股票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逐年发股额（现金流口径）：≈ 0（员工计划外无现金增发）。</w:t>
      </w:r>
      <w:r>
        <w:rPr>
          <w:rFonts w:ascii="Times New Roman" w:hAnsi="Times New Roman" w:cs="Times New Roman" w:eastAsia="宋体"/>
          <w:b/>
          <w:sz w:val="24"/>
        </w:rPr>
        <w:t>但 2023/11 VMware 对价约一半以新发 AVGO 股票支付</w:t>
      </w:r>
      <w:r>
        <w:rPr>
          <w:rFonts w:ascii="Times New Roman" w:hAnsi="Times New Roman" w:cs="Times New Roman" w:eastAsia="宋体"/>
          <w:b w:val="0"/>
          <w:sz w:val="24"/>
        </w:rPr>
        <w:t>（$61B 交易 = 现金约 $30.4B + 股票约 $30B，非现金发行、不进现金流发股行）——"Broadcom to Acquire VMware for Approximately $61 Billion in Cash and Stock"（</w:t>
      </w:r>
      <w:hyperlink r:id="rId51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Broadcom 新闻稿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）【已核实】。单一类普通股。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回购（回购计划口径，$M）：FY2020 ≈ 5,400【待核】/ FY2021 = 0 / FY2022 = 7,000 / FY2023 = 5,824 / FY2024 = 7,176 / FY2025 = 2,450【FY2021–2025 已核实——用户核对 10-K 现金流"repurchases - repurchase program"行；2025/4 另获 $10B 新授权，</w:t>
      </w:r>
      <w:hyperlink r:id="rId52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公告</w:t>
        </w:r>
      </w:hyperlink>
      <w:r>
        <w:rPr>
          <w:rFonts w:ascii="Times New Roman" w:hAnsi="Times New Roman" w:cs="Times New Roman" w:eastAsia="宋体"/>
          <w:b w:val="0"/>
          <w:sz w:val="24"/>
        </w:rPr>
        <w:t>】。另有大额分红。</w:t>
      </w:r>
    </w:p>
    <w:p>
      <w:pPr>
        <w:spacing w:line="360" w:lineRule="auto" w:before="160" w:after="120"/>
        <w:outlineLvl w:val="1"/>
      </w:pPr>
      <w:r>
        <w:rPr>
          <w:rFonts w:ascii="Times New Roman" w:hAnsi="Times New Roman" w:cs="Times New Roman" w:eastAsia="黑体"/>
          <w:b/>
          <w:sz w:val="28"/>
        </w:rPr>
        <w:t>5.3 AMD</w:t>
      </w:r>
    </w:p>
    <w:p>
      <w:pPr>
        <w:spacing w:line="360" w:lineRule="auto" w:before="160" w:after="120"/>
        <w:outlineLvl w:val="2"/>
      </w:pPr>
      <w:r>
        <w:rPr>
          <w:rFonts w:ascii="Times New Roman" w:hAnsi="Times New Roman" w:cs="Times New Roman" w:eastAsia="黑体"/>
          <w:b/>
          <w:sz w:val="28"/>
        </w:rPr>
        <w:t>5.3.1 债券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 xml:space="preserve">债务存量（资产负债表，$M）：长期债务 </w:t>
      </w:r>
      <w:r>
        <w:rPr>
          <w:rFonts w:ascii="Times New Roman" w:hAnsi="Times New Roman" w:cs="Times New Roman" w:eastAsia="宋体"/>
          <w:b/>
          <w:sz w:val="24"/>
        </w:rPr>
        <w:t>2024 = 1,721 → 2025 = 2,348</w:t>
      </w:r>
      <w:r>
        <w:rPr>
          <w:rFonts w:ascii="Times New Roman" w:hAnsi="Times New Roman" w:cs="Times New Roman" w:eastAsia="宋体"/>
          <w:b w:val="0"/>
          <w:sz w:val="24"/>
        </w:rPr>
        <w:t xml:space="preserve">，另 2025 出现当期到期部分 </w:t>
      </w:r>
      <w:r>
        <w:rPr>
          <w:rFonts w:ascii="Times New Roman" w:hAnsi="Times New Roman" w:cs="Times New Roman" w:eastAsia="宋体"/>
          <w:b/>
          <w:sz w:val="24"/>
        </w:rPr>
        <w:t>874</w:t>
      </w:r>
      <w:r>
        <w:rPr>
          <w:rFonts w:ascii="Times New Roman" w:hAnsi="Times New Roman" w:cs="Times New Roman" w:eastAsia="宋体"/>
          <w:b w:val="0"/>
          <w:sz w:val="24"/>
        </w:rPr>
        <w:t>，</w:t>
      </w:r>
      <w:r>
        <w:rPr>
          <w:rFonts w:ascii="Times New Roman" w:hAnsi="Times New Roman" w:cs="Times New Roman" w:eastAsia="宋体"/>
          <w:b/>
          <w:sz w:val="24"/>
        </w:rPr>
        <w:t>2025 总债务约 3,222</w:t>
      </w:r>
      <w:r>
        <w:rPr>
          <w:rFonts w:ascii="Times New Roman" w:hAnsi="Times New Roman" w:cs="Times New Roman" w:eastAsia="宋体"/>
          <w:b w:val="0"/>
          <w:sz w:val="24"/>
        </w:rPr>
        <w:t>——较 2024 的 1,721 增约 $1.5B，</w:t>
      </w:r>
      <w:r>
        <w:rPr>
          <w:rFonts w:ascii="Times New Roman" w:hAnsi="Times New Roman" w:cs="Times New Roman" w:eastAsia="宋体"/>
          <w:b/>
          <w:sz w:val="24"/>
        </w:rPr>
        <w:t>说明 2025 有新增借款（应与 2025/3 完成的 ZT Systems 收购 $4.9B 相关），故不宜称"2025 零发债"；当年发债流量以现金流"proceeds from debt"为准【待核】</w:t>
      </w:r>
      <w:r>
        <w:rPr>
          <w:rFonts w:ascii="Times New Roman" w:hAnsi="Times New Roman" w:cs="Times New Roman" w:eastAsia="宋体"/>
          <w:b w:val="0"/>
          <w:sz w:val="24"/>
        </w:rPr>
        <w:t>。历史上明确的一笔为 2022/6 发行 $1B（3.924%/2032 + 4.393%/2052）高级无担保票据；另通过 2022/2 Xilinx 并购承接其未偿高级票据（约 $1.5B）。什么债：高级无担保票据。</w:t>
      </w:r>
      <w:r>
        <w:rPr>
          <w:rFonts w:ascii="Times New Roman" w:hAnsi="Times New Roman" w:cs="Times New Roman" w:eastAsia="宋体"/>
          <w:b/>
          <w:sz w:val="24"/>
        </w:rPr>
        <w:t>仍为净现金公司</w:t>
      </w:r>
      <w:r>
        <w:rPr>
          <w:rFonts w:ascii="Times New Roman" w:hAnsi="Times New Roman" w:cs="Times New Roman" w:eastAsia="宋体"/>
          <w:b w:val="0"/>
          <w:sz w:val="24"/>
        </w:rPr>
        <w:t>：2025 现金及等价物 $5,539M + 短期投资 $5,013M = $10,552M，远高于总债务 $3,222M（2024 为现金+短投 $5,132M vs 债务 $1,721M）。【债务与现金余额已核实——用户提供资产负债表（截至 2025/12/27 与 2024/12/28）】</w:t>
      </w:r>
    </w:p>
    <w:p>
      <w:pPr>
        <w:spacing w:line="360" w:lineRule="auto" w:before="160" w:after="120"/>
        <w:outlineLvl w:val="2"/>
      </w:pPr>
      <w:r>
        <w:rPr>
          <w:rFonts w:ascii="Times New Roman" w:hAnsi="Times New Roman" w:cs="Times New Roman" w:eastAsia="黑体"/>
          <w:b/>
          <w:sz w:val="28"/>
        </w:rPr>
        <w:t>5.3.2 股票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逐年发股额（现金流口径）：≈ 0（无现金增发）。</w:t>
      </w:r>
      <w:r>
        <w:rPr>
          <w:rFonts w:ascii="Times New Roman" w:hAnsi="Times New Roman" w:cs="Times New Roman" w:eastAsia="宋体"/>
          <w:b/>
          <w:sz w:val="24"/>
        </w:rPr>
        <w:t>但两笔重大股票支付</w:t>
      </w:r>
      <w:r>
        <w:rPr>
          <w:rFonts w:ascii="Times New Roman" w:hAnsi="Times New Roman" w:cs="Times New Roman" w:eastAsia="宋体"/>
          <w:b w:val="0"/>
          <w:sz w:val="24"/>
        </w:rPr>
        <w:t>（非现金、不进现金流发股行，却是真实稀释）：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sz w:val="24"/>
        </w:rPr>
        <w:t>Xilinx 全股票收购</w:t>
      </w:r>
      <w:r>
        <w:rPr>
          <w:rFonts w:ascii="Times New Roman" w:hAnsi="Times New Roman" w:cs="Times New Roman" w:eastAsia="宋体"/>
          <w:b w:val="0"/>
          <w:sz w:val="24"/>
        </w:rPr>
        <w:t xml:space="preserve">（2022/2/14 完成）：全股票对价，交割时价值约 </w:t>
      </w:r>
      <w:r>
        <w:rPr>
          <w:rFonts w:ascii="Times New Roman" w:hAnsi="Times New Roman" w:cs="Times New Roman" w:eastAsia="宋体"/>
          <w:b/>
          <w:sz w:val="24"/>
        </w:rPr>
        <w:t>$49B</w:t>
      </w:r>
      <w:r>
        <w:rPr>
          <w:rFonts w:ascii="Times New Roman" w:hAnsi="Times New Roman" w:cs="Times New Roman" w:eastAsia="宋体"/>
          <w:b w:val="0"/>
          <w:sz w:val="24"/>
        </w:rPr>
        <w:t>，AMD 为此增发约 4.3 亿股——"AMD Closes $49 Billion Acquisition of Xilinx—Largest Chip Deal Ever"（</w:t>
      </w:r>
      <w:hyperlink r:id="rId53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Electronic Design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54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AMD 8-K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sz w:val="24"/>
        </w:rPr>
        <w:t>OpenAI 认股权证</w:t>
      </w:r>
      <w:r>
        <w:rPr>
          <w:rFonts w:ascii="Times New Roman" w:hAnsi="Times New Roman" w:cs="Times New Roman" w:eastAsia="宋体"/>
          <w:b w:val="0"/>
          <w:sz w:val="24"/>
        </w:rPr>
        <w:t xml:space="preserve">（2025/10/6）：向 OpenAI 发出最多 </w:t>
      </w:r>
      <w:r>
        <w:rPr>
          <w:rFonts w:ascii="Times New Roman" w:hAnsi="Times New Roman" w:cs="Times New Roman" w:eastAsia="宋体"/>
          <w:b/>
          <w:sz w:val="24"/>
        </w:rPr>
        <w:t>1.6 亿股</w:t>
      </w:r>
      <w:r>
        <w:rPr>
          <w:rFonts w:ascii="Times New Roman" w:hAnsi="Times New Roman" w:cs="Times New Roman" w:eastAsia="宋体"/>
          <w:b w:val="0"/>
          <w:sz w:val="24"/>
        </w:rPr>
        <w:t>认股权证（行权价 $0.01/股，≈总股本 10%），分批归属、绑定 6GW Instinct GPU 采购里程碑 + AMD 股价目标（最后一档 $600）——"AMD issued to OpenAI a warrant to purchase up to 160 million shares of common stock at an exercise price of $0.01 per share…full vesting contingent upon purchasing six (6) gigawatts"（</w:t>
      </w:r>
      <w:hyperlink r:id="rId55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AMD 8-K/官方新闻稿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56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CNBC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单一类普通股。回购（$M）：</w:t>
      </w:r>
      <w:r>
        <w:rPr>
          <w:rFonts w:ascii="Times New Roman" w:hAnsi="Times New Roman" w:cs="Times New Roman" w:eastAsia="宋体"/>
          <w:b/>
          <w:sz w:val="24"/>
        </w:rPr>
        <w:t>2020 = 0 / 2021 = 1,762 / 2022 = 3,702 / 2023 = 985 / 2024 = 862 / 2025 = 1,316</w:t>
      </w:r>
      <w:r>
        <w:rPr>
          <w:rFonts w:ascii="Times New Roman" w:hAnsi="Times New Roman" w:cs="Times New Roman" w:eastAsia="宋体"/>
          <w:b w:val="0"/>
          <w:sz w:val="24"/>
        </w:rPr>
        <w:t xml:space="preserve">；五年合计 $8,627M ≈ </w:t>
      </w:r>
      <w:r>
        <w:rPr>
          <w:rFonts w:ascii="Times New Roman" w:hAnsi="Times New Roman" w:cs="Times New Roman" w:eastAsia="宋体"/>
          <w:b/>
          <w:sz w:val="24"/>
        </w:rPr>
        <w:t>$8.6B</w:t>
      </w:r>
      <w:r>
        <w:rPr>
          <w:rFonts w:ascii="Times New Roman" w:hAnsi="Times New Roman" w:cs="Times New Roman" w:eastAsia="宋体"/>
          <w:b w:val="0"/>
          <w:sz w:val="24"/>
        </w:rPr>
        <w:t>【全部已核实——</w:t>
      </w:r>
      <w:hyperlink r:id="rId26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stock-analysis-on.net</w:t>
        </w:r>
      </w:hyperlink>
      <w:r>
        <w:rPr>
          <w:rFonts w:ascii="Times New Roman" w:hAnsi="Times New Roman" w:cs="Times New Roman" w:eastAsia="宋体"/>
          <w:b w:val="0"/>
          <w:sz w:val="24"/>
        </w:rPr>
        <w:t xml:space="preserve">，合计另见 </w:t>
      </w:r>
      <w:hyperlink r:id="rId57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TheStreet</w:t>
        </w:r>
      </w:hyperlink>
      <w:r>
        <w:rPr>
          <w:rFonts w:ascii="Times New Roman" w:hAnsi="Times New Roman" w:cs="Times New Roman" w:eastAsia="宋体"/>
          <w:b w:val="0"/>
          <w:sz w:val="24"/>
        </w:rPr>
        <w:t>】。不分红。</w:t>
      </w:r>
    </w:p>
    <w:p>
      <w:pPr>
        <w:spacing w:line="360" w:lineRule="auto" w:before="160" w:after="120"/>
        <w:outlineLvl w:val="1"/>
      </w:pPr>
      <w:r>
        <w:rPr>
          <w:rFonts w:ascii="Times New Roman" w:hAnsi="Times New Roman" w:cs="Times New Roman" w:eastAsia="黑体"/>
          <w:b/>
          <w:sz w:val="28"/>
        </w:rPr>
        <w:t>5.4 CoreWeave</w:t>
      </w:r>
    </w:p>
    <w:p>
      <w:pPr>
        <w:spacing w:line="360" w:lineRule="auto" w:before="160" w:after="120"/>
        <w:outlineLvl w:val="2"/>
      </w:pPr>
      <w:r>
        <w:rPr>
          <w:rFonts w:ascii="Times New Roman" w:hAnsi="Times New Roman" w:cs="Times New Roman" w:eastAsia="黑体"/>
          <w:b/>
          <w:sz w:val="28"/>
        </w:rPr>
        <w:t>5.4.1 债券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逐年发债额（按各笔签约/发行年，$M）：</w:t>
      </w:r>
      <w:r>
        <w:rPr>
          <w:rFonts w:ascii="Times New Roman" w:hAnsi="Times New Roman" w:cs="Times New Roman" w:eastAsia="宋体"/>
          <w:b/>
          <w:sz w:val="24"/>
        </w:rPr>
        <w:t>2023 ≈ 2,300 / 2024 ≈ 8,250（DDTL2.0 $7,600 + 循环信贷 $650）/ 2025 ≈ 4,600+（高收益债 $2,000 + DDTL3.0 $2,600）</w:t>
      </w:r>
      <w:r>
        <w:rPr>
          <w:rFonts w:ascii="Times New Roman" w:hAnsi="Times New Roman" w:cs="Times New Roman" w:eastAsia="宋体"/>
          <w:b w:val="0"/>
          <w:sz w:val="24"/>
        </w:rPr>
        <w:t xml:space="preserve">；存量总债务 2025/6/30 约 </w:t>
      </w:r>
      <w:r>
        <w:rPr>
          <w:rFonts w:ascii="Times New Roman" w:hAnsi="Times New Roman" w:cs="Times New Roman" w:eastAsia="宋体"/>
          <w:b/>
          <w:sz w:val="24"/>
        </w:rPr>
        <w:t>$11.2B</w:t>
      </w:r>
      <w:r>
        <w:rPr>
          <w:rFonts w:ascii="Times New Roman" w:hAnsi="Times New Roman" w:cs="Times New Roman" w:eastAsia="宋体"/>
          <w:b w:val="0"/>
          <w:sz w:val="24"/>
        </w:rPr>
        <w:t>（半年 +40%）——"total debt up 40% in six months, climbing to $11.17 billion"（</w:t>
      </w:r>
      <w:hyperlink r:id="rId58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LevelHeaded Investing 案例研究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）【单笔金额已核实，存量为第三方汇总待核实】。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什么债：</w:t>
      </w:r>
      <w:r>
        <w:rPr>
          <w:rFonts w:ascii="Times New Roman" w:hAnsi="Times New Roman" w:cs="Times New Roman" w:eastAsia="宋体"/>
          <w:b/>
          <w:sz w:val="24"/>
        </w:rPr>
        <w:t>与另三家完全不同——以英伟达 GPU 及客户合同做抵押的延迟提款定期贷款（DDTL）+ 高收益无担保债</w:t>
      </w:r>
      <w:r>
        <w:rPr>
          <w:rFonts w:ascii="Times New Roman" w:hAnsi="Times New Roman" w:cs="Times New Roman" w:eastAsia="宋体"/>
          <w:b w:val="0"/>
          <w:sz w:val="24"/>
        </w:rPr>
        <w:t>，利率远高于投资级：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 xml:space="preserve">DDTL 1.0（2023）：$2.3B，浮息约 </w:t>
      </w:r>
      <w:r>
        <w:rPr>
          <w:rFonts w:ascii="Times New Roman" w:hAnsi="Times New Roman" w:cs="Times New Roman" w:eastAsia="宋体"/>
          <w:b/>
          <w:sz w:val="24"/>
        </w:rPr>
        <w:t>15%</w:t>
      </w:r>
      <w:r>
        <w:rPr>
          <w:rFonts w:ascii="Times New Roman" w:hAnsi="Times New Roman" w:cs="Times New Roman" w:eastAsia="宋体"/>
          <w:b w:val="0"/>
          <w:sz w:val="24"/>
        </w:rPr>
        <w:t>，2028/3 到期——"DDTL 1.0, arranged in 2023 for up to $2.3 billion, carries a floating rate of roughly 15%"（</w:t>
      </w:r>
      <w:hyperlink r:id="rId58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LevelHeaded</w:t>
        </w:r>
      </w:hyperlink>
      <w:r>
        <w:rPr>
          <w:rFonts w:ascii="Times New Roman" w:hAnsi="Times New Roman" w:cs="Times New Roman" w:eastAsia="宋体"/>
          <w:b w:val="0"/>
          <w:sz w:val="24"/>
        </w:rPr>
        <w:t>）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 xml:space="preserve">DDTL 2.0（2024/5）：$7.6B，均价约 </w:t>
      </w:r>
      <w:r>
        <w:rPr>
          <w:rFonts w:ascii="Times New Roman" w:hAnsi="Times New Roman" w:cs="Times New Roman" w:eastAsia="宋体"/>
          <w:b/>
          <w:sz w:val="24"/>
        </w:rPr>
        <w:t>11%</w:t>
      </w:r>
      <w:r>
        <w:rPr>
          <w:rFonts w:ascii="Times New Roman" w:hAnsi="Times New Roman" w:cs="Times New Roman" w:eastAsia="宋体"/>
          <w:b w:val="0"/>
          <w:sz w:val="24"/>
        </w:rPr>
        <w:t>（同上）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>高收益债（2025/5/27 完成）：$2B、2030/6/1 到期——"CoreWeave raises $2bn in high yield bond offering"（</w:t>
      </w:r>
      <w:hyperlink r:id="rId59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DCD</w:t>
        </w:r>
      </w:hyperlink>
      <w:r>
        <w:rPr>
          <w:rFonts w:ascii="Times New Roman" w:hAnsi="Times New Roman" w:cs="Times New Roman" w:eastAsia="宋体"/>
          <w:b w:val="0"/>
          <w:sz w:val="24"/>
        </w:rPr>
        <w:t>）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>DDTL 3.0（2025/7）：$2.6B，为"战略客户"扩容——"CoreWeave Closes $2.6 Billion Secured Debt Financing Facility"（</w:t>
      </w:r>
      <w:hyperlink r:id="rId60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CoreWeave IR</w:t>
        </w:r>
      </w:hyperlink>
      <w:r>
        <w:rPr>
          <w:rFonts w:ascii="Times New Roman" w:hAnsi="Times New Roman" w:cs="Times New Roman" w:eastAsia="宋体"/>
          <w:b w:val="0"/>
          <w:sz w:val="24"/>
        </w:rPr>
        <w:t>）</w:t>
      </w:r>
    </w:p>
    <w:p>
      <w:pPr>
        <w:spacing w:line="360" w:lineRule="auto" w:before="160" w:after="120"/>
        <w:outlineLvl w:val="2"/>
      </w:pPr>
      <w:r>
        <w:rPr>
          <w:rFonts w:ascii="Times New Roman" w:hAnsi="Times New Roman" w:cs="Times New Roman" w:eastAsia="黑体"/>
          <w:b/>
          <w:sz w:val="28"/>
        </w:rPr>
        <w:t>5.4.2 股票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逐年发股额：上市前私募股权多轮（Magnetar 领投，2023–2024 累计股权融资约 $2.3B【待核实】；2024/5 轮估值 $19B、2024/10 二级交易估值 $23B）；</w:t>
      </w:r>
      <w:r>
        <w:rPr>
          <w:rFonts w:ascii="Times New Roman" w:hAnsi="Times New Roman" w:cs="Times New Roman" w:eastAsia="宋体"/>
          <w:b/>
          <w:sz w:val="24"/>
        </w:rPr>
        <w:t>2025/3/28 Nasdaq IPO：$40/股，募资约 $1.5B</w:t>
      </w:r>
      <w:r>
        <w:rPr>
          <w:rFonts w:ascii="Times New Roman" w:hAnsi="Times New Roman" w:cs="Times New Roman" w:eastAsia="宋体"/>
          <w:b w:val="0"/>
          <w:sz w:val="24"/>
        </w:rPr>
        <w:t>——"offering shares at $40 each and giving it the potential to raise up to $1.5bn with the IPO"（</w:t>
      </w:r>
      <w:hyperlink r:id="rId61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Sacra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62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mlq.ai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）【已核实】。2025/5 以约 $1.7B（主要为股票）收购 Weights &amp; Biases；2025/7 宣布全股票收购 Core Scientific（约 $9B），</w:t>
      </w:r>
      <w:r>
        <w:rPr>
          <w:rFonts w:ascii="Times New Roman" w:hAnsi="Times New Roman" w:cs="Times New Roman" w:eastAsia="宋体"/>
          <w:b/>
          <w:sz w:val="24"/>
        </w:rPr>
        <w:t>2025/10 遭对方股东投票否决而告吹</w:t>
      </w:r>
      <w:r>
        <w:rPr>
          <w:rFonts w:ascii="Times New Roman" w:hAnsi="Times New Roman" w:cs="Times New Roman" w:eastAsia="宋体"/>
          <w:b w:val="0"/>
          <w:sz w:val="24"/>
        </w:rPr>
        <w:t>【已核实——多家媒体】。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什么股：</w:t>
      </w:r>
      <w:r>
        <w:rPr>
          <w:rFonts w:ascii="Times New Roman" w:hAnsi="Times New Roman" w:cs="Times New Roman" w:eastAsia="宋体"/>
          <w:b/>
          <w:sz w:val="24"/>
        </w:rPr>
        <w:t>双层股权</w:t>
      </w:r>
      <w:r>
        <w:rPr>
          <w:rFonts w:ascii="Times New Roman" w:hAnsi="Times New Roman" w:cs="Times New Roman" w:eastAsia="宋体"/>
          <w:b w:val="0"/>
          <w:sz w:val="24"/>
        </w:rPr>
        <w:t>——Class A（1 票）公开交易；Class B（10 票）由三位创始人持有，控制约 80% 投票权。无回购、无分红（成长期烧钱公司）。</w:t>
      </w:r>
    </w:p>
    <w:p>
      <w:pPr>
        <w:spacing w:line="360" w:lineRule="auto" w:before="160" w:after="120"/>
        <w:outlineLvl w:val="1"/>
      </w:pPr>
      <w:r>
        <w:rPr>
          <w:rFonts w:ascii="Times New Roman" w:hAnsi="Times New Roman" w:cs="Times New Roman" w:eastAsia="黑体"/>
          <w:b/>
          <w:sz w:val="28"/>
        </w:rPr>
        <w:t>5.5 各公司股票回购汇总</w:t>
      </w:r>
    </w:p>
    <w:p>
      <w:pPr>
        <w:spacing w:before="120" w:after="40" w:line="312" w:lineRule="auto"/>
        <w:jc w:val="center"/>
      </w:pPr>
      <w:r>
        <w:rPr>
          <w:rFonts w:ascii="Times New Roman" w:hAnsi="Times New Roman" w:cs="Times New Roman" w:eastAsia="宋体"/>
          <w:b/>
          <w:sz w:val="21"/>
        </w:rPr>
        <w:t>表 7 四家公司回购 2020–2025（单位：百万美元）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公司</w:t>
            </w:r>
          </w:p>
        </w:tc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2020</w:t>
            </w:r>
          </w:p>
        </w:tc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2021</w:t>
            </w:r>
          </w:p>
        </w:tc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2022</w:t>
            </w:r>
          </w:p>
        </w:tc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2023</w:t>
            </w:r>
          </w:p>
        </w:tc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2024</w:t>
            </w:r>
          </w:p>
        </w:tc>
        <w:tc>
          <w:tcPr>
            <w:tcW w:type="dxa" w:w="1215"/>
            <w:shd w:val="clear" w:fill="D9E2F3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2025</w:t>
            </w:r>
          </w:p>
        </w:tc>
      </w:tr>
      <w:tr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Oracle（FY5月）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19,240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20,934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16,248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1,300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1,200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5,300</w:t>
            </w:r>
          </w:p>
        </w:tc>
      </w:tr>
      <w:tr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Broadcom（FY11月，回购计划口径）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5,400【待核】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7,000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5,824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7,176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2,450</w:t>
            </w:r>
          </w:p>
        </w:tc>
      </w:tr>
      <w:tr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AMD（日历年）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1,762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3,702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985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862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1,316</w:t>
            </w:r>
          </w:p>
        </w:tc>
      </w:tr>
      <w:tr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CoreWeave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1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</w:t>
            </w:r>
          </w:p>
        </w:tc>
      </w:tr>
    </w:tbl>
    <w:p>
      <w:pPr>
        <w:spacing w:after="40"/>
      </w:pPr>
    </w:p>
    <w:p>
      <w:pPr>
        <w:spacing w:after="120" w:line="312" w:lineRule="auto"/>
        <w:jc w:val="left"/>
      </w:pPr>
      <w:r>
        <w:rPr>
          <w:rFonts w:ascii="Times New Roman" w:hAnsi="Times New Roman" w:cs="Times New Roman" w:eastAsia="宋体"/>
          <w:b w:val="0"/>
          <w:sz w:val="22"/>
        </w:rPr>
        <w:t>资料来源与核实状态：</w:t>
      </w:r>
      <w:r>
        <w:rPr>
          <w:rFonts w:ascii="Times New Roman" w:hAnsi="Times New Roman" w:cs="Times New Roman" w:eastAsia="宋体"/>
          <w:b/>
          <w:sz w:val="22"/>
        </w:rPr>
        <w:t>Oracle 全部已核实</w:t>
      </w:r>
      <w:r>
        <w:rPr>
          <w:rFonts w:ascii="Times New Roman" w:hAnsi="Times New Roman" w:cs="Times New Roman" w:eastAsia="宋体"/>
          <w:b w:val="0"/>
          <w:sz w:val="22"/>
        </w:rPr>
        <w:t xml:space="preserve">（FY2020–2023 出自各年 10-K/8-K 现金流：19,240/20,934/16,248/1,300；FY2024=1,200、FY2025=5,300 见 </w:t>
      </w:r>
      <w:hyperlink r:id="rId47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Forbes</w:t>
        </w:r>
      </w:hyperlink>
      <w:r>
        <w:rPr>
          <w:rFonts w:ascii="Times New Roman" w:hAnsi="Times New Roman" w:cs="Times New Roman" w:eastAsia="宋体"/>
          <w:b w:val="0"/>
          <w:sz w:val="22"/>
        </w:rPr>
        <w:t>）；</w:t>
      </w:r>
      <w:r>
        <w:rPr>
          <w:rFonts w:ascii="Times New Roman" w:hAnsi="Times New Roman" w:cs="Times New Roman" w:eastAsia="宋体"/>
          <w:b/>
          <w:sz w:val="22"/>
        </w:rPr>
        <w:t>AMD 全部已核实</w:t>
      </w:r>
      <w:r>
        <w:rPr>
          <w:rFonts w:ascii="Times New Roman" w:hAnsi="Times New Roman" w:cs="Times New Roman" w:eastAsia="宋体"/>
          <w:b w:val="0"/>
          <w:sz w:val="22"/>
        </w:rPr>
        <w:t>（2021=1,762、2022=3,702、2023=985、2024=862、2025=1,316，五年合计 $8,627M≈$8.6B，</w:t>
      </w:r>
      <w:hyperlink r:id="rId26">
        <w:r>
          <w:rPr>
            <w:rFonts w:ascii="Times New Roman" w:hAnsi="Times New Roman" w:eastAsia="宋体"/>
            <w:color w:val="0563C1"/>
            <w:u w:val="single"/>
            <w:sz w:val="22"/>
          </w:rPr>
          <w:t xml:space="preserve">stock-analysis-on.net</w:t>
        </w:r>
      </w:hyperlink>
      <w:r>
        <w:rPr>
          <w:rFonts w:ascii="Times New Roman" w:hAnsi="Times New Roman" w:cs="Times New Roman" w:eastAsia="宋体"/>
          <w:b w:val="0"/>
          <w:sz w:val="22"/>
        </w:rPr>
        <w:t>）；</w:t>
      </w:r>
      <w:r>
        <w:rPr>
          <w:rFonts w:ascii="Times New Roman" w:hAnsi="Times New Roman" w:cs="Times New Roman" w:eastAsia="宋体"/>
          <w:b/>
          <w:sz w:val="22"/>
        </w:rPr>
        <w:t>Broadcom 回购计划行 FY2021–FY2025 已核实</w:t>
      </w:r>
      <w:r>
        <w:rPr>
          <w:rFonts w:ascii="Times New Roman" w:hAnsi="Times New Roman" w:cs="Times New Roman" w:eastAsia="宋体"/>
          <w:b w:val="0"/>
          <w:sz w:val="22"/>
        </w:rPr>
        <w:t xml:space="preserve">（用户核对 10-K 现金流"repurchases of common stock - repurchase program"：FY2021=0、FY2022=7,000、FY2023=5,824、FY2024=7,176、FY2025=2,450），仅 </w:t>
      </w:r>
      <w:r>
        <w:rPr>
          <w:rFonts w:ascii="Times New Roman" w:hAnsi="Times New Roman" w:cs="Times New Roman" w:eastAsia="宋体"/>
          <w:b/>
          <w:sz w:val="22"/>
        </w:rPr>
        <w:t>FY2020（约 5,400）待核</w:t>
      </w:r>
      <w:r>
        <w:rPr>
          <w:rFonts w:ascii="Times New Roman" w:hAnsi="Times New Roman" w:cs="Times New Roman" w:eastAsia="宋体"/>
          <w:b w:val="0"/>
          <w:sz w:val="22"/>
        </w:rPr>
        <w:t>。另注：Broadcom 现金流还有一条独立的"vesting 税负代扣回购"行（2020–2023 = 765 / 1,299 / 1,455 / 1,861），不计入上表回购计划口径。</w:t>
      </w:r>
    </w:p>
    <w:p>
      <w:pPr>
        <w:pBdr>
          <w:bottom w:val="single" w:sz="6" w:space="1" w:color="AAAAAA"/>
        </w:pBdr>
        <w:spacing w:after="80"/>
      </w:pPr>
    </w:p>
    <w:p>
      <w:pPr>
        <w:spacing w:line="360" w:lineRule="auto" w:before="240" w:after="120"/>
        <w:outlineLvl w:val="0"/>
      </w:pPr>
      <w:r>
        <w:rPr>
          <w:rFonts w:ascii="Times New Roman" w:hAnsi="Times New Roman" w:cs="Times New Roman" w:eastAsia="黑体"/>
          <w:b/>
          <w:sz w:val="32"/>
        </w:rPr>
        <w:t>六、超算 / 算力能力</w:t>
      </w:r>
    </w:p>
    <w:p>
      <w:pPr>
        <w:spacing w:line="360" w:lineRule="auto" w:before="120" w:after="40"/>
      </w:pPr>
      <w:r>
        <w:rPr>
          <w:rFonts w:ascii="Times New Roman" w:hAnsi="Times New Roman" w:cs="Times New Roman" w:eastAsia="宋体"/>
          <w:b/>
          <w:sz w:val="24"/>
        </w:rPr>
        <w:t>口径说明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 xml:space="preserve">含义为各公司公开宣布的旗舰 AI 集群与算力规模。事件性事实与 Top500 数据已核实；GPU 数量、ZFLOPS 峰值、GW 规划中有相当部分为公司前瞻或媒体报道。四家角色不同：Oracle/CoreWeave </w:t>
      </w:r>
      <w:r>
        <w:rPr>
          <w:rFonts w:ascii="Times New Roman" w:hAnsi="Times New Roman" w:cs="Times New Roman" w:eastAsia="宋体"/>
          <w:b/>
          <w:sz w:val="24"/>
        </w:rPr>
        <w:t>运营</w:t>
      </w:r>
      <w:r>
        <w:rPr>
          <w:rFonts w:ascii="Times New Roman" w:hAnsi="Times New Roman" w:cs="Times New Roman" w:eastAsia="宋体"/>
          <w:b w:val="0"/>
          <w:sz w:val="24"/>
        </w:rPr>
        <w:t xml:space="preserve">算力，AMD </w:t>
      </w:r>
      <w:r>
        <w:rPr>
          <w:rFonts w:ascii="Times New Roman" w:hAnsi="Times New Roman" w:cs="Times New Roman" w:eastAsia="宋体"/>
          <w:b/>
          <w:sz w:val="24"/>
        </w:rPr>
        <w:t>制造</w:t>
      </w:r>
      <w:r>
        <w:rPr>
          <w:rFonts w:ascii="Times New Roman" w:hAnsi="Times New Roman" w:cs="Times New Roman" w:eastAsia="宋体"/>
          <w:b w:val="0"/>
          <w:sz w:val="24"/>
        </w:rPr>
        <w:t xml:space="preserve">算力芯片，Broadcom </w:t>
      </w:r>
      <w:r>
        <w:rPr>
          <w:rFonts w:ascii="Times New Roman" w:hAnsi="Times New Roman" w:cs="Times New Roman" w:eastAsia="宋体"/>
          <w:b/>
          <w:sz w:val="24"/>
        </w:rPr>
        <w:t>协助客户设计</w:t>
      </w:r>
      <w:r>
        <w:rPr>
          <w:rFonts w:ascii="Times New Roman" w:hAnsi="Times New Roman" w:cs="Times New Roman" w:eastAsia="宋体"/>
          <w:b w:val="0"/>
          <w:sz w:val="24"/>
        </w:rPr>
        <w:t>算力芯片——量纲不可直接对比。</w:t>
      </w:r>
    </w:p>
    <w:p>
      <w:pPr>
        <w:spacing w:line="360" w:lineRule="auto" w:before="160" w:after="120"/>
        <w:outlineLvl w:val="1"/>
      </w:pPr>
      <w:r>
        <w:rPr>
          <w:rFonts w:ascii="Times New Roman" w:hAnsi="Times New Roman" w:cs="Times New Roman" w:eastAsia="黑体"/>
          <w:b/>
          <w:sz w:val="28"/>
        </w:rPr>
        <w:t>6.1 Oracle（OCI）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OCI Zettascale10</w:t>
      </w:r>
      <w:r>
        <w:rPr>
          <w:rFonts w:ascii="Times New Roman" w:hAnsi="Times New Roman" w:cs="Times New Roman" w:eastAsia="宋体"/>
          <w:b w:val="0"/>
          <w:sz w:val="24"/>
        </w:rPr>
        <w:t xml:space="preserve">（2025/10/14 发布）：号称"云端最大 AI 超算"，最高 </w:t>
      </w:r>
      <w:r>
        <w:rPr>
          <w:rFonts w:ascii="Times New Roman" w:hAnsi="Times New Roman" w:cs="Times New Roman" w:eastAsia="宋体"/>
          <w:b/>
          <w:sz w:val="24"/>
        </w:rPr>
        <w:t>80 万张英伟达 GPU、峰值 16 zettaFLOPS</w:t>
      </w:r>
      <w:r>
        <w:rPr>
          <w:rFonts w:ascii="Times New Roman" w:hAnsi="Times New Roman" w:cs="Times New Roman" w:eastAsia="宋体"/>
          <w:b w:val="0"/>
          <w:sz w:val="24"/>
        </w:rPr>
        <w:t>（FP 精度未注明，为公司宣传口径）——"deliver up to 16 zettaFLOPS of peak performance…up to 800,000 NVIDIA GPUs"（</w:t>
      </w:r>
      <w:hyperlink r:id="rId63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Oracle 官方新闻稿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64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DCD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）【发布事件已核实；算力数字为公司宣传】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Stargate Abilene（德州）</w:t>
      </w:r>
      <w:r>
        <w:rPr>
          <w:rFonts w:ascii="Times New Roman" w:hAnsi="Times New Roman" w:cs="Times New Roman" w:eastAsia="宋体"/>
          <w:b w:val="0"/>
          <w:sz w:val="24"/>
        </w:rPr>
        <w:t xml:space="preserve">：与 OpenAI 合作的旗舰站点，Zettascale10 为其算力底座；OpenAI–Oracle 另有 </w:t>
      </w:r>
      <w:r>
        <w:rPr>
          <w:rFonts w:ascii="Times New Roman" w:hAnsi="Times New Roman" w:cs="Times New Roman" w:eastAsia="宋体"/>
          <w:b/>
          <w:sz w:val="24"/>
        </w:rPr>
        <w:t>4.5GW</w:t>
      </w:r>
      <w:r>
        <w:rPr>
          <w:rFonts w:ascii="Times New Roman" w:hAnsi="Times New Roman" w:cs="Times New Roman" w:eastAsia="宋体"/>
          <w:b w:val="0"/>
          <w:sz w:val="24"/>
        </w:rPr>
        <w:t xml:space="preserve"> 数据中心容量合作（2025/7 宣布）与媒体报道的 </w:t>
      </w:r>
      <w:r>
        <w:rPr>
          <w:rFonts w:ascii="Times New Roman" w:hAnsi="Times New Roman" w:cs="Times New Roman" w:eastAsia="宋体"/>
          <w:b/>
          <w:sz w:val="24"/>
        </w:rPr>
        <w:t>5 年约 $300B</w:t>
      </w:r>
      <w:r>
        <w:rPr>
          <w:rFonts w:ascii="Times New Roman" w:hAnsi="Times New Roman" w:cs="Times New Roman" w:eastAsia="宋体"/>
          <w:b w:val="0"/>
          <w:sz w:val="24"/>
        </w:rPr>
        <w:t xml:space="preserve"> 算力合同（2025/9，WSJ 首报）——"Oracle &amp; OpenAI's $300B Deal"（</w:t>
      </w:r>
      <w:hyperlink r:id="rId65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IntuitionLabs 分析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）【合同金额为媒体报道，Oracle 未逐条确认，待核实】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RPO $455B</w:t>
      </w:r>
      <w:r>
        <w:rPr>
          <w:rFonts w:ascii="Times New Roman" w:hAnsi="Times New Roman" w:cs="Times New Roman" w:eastAsia="宋体"/>
          <w:b w:val="0"/>
          <w:sz w:val="24"/>
        </w:rPr>
        <w:t>（FY2026 Q1，2025/8/31 止）：同比 +359%，绝大部分为 AI 算力合同（</w:t>
      </w:r>
      <w:hyperlink r:id="rId10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DCD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</w:t>
      </w:r>
    </w:p>
    <w:p>
      <w:pPr>
        <w:spacing w:line="360" w:lineRule="auto" w:before="160" w:after="120"/>
        <w:outlineLvl w:val="1"/>
      </w:pPr>
      <w:r>
        <w:rPr>
          <w:rFonts w:ascii="Times New Roman" w:hAnsi="Times New Roman" w:cs="Times New Roman" w:eastAsia="黑体"/>
          <w:b/>
          <w:sz w:val="28"/>
        </w:rPr>
        <w:t>6.2 Broadcom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 xml:space="preserve">不运营超算，角色 = </w:t>
      </w:r>
      <w:r>
        <w:rPr>
          <w:rFonts w:ascii="Times New Roman" w:hAnsi="Times New Roman" w:cs="Times New Roman" w:eastAsia="宋体"/>
          <w:b/>
          <w:sz w:val="24"/>
        </w:rPr>
        <w:t>定制 AI 芯片（XPU）+ AI 网络</w:t>
      </w:r>
      <w:r>
        <w:rPr>
          <w:rFonts w:ascii="Times New Roman" w:hAnsi="Times New Roman" w:cs="Times New Roman" w:eastAsia="宋体"/>
          <w:b w:val="0"/>
          <w:sz w:val="24"/>
        </w:rPr>
        <w:t>供应商：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谷歌 TPU</w:t>
      </w:r>
      <w:r>
        <w:rPr>
          <w:rFonts w:ascii="Times New Roman" w:hAnsi="Times New Roman" w:cs="Times New Roman" w:eastAsia="宋体"/>
          <w:b w:val="0"/>
          <w:sz w:val="24"/>
        </w:rPr>
        <w:t>：2014 年起七代协同设计——"Google…the longest-standing partner, with seven generations of co-designed TPUs since 2014"（</w:t>
      </w:r>
      <w:hyperlink r:id="rId33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Tom's Hardware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OpenAI 10GW 自研加速器</w:t>
      </w:r>
      <w:r>
        <w:rPr>
          <w:rFonts w:ascii="Times New Roman" w:hAnsi="Times New Roman" w:cs="Times New Roman" w:eastAsia="宋体"/>
          <w:b w:val="0"/>
          <w:sz w:val="24"/>
        </w:rPr>
        <w:t>（2025/10/13）：OpenAI 设计、Broadcom 开发部署，2026 H2 起、2029 年底完成；首款推理芯片"Jalapeño"——（</w:t>
      </w:r>
      <w:hyperlink r:id="rId12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Broadcom 新闻稿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66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OpenAI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 xml:space="preserve">确认 </w:t>
      </w:r>
      <w:r>
        <w:rPr>
          <w:rFonts w:ascii="Times New Roman" w:hAnsi="Times New Roman" w:cs="Times New Roman" w:eastAsia="宋体"/>
          <w:b/>
          <w:sz w:val="24"/>
        </w:rPr>
        <w:t>6 家 XPU 大客户</w:t>
      </w:r>
      <w:r>
        <w:rPr>
          <w:rFonts w:ascii="Times New Roman" w:hAnsi="Times New Roman" w:cs="Times New Roman" w:eastAsia="宋体"/>
          <w:b w:val="0"/>
          <w:sz w:val="24"/>
        </w:rPr>
        <w:t xml:space="preserve">（含谷歌、Meta MTIA 等）；AI 半导体收入：FY2025 逐季 $4.4B→$5.2B→$6.2B，FY2026 Q1 达 $8.4B（+106% YoY），公司指引 FY2026 全年约 </w:t>
      </w:r>
      <w:r>
        <w:rPr>
          <w:rFonts w:ascii="Times New Roman" w:hAnsi="Times New Roman" w:cs="Times New Roman" w:eastAsia="宋体"/>
          <w:b/>
          <w:sz w:val="24"/>
        </w:rPr>
        <w:t>$56B</w:t>
      </w:r>
      <w:r>
        <w:rPr>
          <w:rFonts w:ascii="Times New Roman" w:hAnsi="Times New Roman" w:cs="Times New Roman" w:eastAsia="宋体"/>
          <w:b w:val="0"/>
          <w:sz w:val="24"/>
        </w:rPr>
        <w:t>（窗口外）——（</w:t>
      </w:r>
      <w:hyperlink r:id="rId67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TechTimes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）【季度数已核实】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>网络侧：Tomahawk 5/6（51.2/102.4 Tbps）交换芯片、Jericho 系列——AI 集群互联事实标准之一。</w:t>
      </w:r>
    </w:p>
    <w:p>
      <w:pPr>
        <w:spacing w:line="360" w:lineRule="auto" w:before="160" w:after="120"/>
        <w:outlineLvl w:val="1"/>
      </w:pPr>
      <w:r>
        <w:rPr>
          <w:rFonts w:ascii="Times New Roman" w:hAnsi="Times New Roman" w:cs="Times New Roman" w:eastAsia="黑体"/>
          <w:b/>
          <w:sz w:val="28"/>
        </w:rPr>
        <w:t>6.3 AMD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El Capitan</w:t>
      </w:r>
      <w:r>
        <w:rPr>
          <w:rFonts w:ascii="Times New Roman" w:hAnsi="Times New Roman" w:cs="Times New Roman" w:eastAsia="宋体"/>
          <w:b w:val="0"/>
          <w:sz w:val="24"/>
        </w:rPr>
        <w:t>（LLNL）：</w:t>
      </w:r>
      <w:r>
        <w:rPr>
          <w:rFonts w:ascii="Times New Roman" w:hAnsi="Times New Roman" w:cs="Times New Roman" w:eastAsia="宋体"/>
          <w:b/>
          <w:sz w:val="24"/>
        </w:rPr>
        <w:t>43,808 颗 Instinct MI300A APU，HPL 1.742 EFLOPS，2024/11 起 Top500 全球第 1</w:t>
      </w:r>
      <w:r>
        <w:rPr>
          <w:rFonts w:ascii="Times New Roman" w:hAnsi="Times New Roman" w:cs="Times New Roman" w:eastAsia="宋体"/>
          <w:b w:val="0"/>
          <w:sz w:val="24"/>
        </w:rPr>
        <w:t>（至 2026/6 榜单仍居首）——"El Capitan was verified…achieving 1.742 exaFLOPs…worlds fastest supercomputer"（</w:t>
      </w:r>
      <w:hyperlink r:id="rId68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LLNL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69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Top500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Frontier</w:t>
      </w:r>
      <w:r>
        <w:rPr>
          <w:rFonts w:ascii="Times New Roman" w:hAnsi="Times New Roman" w:cs="Times New Roman" w:eastAsia="宋体"/>
          <w:b w:val="0"/>
          <w:sz w:val="24"/>
        </w:rPr>
        <w:t>（ORNL）：37,888 颗 MI250X，全球首台 exascale（2022 年 Top500 第 1，现第 2/3）——（</w:t>
      </w:r>
      <w:hyperlink r:id="rId70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Top500 系统页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71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Wikipedia</w:t>
        </w:r>
      </w:hyperlink>
      <w:r>
        <w:rPr>
          <w:rFonts w:ascii="Times New Roman" w:hAnsi="Times New Roman" w:cs="Times New Roman" w:eastAsia="宋体"/>
          <w:b w:val="0"/>
          <w:sz w:val="24"/>
        </w:rPr>
        <w:t>)）【已核实】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Instinct GPU 路线</w:t>
      </w:r>
      <w:r>
        <w:rPr>
          <w:rFonts w:ascii="Times New Roman" w:hAnsi="Times New Roman" w:cs="Times New Roman" w:eastAsia="宋体"/>
          <w:b w:val="0"/>
          <w:sz w:val="24"/>
        </w:rPr>
        <w:t>：MI300X（2023）→ MI325X（2024）→ MI355X（2025）→ MI450（2026，Helios 整机架平台）；</w:t>
      </w:r>
      <w:r>
        <w:rPr>
          <w:rFonts w:ascii="Times New Roman" w:hAnsi="Times New Roman" w:cs="Times New Roman" w:eastAsia="宋体"/>
          <w:b/>
          <w:sz w:val="24"/>
        </w:rPr>
        <w:t>OpenAI 6GW 协议</w:t>
      </w:r>
      <w:r>
        <w:rPr>
          <w:rFonts w:ascii="Times New Roman" w:hAnsi="Times New Roman" w:cs="Times New Roman" w:eastAsia="宋体"/>
          <w:b w:val="0"/>
          <w:sz w:val="24"/>
        </w:rPr>
        <w:t>（2025/10/6）：首个 1GW MI450 于 2026 H2 部署——"The first 1 gigawatt deployment of AMD Instinct MI450 GPUs is set to begin in the second half of 2026"（</w:t>
      </w:r>
      <w:hyperlink r:id="rId14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AMD 新闻稿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</w:t>
      </w:r>
    </w:p>
    <w:p>
      <w:pPr>
        <w:spacing w:line="360" w:lineRule="auto" w:before="160" w:after="120"/>
        <w:outlineLvl w:val="1"/>
      </w:pPr>
      <w:r>
        <w:rPr>
          <w:rFonts w:ascii="Times New Roman" w:hAnsi="Times New Roman" w:cs="Times New Roman" w:eastAsia="黑体"/>
          <w:b/>
          <w:sz w:val="28"/>
        </w:rPr>
        <w:t>6.4 CoreWeave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GPU 舰队</w:t>
      </w:r>
      <w:r>
        <w:rPr>
          <w:rFonts w:ascii="Times New Roman" w:hAnsi="Times New Roman" w:cs="Times New Roman" w:eastAsia="宋体"/>
          <w:b w:val="0"/>
          <w:sz w:val="24"/>
        </w:rPr>
        <w:t>：</w:t>
      </w:r>
      <w:r>
        <w:rPr>
          <w:rFonts w:ascii="Times New Roman" w:hAnsi="Times New Roman" w:cs="Times New Roman" w:eastAsia="宋体"/>
          <w:b/>
          <w:sz w:val="24"/>
        </w:rPr>
        <w:t>25 万+张英伟达 GPU、32+ 数据中心</w:t>
      </w:r>
      <w:r>
        <w:rPr>
          <w:rFonts w:ascii="Times New Roman" w:hAnsi="Times New Roman" w:cs="Times New Roman" w:eastAsia="宋体"/>
          <w:b w:val="0"/>
          <w:sz w:val="24"/>
        </w:rPr>
        <w:t>（2025 初）；有效电力 470MW、签约电力 2.2GW（2025 中）——（</w:t>
      </w:r>
      <w:hyperlink r:id="rId16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The Next Platform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31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Introl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首家规模化上线 GB200 NVL72</w:t>
      </w:r>
      <w:r>
        <w:rPr>
          <w:rFonts w:ascii="Times New Roman" w:hAnsi="Times New Roman" w:cs="Times New Roman" w:eastAsia="宋体"/>
          <w:b w:val="0"/>
          <w:sz w:val="24"/>
        </w:rPr>
        <w:t>（2025/2 GA）与 GB300；多次刷新 MLPerf Training 纪录【事件已核实】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/>
          <w:sz w:val="24"/>
        </w:rPr>
        <w:t>客户集中</w:t>
      </w:r>
      <w:r>
        <w:rPr>
          <w:rFonts w:ascii="Times New Roman" w:hAnsi="Times New Roman" w:cs="Times New Roman" w:eastAsia="宋体"/>
          <w:b w:val="0"/>
          <w:sz w:val="24"/>
        </w:rPr>
        <w:t xml:space="preserve">：微软占 2024 收入 </w:t>
      </w:r>
      <w:r>
        <w:rPr>
          <w:rFonts w:ascii="Times New Roman" w:hAnsi="Times New Roman" w:cs="Times New Roman" w:eastAsia="宋体"/>
          <w:b/>
          <w:sz w:val="24"/>
        </w:rPr>
        <w:t>62%</w:t>
      </w:r>
      <w:r>
        <w:rPr>
          <w:rFonts w:ascii="Times New Roman" w:hAnsi="Times New Roman" w:cs="Times New Roman" w:eastAsia="宋体"/>
          <w:b w:val="0"/>
          <w:sz w:val="24"/>
        </w:rPr>
        <w:t xml:space="preserve">、2025 约 67%；OpenAI 2025/3 签 5 年 </w:t>
      </w:r>
      <w:r>
        <w:rPr>
          <w:rFonts w:ascii="Times New Roman" w:hAnsi="Times New Roman" w:cs="Times New Roman" w:eastAsia="宋体"/>
          <w:b/>
          <w:sz w:val="24"/>
        </w:rPr>
        <w:t>$11.9B</w:t>
      </w:r>
      <w:r>
        <w:rPr>
          <w:rFonts w:ascii="Times New Roman" w:hAnsi="Times New Roman" w:cs="Times New Roman" w:eastAsia="宋体"/>
          <w:b w:val="0"/>
          <w:sz w:val="24"/>
        </w:rPr>
        <w:t xml:space="preserve"> 合同并多次扩容；</w:t>
      </w:r>
      <w:r>
        <w:rPr>
          <w:rFonts w:ascii="Times New Roman" w:hAnsi="Times New Roman" w:cs="Times New Roman" w:eastAsia="宋体"/>
          <w:b/>
          <w:sz w:val="24"/>
        </w:rPr>
        <w:t>收入积压（backlog）2025 末 $66.8B</w:t>
      </w:r>
      <w:r>
        <w:rPr>
          <w:rFonts w:ascii="Times New Roman" w:hAnsi="Times New Roman" w:cs="Times New Roman" w:eastAsia="宋体"/>
          <w:b w:val="0"/>
          <w:sz w:val="24"/>
        </w:rPr>
        <w:t>——（</w:t>
      </w:r>
      <w:hyperlink r:id="rId62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mlq.ai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72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CoreWeave FY2025 业绩稿</w:t>
        </w:r>
      </w:hyperlink>
      <w:r>
        <w:rPr>
          <w:rFonts w:ascii="Times New Roman" w:hAnsi="Times New Roman" w:cs="Times New Roman" w:eastAsia="宋体"/>
          <w:b w:val="0"/>
          <w:sz w:val="24"/>
        </w:rPr>
        <w:t>）【已核实】</w:t>
      </w:r>
    </w:p>
    <w:p>
      <w:pPr>
        <w:spacing w:line="360" w:lineRule="auto" w:after="40"/>
        <w:ind w:left="420" w:hanging="210"/>
      </w:pPr>
      <w:r>
        <w:rPr>
          <w:rFonts w:ascii="Times New Roman" w:hAnsi="Times New Roman" w:cs="Times New Roman" w:eastAsia="宋体"/>
          <w:b w:val="0"/>
          <w:sz w:val="24"/>
        </w:rPr>
        <w:t xml:space="preserve">• </w:t>
      </w:r>
      <w:r>
        <w:rPr>
          <w:rFonts w:ascii="Times New Roman" w:hAnsi="Times New Roman" w:cs="Times New Roman" w:eastAsia="宋体"/>
          <w:b w:val="0"/>
          <w:sz w:val="24"/>
        </w:rPr>
        <w:t>无 Top500 送测（商业云不参与 HPL 榜单）。</w:t>
      </w:r>
    </w:p>
    <w:p>
      <w:pPr>
        <w:pBdr>
          <w:bottom w:val="single" w:sz="6" w:space="1" w:color="AAAAAA"/>
        </w:pBdr>
        <w:spacing w:after="80"/>
      </w:pPr>
    </w:p>
    <w:p>
      <w:pPr>
        <w:spacing w:line="360" w:lineRule="auto" w:before="240" w:after="120"/>
        <w:outlineLvl w:val="0"/>
      </w:pPr>
      <w:r>
        <w:rPr>
          <w:rFonts w:ascii="Times New Roman" w:hAnsi="Times New Roman" w:cs="Times New Roman" w:eastAsia="黑体"/>
          <w:b/>
          <w:sz w:val="32"/>
        </w:rPr>
        <w:t>七、主要来源清单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1. SEC EDGAR 各公司 10-K/8-K/424B2：Oracle CIK 1341439、Broadcom CIK 1730168、AMD CIK 2488、CoreWeave CIK 1769628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2. 公司 IR：</w:t>
      </w:r>
      <w:hyperlink r:id="rId73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Oracle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74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Broadcom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75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AMD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76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CoreWeave</w:t>
        </w:r>
      </w:hyperlink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 xml:space="preserve">3. </w:t>
      </w:r>
      <w:hyperlink r:id="rId77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Top500.org</w:t>
        </w:r>
      </w:hyperlink>
      <w:r>
        <w:rPr>
          <w:rFonts w:ascii="Times New Roman" w:hAnsi="Times New Roman" w:cs="Times New Roman" w:eastAsia="宋体"/>
          <w:b w:val="0"/>
          <w:sz w:val="24"/>
        </w:rPr>
        <w:t>（El Capitan/Frontier）、</w:t>
      </w:r>
      <w:hyperlink r:id="rId78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LLNL</w:t>
        </w:r>
      </w:hyperlink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4. 市场数据：</w:t>
      </w:r>
      <w:hyperlink r:id="rId79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companiesmarketcap.com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80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Macrotrends</w:t>
        </w:r>
      </w:hyperlink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5. 行业媒体：DataCenterDynamics、Tom's Hardware、The Next Platform、CNBC、Bloomberg、Forbes、TheStreet</w:t>
      </w:r>
    </w:p>
    <w:p>
      <w:pPr>
        <w:spacing w:line="360" w:lineRule="auto" w:after="40"/>
        <w:ind w:firstLine="480"/>
      </w:pPr>
      <w:r>
        <w:rPr>
          <w:rFonts w:ascii="Times New Roman" w:hAnsi="Times New Roman" w:cs="Times New Roman" w:eastAsia="宋体"/>
          <w:b w:val="0"/>
          <w:sz w:val="24"/>
        </w:rPr>
        <w:t>6. 第三方研究：</w:t>
      </w:r>
      <w:hyperlink r:id="rId81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Kerrisdale Capital（CoreWeave 做空报告，2025/9）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58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LevelHeaded Investing（CoreWeave 债务案例）</w:t>
        </w:r>
      </w:hyperlink>
      <w:r>
        <w:rPr>
          <w:rFonts w:ascii="Times New Roman" w:hAnsi="Times New Roman" w:cs="Times New Roman" w:eastAsia="宋体"/>
          <w:b w:val="0"/>
          <w:sz w:val="24"/>
        </w:rPr>
        <w:t>、</w:t>
      </w:r>
      <w:hyperlink r:id="rId61">
        <w:r>
          <w:rPr>
            <w:rFonts w:ascii="Times New Roman" w:hAnsi="Times New Roman" w:eastAsia="宋体"/>
            <w:color w:val="0563C1"/>
            <w:u w:val="single"/>
            <w:sz w:val="24"/>
          </w:rPr>
          <w:t xml:space="preserve">Sacra</w:t>
        </w:r>
      </w:hyperlink>
    </w:p>
    <w:p>
      <w:pPr>
        <w:spacing w:line="360" w:lineRule="auto" w:after="40"/>
        <w:ind w:left="420"/>
      </w:pPr>
      <w:r>
        <w:rPr>
          <w:rFonts w:ascii="Times New Roman" w:hAnsi="Times New Roman" w:cs="Times New Roman" w:eastAsia="宋体"/>
          <w:b/>
          <w:sz w:val="24"/>
        </w:rPr>
        <w:t>可信度总注</w:t>
      </w:r>
      <w:r>
        <w:rPr>
          <w:rFonts w:ascii="Times New Roman" w:hAnsi="Times New Roman" w:cs="Times New Roman" w:eastAsia="宋体"/>
          <w:b w:val="0"/>
          <w:sz w:val="24"/>
        </w:rPr>
        <w:t>：标【已核实】= 有 SEC 文件或公司官方新闻稿/多个独立第三方一致；标【待核实】= 单一第三方来源、估算或推算值，需以对应 10-K 原文复核。CoreWeave 上市前(2020–2024)数据整体可信度低于其他三家。</w:t>
      </w:r>
    </w:p>
    <w:sectPr w:rsidR="00FC693F" w:rsidRPr="0006063C" w:rsidSect="00034616">
      <w:footerReference w:type="default" r:id="rId9"/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datacenterdynamics.com/en/news/oracle-has-455bn-in-remaining-performance-obligations-at-end-of-q1-2026/" TargetMode="External"/><Relationship Id="rId11" Type="http://schemas.openxmlformats.org/officeDocument/2006/relationships/hyperlink" Target="https://www.oracle.com/news/announcement/q1fy26-earnings-release-2025-09-09/" TargetMode="External"/><Relationship Id="rId12" Type="http://schemas.openxmlformats.org/officeDocument/2006/relationships/hyperlink" Target="https://investors.broadcom.com/news-releases/news-release-details/openai-and-broadcom-announce-strategic-collaboration-deploy-10" TargetMode="External"/><Relationship Id="rId13" Type="http://schemas.openxmlformats.org/officeDocument/2006/relationships/hyperlink" Target="https://openai.com/index/openai-and-broadcom-announce-strategic-collaboration/" TargetMode="External"/><Relationship Id="rId14" Type="http://schemas.openxmlformats.org/officeDocument/2006/relationships/hyperlink" Target="https://www.amd.com/en/newsroom/press-releases/2025-10-6-amd-and-openai-announce-strategic-partnership-to-d.html" TargetMode="External"/><Relationship Id="rId15" Type="http://schemas.openxmlformats.org/officeDocument/2006/relationships/hyperlink" Target="https://www.tomshardware.com/pc-components/cpus/amd-powered-el-capitan-is-now-the-worlds-fastest-supercomputer-with-1-7-exaflops-of-performance-fastest-intel-machine-falls-to-third-place-on-top500-list" TargetMode="External"/><Relationship Id="rId16" Type="http://schemas.openxmlformats.org/officeDocument/2006/relationships/hyperlink" Target="https://www.nextplatform.com/ai/2025/03/06/coreweaves-250000-strong-gpu-fleet-undercuts-the-big-clouds/1656232" TargetMode="External"/><Relationship Id="rId17" Type="http://schemas.openxmlformats.org/officeDocument/2006/relationships/hyperlink" Target="https://www.cnbc.com/2025/03/26/the-concern-with-coreweaves-250000-nvidia-chips-ahead-of-its-ipo.html" TargetMode="External"/><Relationship Id="rId18" Type="http://schemas.openxmlformats.org/officeDocument/2006/relationships/hyperlink" Target="https://companiesmarketcap.com/oracle/marketcap/" TargetMode="External"/><Relationship Id="rId19" Type="http://schemas.openxmlformats.org/officeDocument/2006/relationships/hyperlink" Target="https://companiesmarketcap.com/broadcom/marketcap/" TargetMode="External"/><Relationship Id="rId20" Type="http://schemas.openxmlformats.org/officeDocument/2006/relationships/hyperlink" Target="https://companiesmarketcap.com/amd/marketcap/" TargetMode="External"/><Relationship Id="rId21" Type="http://schemas.openxmlformats.org/officeDocument/2006/relationships/hyperlink" Target="https://companiesmarketcap.com/coreweave/marketcap/" TargetMode="External"/><Relationship Id="rId22" Type="http://schemas.openxmlformats.org/officeDocument/2006/relationships/hyperlink" Target="https://www.sec.gov/Archives/edgar/data/1341439/000156459020030125/orcl-10k_20200531.htm" TargetMode="External"/><Relationship Id="rId23" Type="http://schemas.openxmlformats.org/officeDocument/2006/relationships/hyperlink" Target="https://www.macrotrends.net/stocks/charts/ORCL/oracle/financial-statements" TargetMode="External"/><Relationship Id="rId24" Type="http://schemas.openxmlformats.org/officeDocument/2006/relationships/hyperlink" Target="https://finbox.com/NYSE:ORCL/explorer/capex/" TargetMode="External"/><Relationship Id="rId25" Type="http://schemas.openxmlformats.org/officeDocument/2006/relationships/hyperlink" Target="https://finbox.com/NASDAQGS:AVGO/explorer/capex/" TargetMode="External"/><Relationship Id="rId26" Type="http://schemas.openxmlformats.org/officeDocument/2006/relationships/hyperlink" Target="https://www.stock-analysis-on.net/NASDAQ/Company/Advanced-Micro-Devices-Inc/Financial-Statement/Statement-of-Cash-Flows" TargetMode="External"/><Relationship Id="rId27" Type="http://schemas.openxmlformats.org/officeDocument/2006/relationships/hyperlink" Target="https://stockdividendscreener.com/technology/semiconductor/amd/amd-capital-expenditures/" TargetMode="External"/><Relationship Id="rId28" Type="http://schemas.openxmlformats.org/officeDocument/2006/relationships/hyperlink" Target="https://macrotrends.net/stocks/charts/CRWV/coreweave/cash-flow-statement" TargetMode="External"/><Relationship Id="rId29" Type="http://schemas.openxmlformats.org/officeDocument/2006/relationships/hyperlink" Target="https://stockanalysis.com/stocks/crwv/financials/cash-flow-statement/" TargetMode="External"/><Relationship Id="rId30" Type="http://schemas.openxmlformats.org/officeDocument/2006/relationships/hyperlink" Target="https://finance.yahoo.com/news/coreweave-slides-30-billion-capex-113959671.html" TargetMode="External"/><Relationship Id="rId31" Type="http://schemas.openxmlformats.org/officeDocument/2006/relationships/hyperlink" Target="https://introl.com/blog/coreweave-gpu-cloud-ai-infrastructure-deep-dive-2025" TargetMode="External"/><Relationship Id="rId32" Type="http://schemas.openxmlformats.org/officeDocument/2006/relationships/hyperlink" Target="https://www.amd.com/en/newsroom.html" TargetMode="External"/><Relationship Id="rId33" Type="http://schemas.openxmlformats.org/officeDocument/2006/relationships/hyperlink" Target="https://www.tomshardware.com/tech-industry/semiconductors/custom-ai-asics-examined-from-broadcom-to-mtia" TargetMode="External"/><Relationship Id="rId34" Type="http://schemas.openxmlformats.org/officeDocument/2006/relationships/hyperlink" Target="https://www.sec.gov/Archives/edgar/data/1769628/000119312525044231/d899798ds1.htm" TargetMode="External"/><Relationship Id="rId35" Type="http://schemas.openxmlformats.org/officeDocument/2006/relationships/hyperlink" Target="https://www.sec.gov/Archives/edgar/data/1769628/000176962826000094/coreweave4q25earningspress.htm" TargetMode="External"/><Relationship Id="rId36" Type="http://schemas.openxmlformats.org/officeDocument/2006/relationships/hyperlink" Target="https://investor.oracle.com/investor-news/news-details/2020/Oracle-Prices-20-Billion-Aggregate-Principal-Amount-of-Investment-Grade-Notes/default.aspx" TargetMode="External"/><Relationship Id="rId37" Type="http://schemas.openxmlformats.org/officeDocument/2006/relationships/hyperlink" Target="https://www.prnewswire.com/news-releases/oracle-prices-20-billion-aggregate-principal-amount-of-investment-grade-notes-301032142.html" TargetMode="External"/><Relationship Id="rId38" Type="http://schemas.openxmlformats.org/officeDocument/2006/relationships/hyperlink" Target="https://www.sec.gov/Archives/edgar/data/0001341439/000119312521088478/d131374d424b2.htm" TargetMode="External"/><Relationship Id="rId39" Type="http://schemas.openxmlformats.org/officeDocument/2006/relationships/hyperlink" Target="https://www.sec.gov/Archives/edgar/data/0001341439/000119312522280294/d376101d424b2.htm" TargetMode="External"/><Relationship Id="rId40" Type="http://schemas.openxmlformats.org/officeDocument/2006/relationships/hyperlink" Target="https://www.sec.gov/Archives/edgar/data/0001341439/000119312523024315/d769683d424b2.htm" TargetMode="External"/><Relationship Id="rId41" Type="http://schemas.openxmlformats.org/officeDocument/2006/relationships/hyperlink" Target="https://www.sec.gov/Archives/edgar/data/0001341439/000119312524227049/d861128d424b2.htm" TargetMode="External"/><Relationship Id="rId42" Type="http://schemas.openxmlformats.org/officeDocument/2006/relationships/hyperlink" Target="https://www.stblaw.com/about-us/news/view/2025/02/03/oracle-completes-$7.75-billion-senior-notes-offering" TargetMode="External"/><Relationship Id="rId43" Type="http://schemas.openxmlformats.org/officeDocument/2006/relationships/hyperlink" Target="https://www.stblaw.com/about-us/news/view/2025/09/26/oracle-completes-$18-billion-senior-notes-offering" TargetMode="External"/><Relationship Id="rId44" Type="http://schemas.openxmlformats.org/officeDocument/2006/relationships/hyperlink" Target="https://investor.oracle.com/investor-news/news-details/2026/Oracle-announces-Equity-and-Debt-Financing-Plan-for-Calendar-Year-2026/default.aspx" TargetMode="External"/><Relationship Id="rId45" Type="http://schemas.openxmlformats.org/officeDocument/2006/relationships/hyperlink" Target="https://www.investing.com/news/sec-filings/oracle-launches-20-billion-atthemarket-stock-offering-and-completes-25-billion-debt-issuance-93CH-4486640" TargetMode="External"/><Relationship Id="rId46" Type="http://schemas.openxmlformats.org/officeDocument/2006/relationships/hyperlink" Target="https://www.datacenterdynamics.com/en/news/oracle-officially-launches-25bn-bond-offering-and-20bn-equity-distribution-agreement/" TargetMode="External"/><Relationship Id="rId47" Type="http://schemas.openxmlformats.org/officeDocument/2006/relationships/hyperlink" Target="https://www.forbes.com/sites/greatspeculations/2025/10/03/how-oracle-stock-delivered-163b-to-investors/" TargetMode="External"/><Relationship Id="rId48" Type="http://schemas.openxmlformats.org/officeDocument/2006/relationships/hyperlink" Target="https://investors.broadcom.com/static-files/04a52c18-a0c2-45bd-8153-87ff65e6b01e" TargetMode="External"/><Relationship Id="rId49" Type="http://schemas.openxmlformats.org/officeDocument/2006/relationships/hyperlink" Target="https://www.bloomberg.com/news/articles/2023-08-17/broadcom-secures-28-4-billion-debt-financing-for-vmware-buy" TargetMode="External"/><Relationship Id="rId50" Type="http://schemas.openxmlformats.org/officeDocument/2006/relationships/hyperlink" Target="https://www.ainvest.com/aime/share/financed-debt-broadcom-5b004c/" TargetMode="External"/><Relationship Id="rId51" Type="http://schemas.openxmlformats.org/officeDocument/2006/relationships/hyperlink" Target="https://investors.broadcom.com/news-releases/news-release-details/broadcom-acquire-vmware-approximately-61-billion-cash-and-stock" TargetMode="External"/><Relationship Id="rId52" Type="http://schemas.openxmlformats.org/officeDocument/2006/relationships/hyperlink" Target="https://www.broadcom.com/company/news/financial-releases/63036" TargetMode="External"/><Relationship Id="rId53" Type="http://schemas.openxmlformats.org/officeDocument/2006/relationships/hyperlink" Target="https://www.electronicdesign.com/technologies/embedded/article/21216849/electronic-design-amd-closes-49-billion-acquisition-of-xilinxlargest-chip-deal-ever" TargetMode="External"/><Relationship Id="rId54" Type="http://schemas.openxmlformats.org/officeDocument/2006/relationships/hyperlink" Target="https://www.sec.gov/Archives/edgar/data/0000002488/000000248822000031/xilinxacquisitionclosepres.htm" TargetMode="External"/><Relationship Id="rId55" Type="http://schemas.openxmlformats.org/officeDocument/2006/relationships/hyperlink" Target="https://ir.amd.com/financial-information/sec-filings/content/0001193125-25-230895/d28189d8k.htm" TargetMode="External"/><Relationship Id="rId56" Type="http://schemas.openxmlformats.org/officeDocument/2006/relationships/hyperlink" Target="https://www.cnbc.com/2025/10/06/openai-amd-chip-deal-ai.html" TargetMode="External"/><Relationship Id="rId57" Type="http://schemas.openxmlformats.org/officeDocument/2006/relationships/hyperlink" Target="https://www.thestreet.com/investing/stocks/amd-stock-buybacks" TargetMode="External"/><Relationship Id="rId58" Type="http://schemas.openxmlformats.org/officeDocument/2006/relationships/hyperlink" Target="https://www.levelheadedinvesting.com/p/when-growth-runs-on-debt-the-coreweave-case-study" TargetMode="External"/><Relationship Id="rId59" Type="http://schemas.openxmlformats.org/officeDocument/2006/relationships/hyperlink" Target="https://www.datacenterdynamics.com/en/news/coreweave-raises-2bn-in-high-yield-bond-offering/" TargetMode="External"/><Relationship Id="rId60" Type="http://schemas.openxmlformats.org/officeDocument/2006/relationships/hyperlink" Target="https://investors.coreweave.com/news/news-details/2025/CoreWeave-Closes-2-6-Billion-Secured-Debt-Financing-Facility-Strengthening-Market-Position-as-AI-Cloud-Leader/default.aspx" TargetMode="External"/><Relationship Id="rId61" Type="http://schemas.openxmlformats.org/officeDocument/2006/relationships/hyperlink" Target="https://sacra.com/c/coreweave/" TargetMode="External"/><Relationship Id="rId62" Type="http://schemas.openxmlformats.org/officeDocument/2006/relationships/hyperlink" Target="https://mlq.ai/research/coreweave/" TargetMode="External"/><Relationship Id="rId63" Type="http://schemas.openxmlformats.org/officeDocument/2006/relationships/hyperlink" Target="https://www.oracle.com/news/announcement/ai-world-oracle-unveils-next-generation-oci-zettascale10-cluster-for-ai-2025-10-14/" TargetMode="External"/><Relationship Id="rId64" Type="http://schemas.openxmlformats.org/officeDocument/2006/relationships/hyperlink" Target="https://www.datacenterdynamics.com/en/news/oracle-unveils-zettascale10-ai-supercomputer-claims-it-will-be-largest-in-the-cloud/" TargetMode="External"/><Relationship Id="rId65" Type="http://schemas.openxmlformats.org/officeDocument/2006/relationships/hyperlink" Target="https://intuitionlabs.ai/articles/oracle-openai-300b-deal-analysis" TargetMode="External"/><Relationship Id="rId66" Type="http://schemas.openxmlformats.org/officeDocument/2006/relationships/hyperlink" Target="https://openai.com/index/openai-broadcom-jalapeno-inference-chip/" TargetMode="External"/><Relationship Id="rId67" Type="http://schemas.openxmlformats.org/officeDocument/2006/relationships/hyperlink" Target="https://www.techtimes.com/articles/317846/20260605/nvidia-not-only-ai-chip-winner-broadcom-forecasts-56-billion-custom-silicon-demand-surges.htm" TargetMode="External"/><Relationship Id="rId68" Type="http://schemas.openxmlformats.org/officeDocument/2006/relationships/hyperlink" Target="https://www.llnl.gov/article/52061/lawrence-livermore-national-laboratorys-el-capitan-verified-worlds-fastest-supercomputer" TargetMode="External"/><Relationship Id="rId69" Type="http://schemas.openxmlformats.org/officeDocument/2006/relationships/hyperlink" Target="https://top500.org/news/el-capitan-retains-1-as-jupiter-becomes-europes-first-exascale-system-in-the-66th-top500-list/" TargetMode="External"/><Relationship Id="rId70" Type="http://schemas.openxmlformats.org/officeDocument/2006/relationships/hyperlink" Target="https://top500.org/system/180047/" TargetMode="External"/><Relationship Id="rId71" Type="http://schemas.openxmlformats.org/officeDocument/2006/relationships/hyperlink" Target="https://en.wikipedia.org/wiki/Frontier_(supercomputer" TargetMode="External"/><Relationship Id="rId72" Type="http://schemas.openxmlformats.org/officeDocument/2006/relationships/hyperlink" Target="https://investors.coreweave.com/news/news-details/2026/CoreWeave-Reports-Strong-Fourth-Quarter-and-Fiscal-Year-2025-Results/" TargetMode="External"/><Relationship Id="rId73" Type="http://schemas.openxmlformats.org/officeDocument/2006/relationships/hyperlink" Target="https://investor.oracle.com" TargetMode="External"/><Relationship Id="rId74" Type="http://schemas.openxmlformats.org/officeDocument/2006/relationships/hyperlink" Target="https://investors.broadcom.com" TargetMode="External"/><Relationship Id="rId75" Type="http://schemas.openxmlformats.org/officeDocument/2006/relationships/hyperlink" Target="https://ir.amd.com" TargetMode="External"/><Relationship Id="rId76" Type="http://schemas.openxmlformats.org/officeDocument/2006/relationships/hyperlink" Target="https://investors.coreweave.com" TargetMode="External"/><Relationship Id="rId77" Type="http://schemas.openxmlformats.org/officeDocument/2006/relationships/hyperlink" Target="https://top500.org" TargetMode="External"/><Relationship Id="rId78" Type="http://schemas.openxmlformats.org/officeDocument/2006/relationships/hyperlink" Target="https://www.llnl.gov/article/52061/" TargetMode="External"/><Relationship Id="rId79" Type="http://schemas.openxmlformats.org/officeDocument/2006/relationships/hyperlink" Target="https://companiesmarketcap.com" TargetMode="External"/><Relationship Id="rId80" Type="http://schemas.openxmlformats.org/officeDocument/2006/relationships/hyperlink" Target="https://www.macrotrends.net" TargetMode="External"/><Relationship Id="rId81" Type="http://schemas.openxmlformats.org/officeDocument/2006/relationships/hyperlink" Target="https://www.kerrisdalecap.com/wp-content/uploads/2025/09/Kerrisdale-CoreWeav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