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320" w:line="360" w:lineRule="auto"/>
        <w:jc w:val="center"/>
      </w:pPr>
      <w:r>
        <w:rPr>
          <w:rFonts w:ascii="Times New Roman" w:hAnsi="Times New Roman" w:eastAsia="黑体" w:cs="Times New Roman"/>
          <w:b/>
          <w:sz w:val="36"/>
        </w:rPr>
        <w:t>美国四大AI算力巨头财务与算力研究（2020–2025）</w:t>
      </w:r>
    </w:p>
    <w:p>
      <w:pPr>
        <w:spacing w:after="120"/>
        <w:jc w:val="center"/>
      </w:pPr>
      <w:r>
        <w:rPr>
          <w:rFonts w:ascii="Times New Roman" w:hAnsi="Times New Roman" w:eastAsia="黑体" w:cs="Times New Roman"/>
          <w:b/>
          <w:sz w:val="32"/>
        </w:rPr>
        <w:t>目录</w:t>
      </w:r>
    </w:p>
    <w:p>
      <w:pPr>
        <w:pStyle w:val="27"/>
        <w:tabs>
          <w:tab w:val="right" w:leader="dot" w:pos="8504"/>
        </w:tabs>
      </w:pPr>
      <w:r>
        <w:rPr>
          <w:rFonts w:ascii="Times New Roman" w:hAnsi="Times New Roman" w:eastAsia="宋体" w:cs="Times New Roman"/>
          <w:b w:val="0"/>
          <w:sz w:val="22"/>
        </w:rPr>
        <w:fldChar w:fldCharType="begin"/>
      </w:r>
      <w:r>
        <w:rPr>
          <w:rFonts w:ascii="Times New Roman" w:hAnsi="Times New Roman" w:eastAsia="宋体" w:cs="Times New Roman"/>
          <w:b w:val="0"/>
          <w:sz w:val="22"/>
        </w:rPr>
        <w:instrText xml:space="preserve"> TOC \o "1-3" \h \z \u </w:instrText>
      </w:r>
      <w:r>
        <w:rPr>
          <w:rFonts w:ascii="Times New Roman" w:hAnsi="Times New Roman" w:eastAsia="宋体" w:cs="Times New Roman"/>
          <w:b w:val="0"/>
          <w:sz w:val="22"/>
        </w:rPr>
        <w:fldChar w:fldCharType="separate"/>
      </w: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_Toc25069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黑体" w:cs="Times New Roman"/>
        </w:rPr>
        <w:t>一、说明</w:t>
      </w:r>
      <w:r>
        <w:tab/>
      </w:r>
      <w:r>
        <w:fldChar w:fldCharType="begin"/>
      </w:r>
      <w:r>
        <w:instrText xml:space="preserve"> PAGEREF _Toc25069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>
      <w:pPr>
        <w:pStyle w:val="27"/>
        <w:tabs>
          <w:tab w:val="right" w:leader="dot" w:pos="8504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_Toc3803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黑体" w:cs="Times New Roman"/>
        </w:rPr>
        <w:t>二、市值变化</w:t>
      </w:r>
      <w:r>
        <w:tab/>
      </w:r>
      <w:r>
        <w:fldChar w:fldCharType="begin"/>
      </w:r>
      <w:r>
        <w:instrText xml:space="preserve"> PAGEREF _Toc3803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>
      <w:pPr>
        <w:pStyle w:val="27"/>
        <w:tabs>
          <w:tab w:val="right" w:leader="dot" w:pos="8504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_Toc26246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黑体" w:cs="Times New Roman"/>
        </w:rPr>
        <w:t>三、资本性开支 CapEx</w:t>
      </w:r>
      <w:r>
        <w:tab/>
      </w:r>
      <w:r>
        <w:fldChar w:fldCharType="begin"/>
      </w:r>
      <w:r>
        <w:instrText xml:space="preserve"> PAGEREF _Toc26246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>
      <w:pPr>
        <w:pStyle w:val="27"/>
        <w:tabs>
          <w:tab w:val="right" w:leader="dot" w:pos="8504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_Toc9874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黑体" w:cs="Times New Roman"/>
        </w:rPr>
        <w:t>四、用于数据中心建设的资本性开支</w:t>
      </w:r>
      <w:r>
        <w:tab/>
      </w:r>
      <w:r>
        <w:fldChar w:fldCharType="begin"/>
      </w:r>
      <w:r>
        <w:instrText xml:space="preserve"> PAGEREF _Toc9874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>
      <w:pPr>
        <w:pStyle w:val="27"/>
        <w:tabs>
          <w:tab w:val="right" w:leader="dot" w:pos="8504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_Toc10741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黑体" w:cs="Times New Roman"/>
        </w:rPr>
        <w:t>五、融资额：债 / 股（2020–2025）</w:t>
      </w:r>
      <w:r>
        <w:tab/>
      </w:r>
      <w:r>
        <w:fldChar w:fldCharType="begin"/>
      </w:r>
      <w:r>
        <w:instrText xml:space="preserve"> PAGEREF _Toc10741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>
      <w:pPr>
        <w:pStyle w:val="30"/>
        <w:tabs>
          <w:tab w:val="right" w:leader="dot" w:pos="8504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_Toc19245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黑体" w:cs="Times New Roman"/>
        </w:rPr>
        <w:t>5.1 Oracle</w:t>
      </w:r>
      <w:r>
        <w:tab/>
      </w:r>
      <w:r>
        <w:fldChar w:fldCharType="begin"/>
      </w:r>
      <w:r>
        <w:instrText xml:space="preserve"> PAGEREF _Toc19245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>
      <w:pPr>
        <w:pStyle w:val="24"/>
        <w:tabs>
          <w:tab w:val="right" w:leader="dot" w:pos="8504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_Toc17293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黑体" w:cs="Times New Roman"/>
        </w:rPr>
        <w:t>5.1.1 债券</w:t>
      </w:r>
      <w:r>
        <w:tab/>
      </w:r>
      <w:r>
        <w:fldChar w:fldCharType="begin"/>
      </w:r>
      <w:r>
        <w:instrText xml:space="preserve"> PAGEREF _Toc17293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>
      <w:pPr>
        <w:pStyle w:val="24"/>
        <w:tabs>
          <w:tab w:val="right" w:leader="dot" w:pos="8504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_Toc27582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黑体" w:cs="Times New Roman"/>
        </w:rPr>
        <w:t>5.1.2 股票</w:t>
      </w:r>
      <w:r>
        <w:tab/>
      </w:r>
      <w:r>
        <w:fldChar w:fldCharType="begin"/>
      </w:r>
      <w:r>
        <w:instrText xml:space="preserve"> PAGEREF _Toc27582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>
      <w:pPr>
        <w:pStyle w:val="30"/>
        <w:tabs>
          <w:tab w:val="right" w:leader="dot" w:pos="8504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_Toc3820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黑体" w:cs="Times New Roman"/>
        </w:rPr>
        <w:t>5.2 Broadcom</w:t>
      </w:r>
      <w:r>
        <w:tab/>
      </w:r>
      <w:r>
        <w:fldChar w:fldCharType="begin"/>
      </w:r>
      <w:r>
        <w:instrText xml:space="preserve"> PAGEREF _Toc3820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>
      <w:pPr>
        <w:pStyle w:val="24"/>
        <w:tabs>
          <w:tab w:val="right" w:leader="dot" w:pos="8504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_Toc8980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黑体" w:cs="Times New Roman"/>
        </w:rPr>
        <w:t>5.2.1 债券</w:t>
      </w:r>
      <w:r>
        <w:tab/>
      </w:r>
      <w:r>
        <w:fldChar w:fldCharType="begin"/>
      </w:r>
      <w:r>
        <w:instrText xml:space="preserve"> PAGEREF _Toc8980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>
      <w:pPr>
        <w:pStyle w:val="24"/>
        <w:tabs>
          <w:tab w:val="right" w:leader="dot" w:pos="8504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_Toc15031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黑体" w:cs="Times New Roman"/>
        </w:rPr>
        <w:t>5.2.2 股票</w:t>
      </w:r>
      <w:r>
        <w:tab/>
      </w:r>
      <w:r>
        <w:fldChar w:fldCharType="begin"/>
      </w:r>
      <w:r>
        <w:instrText xml:space="preserve"> PAGEREF _Toc15031 \h </w:instrText>
      </w:r>
      <w:r>
        <w:fldChar w:fldCharType="separate"/>
      </w:r>
      <w:r>
        <w:t>9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>
      <w:pPr>
        <w:pStyle w:val="30"/>
        <w:tabs>
          <w:tab w:val="right" w:leader="dot" w:pos="8504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_Toc20460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黑体" w:cs="Times New Roman"/>
        </w:rPr>
        <w:t>5.3 AMD</w:t>
      </w:r>
      <w:r>
        <w:tab/>
      </w:r>
      <w:r>
        <w:fldChar w:fldCharType="begin"/>
      </w:r>
      <w:r>
        <w:instrText xml:space="preserve"> PAGEREF _Toc20460 \h </w:instrText>
      </w:r>
      <w:r>
        <w:fldChar w:fldCharType="separate"/>
      </w:r>
      <w:r>
        <w:t>9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>
      <w:pPr>
        <w:pStyle w:val="24"/>
        <w:tabs>
          <w:tab w:val="right" w:leader="dot" w:pos="8504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_Toc12961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黑体" w:cs="Times New Roman"/>
        </w:rPr>
        <w:t>5.3.1 债券</w:t>
      </w:r>
      <w:r>
        <w:tab/>
      </w:r>
      <w:r>
        <w:fldChar w:fldCharType="begin"/>
      </w:r>
      <w:r>
        <w:instrText xml:space="preserve"> PAGEREF _Toc12961 \h </w:instrText>
      </w:r>
      <w:r>
        <w:fldChar w:fldCharType="separate"/>
      </w:r>
      <w:r>
        <w:t>9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>
      <w:pPr>
        <w:pStyle w:val="24"/>
        <w:tabs>
          <w:tab w:val="right" w:leader="dot" w:pos="8504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_Toc16240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黑体" w:cs="Times New Roman"/>
        </w:rPr>
        <w:t>5.3.2 股票</w:t>
      </w:r>
      <w:r>
        <w:tab/>
      </w:r>
      <w:r>
        <w:fldChar w:fldCharType="begin"/>
      </w:r>
      <w:r>
        <w:instrText xml:space="preserve"> PAGEREF _Toc16240 \h </w:instrText>
      </w:r>
      <w:r>
        <w:fldChar w:fldCharType="separate"/>
      </w:r>
      <w:r>
        <w:t>9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>
      <w:pPr>
        <w:pStyle w:val="30"/>
        <w:tabs>
          <w:tab w:val="right" w:leader="dot" w:pos="8504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_Toc26220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黑体" w:cs="Times New Roman"/>
        </w:rPr>
        <w:t>5.4 CoreWeave</w:t>
      </w:r>
      <w:r>
        <w:tab/>
      </w:r>
      <w:r>
        <w:fldChar w:fldCharType="begin"/>
      </w:r>
      <w:r>
        <w:instrText xml:space="preserve"> PAGEREF _Toc26220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>
      <w:pPr>
        <w:pStyle w:val="24"/>
        <w:tabs>
          <w:tab w:val="right" w:leader="dot" w:pos="8504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_Toc1199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黑体" w:cs="Times New Roman"/>
        </w:rPr>
        <w:t>5.4.1 债券</w:t>
      </w:r>
      <w:r>
        <w:tab/>
      </w:r>
      <w:r>
        <w:fldChar w:fldCharType="begin"/>
      </w:r>
      <w:r>
        <w:instrText xml:space="preserve"> PAGEREF _Toc1199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>
      <w:pPr>
        <w:pStyle w:val="24"/>
        <w:tabs>
          <w:tab w:val="right" w:leader="dot" w:pos="8504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_Toc15855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黑体" w:cs="Times New Roman"/>
        </w:rPr>
        <w:t>5.4.2 股票</w:t>
      </w:r>
      <w:r>
        <w:tab/>
      </w:r>
      <w:r>
        <w:fldChar w:fldCharType="begin"/>
      </w:r>
      <w:r>
        <w:instrText xml:space="preserve"> PAGEREF _Toc15855 \h </w:instrText>
      </w:r>
      <w:r>
        <w:fldChar w:fldCharType="separate"/>
      </w:r>
      <w:r>
        <w:t>11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>
      <w:pPr>
        <w:pStyle w:val="30"/>
        <w:tabs>
          <w:tab w:val="right" w:leader="dot" w:pos="8504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_Toc11525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黑体" w:cs="Times New Roman"/>
        </w:rPr>
        <w:t>5.5 各公司股票回购汇总</w:t>
      </w:r>
      <w:r>
        <w:tab/>
      </w:r>
      <w:r>
        <w:fldChar w:fldCharType="begin"/>
      </w:r>
      <w:r>
        <w:instrText xml:space="preserve"> PAGEREF _Toc11525 \h </w:instrText>
      </w:r>
      <w:r>
        <w:fldChar w:fldCharType="separate"/>
      </w:r>
      <w:r>
        <w:t>11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>
      <w:pPr>
        <w:pStyle w:val="27"/>
        <w:tabs>
          <w:tab w:val="right" w:leader="dot" w:pos="8504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_Toc19060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黑体" w:cs="Times New Roman"/>
        </w:rPr>
        <w:t>六、超算 / 算力能力</w:t>
      </w:r>
      <w:r>
        <w:tab/>
      </w:r>
      <w:r>
        <w:fldChar w:fldCharType="begin"/>
      </w:r>
      <w:r>
        <w:instrText xml:space="preserve"> PAGEREF _Toc19060 \h </w:instrText>
      </w:r>
      <w:r>
        <w:fldChar w:fldCharType="separate"/>
      </w:r>
      <w:r>
        <w:t>12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>
      <w:pPr>
        <w:pStyle w:val="30"/>
        <w:tabs>
          <w:tab w:val="right" w:leader="dot" w:pos="8504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_Toc16516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黑体" w:cs="Times New Roman"/>
        </w:rPr>
        <w:t>6.1 Oracle（OCI）</w:t>
      </w:r>
      <w:r>
        <w:tab/>
      </w:r>
      <w:r>
        <w:fldChar w:fldCharType="begin"/>
      </w:r>
      <w:r>
        <w:instrText xml:space="preserve"> PAGEREF _Toc16516 \h </w:instrText>
      </w:r>
      <w:r>
        <w:fldChar w:fldCharType="separate"/>
      </w:r>
      <w:r>
        <w:t>12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>
      <w:pPr>
        <w:pStyle w:val="30"/>
        <w:tabs>
          <w:tab w:val="right" w:leader="dot" w:pos="8504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_Toc2028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黑体" w:cs="Times New Roman"/>
        </w:rPr>
        <w:t>6.2 Broadcom</w:t>
      </w:r>
      <w:r>
        <w:tab/>
      </w:r>
      <w:r>
        <w:fldChar w:fldCharType="begin"/>
      </w:r>
      <w:r>
        <w:instrText xml:space="preserve"> PAGEREF _Toc2028 \h </w:instrText>
      </w:r>
      <w:r>
        <w:fldChar w:fldCharType="separate"/>
      </w:r>
      <w:r>
        <w:t>12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>
      <w:pPr>
        <w:pStyle w:val="30"/>
        <w:tabs>
          <w:tab w:val="right" w:leader="dot" w:pos="8504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_Toc14043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黑体" w:cs="Times New Roman"/>
        </w:rPr>
        <w:t>6.3 AMD</w:t>
      </w:r>
      <w:r>
        <w:tab/>
      </w:r>
      <w:r>
        <w:fldChar w:fldCharType="begin"/>
      </w:r>
      <w:r>
        <w:instrText xml:space="preserve"> PAGEREF _Toc14043 \h </w:instrText>
      </w:r>
      <w:r>
        <w:fldChar w:fldCharType="separate"/>
      </w:r>
      <w:r>
        <w:t>13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>
      <w:pPr>
        <w:pStyle w:val="30"/>
        <w:tabs>
          <w:tab w:val="right" w:leader="dot" w:pos="8504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_Toc21701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黑体" w:cs="Times New Roman"/>
        </w:rPr>
        <w:t>6.4 CoreWeave</w:t>
      </w:r>
      <w:r>
        <w:tab/>
      </w:r>
      <w:r>
        <w:fldChar w:fldCharType="begin"/>
      </w:r>
      <w:r>
        <w:instrText xml:space="preserve"> PAGEREF _Toc21701 \h </w:instrText>
      </w:r>
      <w:r>
        <w:fldChar w:fldCharType="separate"/>
      </w:r>
      <w:r>
        <w:t>13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>
      <w:pPr>
        <w:pStyle w:val="27"/>
        <w:tabs>
          <w:tab w:val="right" w:leader="dot" w:pos="8504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\l _Toc3159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黑体" w:cs="Times New Roman"/>
        </w:rPr>
        <w:t>七、主要来源清单</w:t>
      </w:r>
      <w:r>
        <w:tab/>
      </w:r>
      <w:r>
        <w:fldChar w:fldCharType="begin"/>
      </w:r>
      <w:r>
        <w:instrText xml:space="preserve"> PAGEREF _Toc3159 \h </w:instrText>
      </w:r>
      <w:r>
        <w:fldChar w:fldCharType="separate"/>
      </w:r>
      <w:r>
        <w:t>14</w:t>
      </w:r>
      <w:r>
        <w:fldChar w:fldCharType="end"/>
      </w:r>
      <w:r>
        <w:rPr>
          <w:rFonts w:ascii="Times New Roman" w:hAnsi="Times New Roman" w:eastAsia="宋体" w:cs="Times New Roman"/>
        </w:rPr>
        <w:fldChar w:fldCharType="end"/>
      </w:r>
    </w:p>
    <w:p>
      <w:r>
        <w:rPr>
          <w:rFonts w:ascii="Times New Roman" w:hAnsi="Times New Roman" w:eastAsia="宋体" w:cs="Times New Roman"/>
        </w:rPr>
        <w:fldChar w:fldCharType="end"/>
      </w:r>
    </w:p>
    <w:p>
      <w:r>
        <w:br w:type="page"/>
      </w:r>
    </w:p>
    <w:p>
      <w:pPr>
        <w:spacing w:before="240" w:after="120" w:line="360" w:lineRule="auto"/>
        <w:outlineLvl w:val="0"/>
      </w:pPr>
      <w:bookmarkStart w:id="0" w:name="_Toc25069"/>
      <w:r>
        <w:rPr>
          <w:rFonts w:ascii="Times New Roman" w:hAnsi="Times New Roman" w:eastAsia="黑体" w:cs="Times New Roman"/>
          <w:b/>
          <w:sz w:val="32"/>
        </w:rPr>
        <w:t>一、说明</w:t>
      </w:r>
      <w:bookmarkEnd w:id="0"/>
    </w:p>
    <w:p>
      <w:pPr>
        <w:spacing w:before="120" w:after="40" w:line="360" w:lineRule="auto"/>
      </w:pPr>
      <w:r>
        <w:rPr>
          <w:rFonts w:ascii="Times New Roman" w:hAnsi="Times New Roman" w:eastAsia="宋体" w:cs="Times New Roman"/>
          <w:b/>
          <w:sz w:val="24"/>
        </w:rPr>
        <w:t>1. 研究对象与选择原因</w:t>
      </w:r>
    </w:p>
    <w:p>
      <w:pPr>
        <w:spacing w:after="40" w:line="360" w:lineRule="auto"/>
        <w:ind w:firstLine="480"/>
        <w:rPr>
          <w:rFonts w:ascii="Times New Roman" w:hAnsi="Times New Roman" w:eastAsia="宋体" w:cs="Times New Roman"/>
          <w:b w:val="0"/>
          <w:sz w:val="24"/>
        </w:rPr>
      </w:pPr>
      <w:r>
        <w:rPr>
          <w:rFonts w:hint="eastAsia" w:cs="Times New Roman"/>
          <w:b w:val="0"/>
          <w:sz w:val="24"/>
          <w:lang w:val="en-US" w:eastAsia="zh-CN"/>
        </w:rPr>
        <w:t>本文</w:t>
      </w:r>
      <w:r>
        <w:rPr>
          <w:rFonts w:ascii="Times New Roman" w:hAnsi="Times New Roman" w:eastAsia="宋体" w:cs="Times New Roman"/>
          <w:b w:val="0"/>
          <w:sz w:val="24"/>
        </w:rPr>
        <w:t>调研主题为"AI 算力美国巨头"。</w:t>
      </w:r>
    </w:p>
    <w:p>
      <w:pPr>
        <w:spacing w:after="40" w:line="36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与第一轮 Magnificent Seven（按市值选样）不同，</w:t>
      </w:r>
      <w:r>
        <w:rPr>
          <w:rFonts w:hint="eastAsia" w:cs="Times New Roman"/>
          <w:b w:val="0"/>
          <w:sz w:val="24"/>
          <w:lang w:val="en-US" w:eastAsia="zh-CN"/>
        </w:rPr>
        <w:t>本文</w:t>
      </w:r>
      <w:r>
        <w:rPr>
          <w:rFonts w:ascii="Times New Roman" w:hAnsi="Times New Roman" w:eastAsia="宋体" w:cs="Times New Roman"/>
          <w:b w:val="0"/>
          <w:sz w:val="24"/>
        </w:rPr>
        <w:t>按</w:t>
      </w:r>
      <w:r>
        <w:rPr>
          <w:rFonts w:ascii="Times New Roman" w:hAnsi="Times New Roman" w:eastAsia="宋体" w:cs="Times New Roman"/>
          <w:b/>
          <w:sz w:val="24"/>
        </w:rPr>
        <w:t>在 AI 算力产业链中的角色</w:t>
      </w:r>
      <w:r>
        <w:rPr>
          <w:rFonts w:ascii="Times New Roman" w:hAnsi="Times New Roman" w:eastAsia="宋体" w:cs="Times New Roman"/>
          <w:b w:val="0"/>
          <w:sz w:val="24"/>
        </w:rPr>
        <w:t>选取四家</w:t>
      </w:r>
      <w:r>
        <w:rPr>
          <w:rFonts w:hint="eastAsia" w:cs="Times New Roman"/>
          <w:b w:val="0"/>
          <w:sz w:val="24"/>
          <w:lang w:val="en-US" w:eastAsia="zh-CN"/>
        </w:rPr>
        <w:t>有公开数据的美国AI算力企业</w:t>
      </w:r>
      <w:r>
        <w:rPr>
          <w:rFonts w:ascii="Times New Roman" w:hAnsi="Times New Roman" w:eastAsia="宋体" w:cs="Times New Roman"/>
          <w:b w:val="0"/>
          <w:sz w:val="24"/>
        </w:rPr>
        <w:t>：一家算力云卖方（Oracle）、一家定制 AI 芯片+网络供应商（Broadcom）、一家 AI GPU 供应商（AMD）、一家纯 GPU 云新贵（CoreWeave）。</w:t>
      </w:r>
    </w:p>
    <w:p>
      <w:pPr>
        <w:spacing w:before="120" w:after="40" w:line="312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1 选择原因与证据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697"/>
        <w:gridCol w:w="2126"/>
        <w:gridCol w:w="21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shd w:val="clear" w:color="auto" w:fill="D9E2F3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公司</w:t>
            </w:r>
          </w:p>
        </w:tc>
        <w:tc>
          <w:tcPr>
            <w:tcW w:w="2697" w:type="dxa"/>
            <w:shd w:val="clear" w:color="auto" w:fill="D9E2F3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角色 / 选择原因</w:t>
            </w:r>
          </w:p>
        </w:tc>
        <w:tc>
          <w:tcPr>
            <w:tcW w:w="2126" w:type="dxa"/>
            <w:shd w:val="clear" w:color="auto" w:fill="D9E2F3"/>
            <w:vAlign w:val="center"/>
          </w:tcPr>
          <w:p>
            <w:pPr>
              <w:spacing w:after="0" w:line="264" w:lineRule="auto"/>
              <w:jc w:val="center"/>
              <w:rPr>
                <w:rFonts w:ascii="Times New Roman" w:hAnsi="Times New Roman" w:eastAsia="宋体" w:cs="Times New Roman"/>
                <w:b/>
                <w:sz w:val="21"/>
              </w:rPr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原文</w:t>
            </w:r>
          </w:p>
        </w:tc>
        <w:tc>
          <w:tcPr>
            <w:tcW w:w="2126" w:type="dxa"/>
            <w:shd w:val="clear" w:color="auto" w:fill="D9E2F3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来源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64" w:lineRule="auto"/>
              <w:jc w:val="center"/>
              <w:rPr>
                <w:rFonts w:ascii="Times New Roman" w:hAnsi="Times New Roman" w:eastAsia="宋体" w:cs="Times New Roman"/>
                <w:b w:val="0"/>
                <w:sz w:val="21"/>
              </w:rPr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Oracle</w:t>
            </w:r>
          </w:p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 ORCL</w:t>
            </w:r>
          </w:p>
        </w:tc>
        <w:tc>
          <w:tcPr>
            <w:tcW w:w="2697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AI 算力云卖方：OCI 为 OpenAI 等提供超大规模 GPU 集群，积压合同爆炸式增长</w:t>
            </w:r>
          </w:p>
        </w:tc>
        <w:tc>
          <w:tcPr>
            <w:tcW w:w="2126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"Oracle has more than $455 billion in remaining performance obligations (RPO) at the end of its first quarter of fiscal year 2026"（RPO 同比 +359%，主要来自 AI/OpenAI 合同）</w:t>
            </w:r>
          </w:p>
        </w:tc>
        <w:tc>
          <w:tcPr>
            <w:tcW w:w="2126" w:type="dxa"/>
            <w:vAlign w:val="center"/>
          </w:tcPr>
          <w:p>
            <w:pPr>
              <w:spacing w:after="0" w:line="264" w:lineRule="auto"/>
              <w:jc w:val="center"/>
            </w:pPr>
            <w:r>
              <w:fldChar w:fldCharType="begin"/>
            </w:r>
            <w:r>
              <w:instrText xml:space="preserve"> HYPERLINK "https://www.datacenterdynamics.com/en/news/oracle-has-455bn-in-remaining-performance-obligations-at-end-of-q1-2026/" \h </w:instrText>
            </w:r>
            <w:r>
              <w:fldChar w:fldCharType="separate"/>
            </w:r>
            <w:r>
              <w:rPr>
                <w:rFonts w:ascii="Times New Roman" w:hAnsi="Times New Roman" w:eastAsia="宋体"/>
                <w:color w:val="0563C1"/>
                <w:sz w:val="19"/>
                <w:u w:val="single"/>
              </w:rPr>
              <w:t>DataCenterDynamics</w:t>
            </w:r>
            <w:r>
              <w:rPr>
                <w:rFonts w:ascii="Times New Roman" w:hAnsi="Times New Roman" w:eastAsia="宋体"/>
                <w:color w:val="0563C1"/>
                <w:sz w:val="19"/>
                <w:u w:val="single"/>
              </w:rPr>
              <w:fldChar w:fldCharType="end"/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、</w:t>
            </w:r>
            <w:r>
              <w:fldChar w:fldCharType="begin"/>
            </w:r>
            <w:r>
              <w:instrText xml:space="preserve"> HYPERLINK "https://www.oracle.com/news/announcement/q1fy26-earnings-release-2025-09-09/" \h </w:instrText>
            </w:r>
            <w:r>
              <w:fldChar w:fldCharType="separate"/>
            </w:r>
            <w:r>
              <w:rPr>
                <w:rFonts w:ascii="Times New Roman" w:hAnsi="Times New Roman" w:eastAsia="宋体"/>
                <w:color w:val="0563C1"/>
                <w:sz w:val="19"/>
                <w:u w:val="single"/>
              </w:rPr>
              <w:t>Oracle Q1 FY26 新闻稿</w:t>
            </w:r>
            <w:r>
              <w:rPr>
                <w:rFonts w:ascii="Times New Roman" w:hAnsi="Times New Roman" w:eastAsia="宋体"/>
                <w:color w:val="0563C1"/>
                <w:sz w:val="19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Broadcom AVGO</w:t>
            </w:r>
          </w:p>
        </w:tc>
        <w:tc>
          <w:tcPr>
            <w:tcW w:w="2697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定制 AI 加速器（XPU）与 AI 网络芯片供应商：谷歌 TPU 七代协同设计方，OpenAI 自研芯片合作方</w:t>
            </w:r>
          </w:p>
        </w:tc>
        <w:tc>
          <w:tcPr>
            <w:tcW w:w="2126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"OpenAI and Broadcom announce strategic collaboration to deploy 10 gigawatts of OpenAI-designed AI accelerators"（2025/10/13）</w:t>
            </w:r>
          </w:p>
        </w:tc>
        <w:tc>
          <w:tcPr>
            <w:tcW w:w="2126" w:type="dxa"/>
            <w:vAlign w:val="center"/>
          </w:tcPr>
          <w:p>
            <w:pPr>
              <w:spacing w:after="0" w:line="264" w:lineRule="auto"/>
              <w:jc w:val="center"/>
            </w:pPr>
            <w:r>
              <w:fldChar w:fldCharType="begin"/>
            </w:r>
            <w:r>
              <w:instrText xml:space="preserve"> HYPERLINK "https://investors.broadcom.com/news-releases/news-release-details/openai-and-broadcom-announce-strategic-collaboration-deploy-10" \h </w:instrText>
            </w:r>
            <w:r>
              <w:fldChar w:fldCharType="separate"/>
            </w:r>
            <w:r>
              <w:rPr>
                <w:rFonts w:ascii="Times New Roman" w:hAnsi="Times New Roman" w:eastAsia="宋体"/>
                <w:color w:val="0563C1"/>
                <w:sz w:val="19"/>
                <w:u w:val="single"/>
              </w:rPr>
              <w:t>Broadcom 官方新闻稿</w:t>
            </w:r>
            <w:r>
              <w:rPr>
                <w:rFonts w:ascii="Times New Roman" w:hAnsi="Times New Roman" w:eastAsia="宋体"/>
                <w:color w:val="0563C1"/>
                <w:sz w:val="19"/>
                <w:u w:val="single"/>
              </w:rPr>
              <w:fldChar w:fldCharType="end"/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、</w:t>
            </w:r>
            <w:r>
              <w:fldChar w:fldCharType="begin"/>
            </w:r>
            <w:r>
              <w:instrText xml:space="preserve"> HYPERLINK "https://openai.com/index/openai-and-broadcom-announce-strategic-collaboration/" \h </w:instrText>
            </w:r>
            <w:r>
              <w:fldChar w:fldCharType="separate"/>
            </w:r>
            <w:r>
              <w:rPr>
                <w:rFonts w:ascii="Times New Roman" w:hAnsi="Times New Roman" w:eastAsia="宋体"/>
                <w:color w:val="0563C1"/>
                <w:sz w:val="19"/>
                <w:u w:val="single"/>
              </w:rPr>
              <w:t>OpenAI 官网</w:t>
            </w:r>
            <w:r>
              <w:rPr>
                <w:rFonts w:ascii="Times New Roman" w:hAnsi="Times New Roman" w:eastAsia="宋体"/>
                <w:color w:val="0563C1"/>
                <w:sz w:val="19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AMD</w:t>
            </w:r>
          </w:p>
        </w:tc>
        <w:tc>
          <w:tcPr>
            <w:tcW w:w="2697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英伟达之外最大 AI GPU 供应商（Instinct 系列）；全球最快超算 El Capitan 的芯片供应方</w:t>
            </w:r>
          </w:p>
        </w:tc>
        <w:tc>
          <w:tcPr>
            <w:tcW w:w="2126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"AMD and OpenAI Announce Strategic Partnership to Deploy 6 Gigawatts of AMD GPUs"（2025/10/6）；"AMD-powered El Capitan is now the world's fastest supercomputer with 1.7 exaflops"</w:t>
            </w:r>
          </w:p>
        </w:tc>
        <w:tc>
          <w:tcPr>
            <w:tcW w:w="2126" w:type="dxa"/>
            <w:vAlign w:val="center"/>
          </w:tcPr>
          <w:p>
            <w:pPr>
              <w:spacing w:after="0" w:line="264" w:lineRule="auto"/>
              <w:jc w:val="center"/>
            </w:pPr>
            <w:r>
              <w:fldChar w:fldCharType="begin"/>
            </w:r>
            <w:r>
              <w:instrText xml:space="preserve"> HYPERLINK "https://www.amd.com/en/newsroom/press-releases/2025-10-6-amd-and-openai-announce-strategic-partnership-to-d.html" \h </w:instrText>
            </w:r>
            <w:r>
              <w:fldChar w:fldCharType="separate"/>
            </w:r>
            <w:r>
              <w:rPr>
                <w:rFonts w:ascii="Times New Roman" w:hAnsi="Times New Roman" w:eastAsia="宋体"/>
                <w:color w:val="0563C1"/>
                <w:sz w:val="19"/>
                <w:u w:val="single"/>
              </w:rPr>
              <w:t>AMD 官方新闻稿</w:t>
            </w:r>
            <w:r>
              <w:rPr>
                <w:rFonts w:ascii="Times New Roman" w:hAnsi="Times New Roman" w:eastAsia="宋体"/>
                <w:color w:val="0563C1"/>
                <w:sz w:val="19"/>
                <w:u w:val="single"/>
              </w:rPr>
              <w:fldChar w:fldCharType="end"/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、</w:t>
            </w:r>
            <w:r>
              <w:fldChar w:fldCharType="begin"/>
            </w:r>
            <w:r>
              <w:instrText xml:space="preserve"> HYPERLINK "https://www.tomshardware.com/pc-components/cpus/amd-powered-el-capitan-is-now-the-worlds-fastest-supercomputer-with-1-7-exaflops-of-performance-fastest-intel-machine-falls-to-third-place-on-top500-list" \h </w:instrText>
            </w:r>
            <w:r>
              <w:fldChar w:fldCharType="separate"/>
            </w:r>
            <w:r>
              <w:rPr>
                <w:rFonts w:ascii="Times New Roman" w:hAnsi="Times New Roman" w:eastAsia="宋体"/>
                <w:color w:val="0563C1"/>
                <w:sz w:val="19"/>
                <w:u w:val="single"/>
              </w:rPr>
              <w:t>Tom's Hardware</w:t>
            </w:r>
            <w:r>
              <w:rPr>
                <w:rFonts w:ascii="Times New Roman" w:hAnsi="Times New Roman" w:eastAsia="宋体"/>
                <w:color w:val="0563C1"/>
                <w:sz w:val="19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CoreWeave CRWV</w:t>
            </w:r>
          </w:p>
        </w:tc>
        <w:tc>
          <w:tcPr>
            <w:tcW w:w="2697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纯 AI GPU 云（neocloud 代表）：25 万+张英伟达 GPU、微软/OpenAI 为核心客户</w:t>
            </w:r>
          </w:p>
        </w:tc>
        <w:tc>
          <w:tcPr>
            <w:tcW w:w="2126" w:type="dxa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"CoreWeave's fleet now exceeds 250,000 GPUs across 32+ data centers"；OpenAI 签约 $11.9B（2025/3）</w:t>
            </w:r>
          </w:p>
        </w:tc>
        <w:tc>
          <w:tcPr>
            <w:tcW w:w="2126" w:type="dxa"/>
            <w:vAlign w:val="center"/>
          </w:tcPr>
          <w:p>
            <w:pPr>
              <w:spacing w:after="0" w:line="264" w:lineRule="auto"/>
              <w:jc w:val="center"/>
            </w:pPr>
            <w:r>
              <w:fldChar w:fldCharType="begin"/>
            </w:r>
            <w:r>
              <w:instrText xml:space="preserve"> HYPERLINK "https://www.nextplatform.com/ai/2025/03/06/coreweaves-250000-strong-gpu-fleet-undercuts-the-big-clouds/1656232" \h </w:instrText>
            </w:r>
            <w:r>
              <w:fldChar w:fldCharType="separate"/>
            </w:r>
            <w:r>
              <w:rPr>
                <w:rFonts w:ascii="Times New Roman" w:hAnsi="Times New Roman" w:eastAsia="宋体"/>
                <w:color w:val="0563C1"/>
                <w:sz w:val="19"/>
                <w:u w:val="single"/>
              </w:rPr>
              <w:t>The Next Platform</w:t>
            </w:r>
            <w:r>
              <w:rPr>
                <w:rFonts w:ascii="Times New Roman" w:hAnsi="Times New Roman" w:eastAsia="宋体"/>
                <w:color w:val="0563C1"/>
                <w:sz w:val="19"/>
                <w:u w:val="single"/>
              </w:rPr>
              <w:fldChar w:fldCharType="end"/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、</w:t>
            </w:r>
            <w:r>
              <w:fldChar w:fldCharType="begin"/>
            </w:r>
            <w:r>
              <w:instrText xml:space="preserve"> HYPERLINK "https://www.cnbc.com/2025/03/26/the-concern-with-coreweaves-250000-nvidia-chips-ahead-of-its-ipo.html" \h </w:instrText>
            </w:r>
            <w:r>
              <w:fldChar w:fldCharType="separate"/>
            </w:r>
            <w:r>
              <w:rPr>
                <w:rFonts w:ascii="Times New Roman" w:hAnsi="Times New Roman" w:eastAsia="宋体"/>
                <w:color w:val="0563C1"/>
                <w:sz w:val="19"/>
                <w:u w:val="single"/>
              </w:rPr>
              <w:t>CNBC</w:t>
            </w:r>
            <w:r>
              <w:rPr>
                <w:rFonts w:ascii="Times New Roman" w:hAnsi="Times New Roman" w:eastAsia="宋体"/>
                <w:color w:val="0563C1"/>
                <w:sz w:val="19"/>
                <w:u w:val="single"/>
              </w:rPr>
              <w:fldChar w:fldCharType="end"/>
            </w:r>
          </w:p>
        </w:tc>
      </w:tr>
    </w:tbl>
    <w:p>
      <w:pPr>
        <w:spacing w:after="40"/>
      </w:pPr>
    </w:p>
    <w:p>
      <w:pPr>
        <w:spacing w:before="120" w:after="40" w:line="360" w:lineRule="auto"/>
      </w:pPr>
      <w:r>
        <w:rPr>
          <w:rFonts w:ascii="Times New Roman" w:hAnsi="Times New Roman" w:eastAsia="宋体" w:cs="Times New Roman"/>
          <w:b/>
          <w:sz w:val="24"/>
        </w:rPr>
        <w:t>2. 覆盖维度</w:t>
      </w:r>
    </w:p>
    <w:p>
      <w:pPr>
        <w:spacing w:after="40" w:line="36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①市值变化 ②资本性开支（CapEx） ③用于数据中心建设的资本性开支 ④融资额（债/股） ⑤超算/算力能力</w:t>
      </w:r>
    </w:p>
    <w:p>
      <w:pPr>
        <w:spacing w:before="120" w:after="40" w:line="360" w:lineRule="auto"/>
      </w:pPr>
      <w:r>
        <w:rPr>
          <w:rFonts w:ascii="Times New Roman" w:hAnsi="Times New Roman" w:eastAsia="宋体" w:cs="Times New Roman"/>
          <w:b/>
          <w:sz w:val="24"/>
        </w:rPr>
        <w:t>3. 口径统一说明</w:t>
      </w:r>
    </w:p>
    <w:p>
      <w:pPr>
        <w:spacing w:after="40" w:line="360" w:lineRule="auto"/>
        <w:ind w:firstLine="480"/>
        <w:rPr>
          <w:b w:val="0"/>
          <w:bCs w:val="0"/>
        </w:rPr>
      </w:pPr>
      <w:r>
        <w:rPr>
          <w:rFonts w:ascii="Times New Roman" w:hAnsi="Times New Roman" w:eastAsia="宋体" w:cs="Times New Roman"/>
          <w:b w:val="0"/>
          <w:bCs w:val="0"/>
          <w:sz w:val="24"/>
        </w:rPr>
        <w:t>各公司财年不同：Oracle 财年止 5/31；Broadcom 财年止 11 月初（52/53 周制）；AMD、CoreWeave 为日历年（AMD 止 12 月最后一个周六）。CoreWeave 2025</w:t>
      </w:r>
      <w:r>
        <w:rPr>
          <w:rFonts w:hint="eastAsia" w:cs="Times New Roman"/>
          <w:b w:val="0"/>
          <w:bCs w:val="0"/>
          <w:sz w:val="24"/>
          <w:lang w:val="en-US" w:eastAsia="zh-CN"/>
        </w:rPr>
        <w:t>/</w:t>
      </w:r>
      <w:r>
        <w:rPr>
          <w:rFonts w:ascii="Times New Roman" w:hAnsi="Times New Roman" w:eastAsia="宋体" w:cs="Times New Roman"/>
          <w:b w:val="0"/>
          <w:bCs w:val="0"/>
          <w:sz w:val="24"/>
        </w:rPr>
        <w:t>3/28 才上市，上市前财务数据来自招股书（S-1）与第三方研究，2020–2021 年公司尚以加密货币挖矿为主业，多数指标无可比数据。</w:t>
      </w:r>
    </w:p>
    <w:p>
      <w:pPr>
        <w:spacing w:before="240" w:after="120" w:line="360" w:lineRule="auto"/>
        <w:outlineLvl w:val="0"/>
      </w:pPr>
      <w:bookmarkStart w:id="1" w:name="_Toc3803"/>
      <w:r>
        <w:rPr>
          <w:rFonts w:ascii="Times New Roman" w:hAnsi="Times New Roman" w:eastAsia="黑体" w:cs="Times New Roman"/>
          <w:b/>
          <w:sz w:val="32"/>
        </w:rPr>
        <w:t>二、市值变化</w:t>
      </w:r>
      <w:bookmarkEnd w:id="1"/>
    </w:p>
    <w:p>
      <w:pPr>
        <w:spacing w:before="120" w:after="40" w:line="360" w:lineRule="auto"/>
      </w:pPr>
      <w:r>
        <w:rPr>
          <w:rFonts w:hint="eastAsia" w:cs="Times New Roman"/>
          <w:b/>
          <w:sz w:val="24"/>
          <w:lang w:val="en-US" w:eastAsia="zh-CN"/>
        </w:rPr>
        <w:t xml:space="preserve">1. </w:t>
      </w:r>
      <w:r>
        <w:rPr>
          <w:rFonts w:ascii="Times New Roman" w:hAnsi="Times New Roman" w:eastAsia="宋体" w:cs="Times New Roman"/>
          <w:b/>
          <w:sz w:val="24"/>
        </w:rPr>
        <w:t>口径与来源说明</w:t>
      </w:r>
    </w:p>
    <w:p>
      <w:pPr>
        <w:spacing w:after="40" w:line="36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市值非 SEC 申报项，采用市场数据源；数字四舍五入。</w:t>
      </w:r>
      <w:r>
        <w:rPr>
          <w:rFonts w:ascii="Times New Roman" w:hAnsi="Times New Roman" w:eastAsia="宋体" w:cs="Times New Roman"/>
          <w:b/>
          <w:sz w:val="24"/>
        </w:rPr>
        <w:t>本表为 companiesmarketcap 各年末市值</w:t>
      </w:r>
      <w:r>
        <w:rPr>
          <w:rFonts w:ascii="Times New Roman" w:hAnsi="Times New Roman" w:eastAsia="宋体" w:cs="Times New Roman"/>
          <w:b w:val="0"/>
          <w:sz w:val="24"/>
        </w:rPr>
        <w:t>。</w:t>
      </w:r>
    </w:p>
    <w:p>
      <w:pPr>
        <w:spacing w:before="120" w:after="40" w:line="312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2 四家公司市值 2020–2025（各年末，单位：十亿美元）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5"/>
        <w:gridCol w:w="1215"/>
        <w:gridCol w:w="1215"/>
        <w:gridCol w:w="1215"/>
        <w:gridCol w:w="1215"/>
        <w:gridCol w:w="1325"/>
        <w:gridCol w:w="11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5" w:type="dxa"/>
            <w:shd w:val="clear" w:color="auto" w:fill="D9E2F3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公司</w:t>
            </w:r>
          </w:p>
        </w:tc>
        <w:tc>
          <w:tcPr>
            <w:tcW w:w="1215" w:type="dxa"/>
            <w:shd w:val="clear" w:color="auto" w:fill="D9E2F3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2020末</w:t>
            </w:r>
          </w:p>
        </w:tc>
        <w:tc>
          <w:tcPr>
            <w:tcW w:w="1215" w:type="dxa"/>
            <w:shd w:val="clear" w:color="auto" w:fill="D9E2F3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2021末</w:t>
            </w:r>
          </w:p>
        </w:tc>
        <w:tc>
          <w:tcPr>
            <w:tcW w:w="1215" w:type="dxa"/>
            <w:shd w:val="clear" w:color="auto" w:fill="D9E2F3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2022末</w:t>
            </w:r>
          </w:p>
        </w:tc>
        <w:tc>
          <w:tcPr>
            <w:tcW w:w="1215" w:type="dxa"/>
            <w:shd w:val="clear" w:color="auto" w:fill="D9E2F3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2023末</w:t>
            </w:r>
          </w:p>
        </w:tc>
        <w:tc>
          <w:tcPr>
            <w:tcW w:w="1325" w:type="dxa"/>
            <w:shd w:val="clear" w:color="auto" w:fill="D9E2F3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2024末</w:t>
            </w:r>
          </w:p>
        </w:tc>
        <w:tc>
          <w:tcPr>
            <w:tcW w:w="1105" w:type="dxa"/>
            <w:shd w:val="clear" w:color="auto" w:fill="D9E2F3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2025末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Oracle</w:t>
            </w:r>
          </w:p>
        </w:tc>
        <w:tc>
          <w:tcPr>
            <w:tcW w:w="121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190.44</w:t>
            </w:r>
          </w:p>
        </w:tc>
        <w:tc>
          <w:tcPr>
            <w:tcW w:w="121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232.88</w:t>
            </w:r>
          </w:p>
        </w:tc>
        <w:tc>
          <w:tcPr>
            <w:tcW w:w="121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220.39</w:t>
            </w:r>
          </w:p>
        </w:tc>
        <w:tc>
          <w:tcPr>
            <w:tcW w:w="121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289.81</w:t>
            </w:r>
          </w:p>
        </w:tc>
        <w:tc>
          <w:tcPr>
            <w:tcW w:w="132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472.57</w:t>
            </w:r>
          </w:p>
        </w:tc>
        <w:tc>
          <w:tcPr>
            <w:tcW w:w="110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568.85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Broadcom</w:t>
            </w:r>
          </w:p>
        </w:tc>
        <w:tc>
          <w:tcPr>
            <w:tcW w:w="121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178.07</w:t>
            </w:r>
          </w:p>
        </w:tc>
        <w:tc>
          <w:tcPr>
            <w:tcW w:w="121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274.73</w:t>
            </w:r>
          </w:p>
        </w:tc>
        <w:tc>
          <w:tcPr>
            <w:tcW w:w="121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233.65</w:t>
            </w:r>
          </w:p>
        </w:tc>
        <w:tc>
          <w:tcPr>
            <w:tcW w:w="121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461.01</w:t>
            </w:r>
          </w:p>
        </w:tc>
        <w:tc>
          <w:tcPr>
            <w:tcW w:w="132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1,133</w:t>
            </w:r>
          </w:p>
        </w:tc>
        <w:tc>
          <w:tcPr>
            <w:tcW w:w="110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1,669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AMD</w:t>
            </w:r>
          </w:p>
        </w:tc>
        <w:tc>
          <w:tcPr>
            <w:tcW w:w="121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110.42</w:t>
            </w:r>
          </w:p>
        </w:tc>
        <w:tc>
          <w:tcPr>
            <w:tcW w:w="121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173.77</w:t>
            </w:r>
          </w:p>
        </w:tc>
        <w:tc>
          <w:tcPr>
            <w:tcW w:w="121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104.43</w:t>
            </w:r>
          </w:p>
        </w:tc>
        <w:tc>
          <w:tcPr>
            <w:tcW w:w="121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238.14</w:t>
            </w:r>
          </w:p>
        </w:tc>
        <w:tc>
          <w:tcPr>
            <w:tcW w:w="132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203.15</w:t>
            </w:r>
          </w:p>
        </w:tc>
        <w:tc>
          <w:tcPr>
            <w:tcW w:w="110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350.01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CoreWeave</w:t>
            </w:r>
          </w:p>
        </w:tc>
        <w:tc>
          <w:tcPr>
            <w:tcW w:w="121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未上市</w:t>
            </w:r>
          </w:p>
        </w:tc>
        <w:tc>
          <w:tcPr>
            <w:tcW w:w="121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未上市</w:t>
            </w:r>
          </w:p>
        </w:tc>
        <w:tc>
          <w:tcPr>
            <w:tcW w:w="121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未上市</w:t>
            </w:r>
          </w:p>
        </w:tc>
        <w:tc>
          <w:tcPr>
            <w:tcW w:w="121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未上市</w:t>
            </w:r>
          </w:p>
        </w:tc>
        <w:tc>
          <w:tcPr>
            <w:tcW w:w="132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未上市（2024/10 二级交易估值约 $23B）</w:t>
            </w:r>
          </w:p>
        </w:tc>
        <w:tc>
          <w:tcPr>
            <w:tcW w:w="110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38.08</w:t>
            </w:r>
          </w:p>
        </w:tc>
      </w:tr>
    </w:tbl>
    <w:p>
      <w:pPr>
        <w:spacing w:before="120" w:after="40" w:line="312" w:lineRule="auto"/>
        <w:jc w:val="left"/>
        <w:rPr>
          <w:rFonts w:ascii="Times New Roman" w:hAnsi="Times New Roman" w:eastAsia="宋体" w:cs="Times New Roman"/>
          <w:b/>
          <w:sz w:val="21"/>
        </w:rPr>
      </w:pPr>
      <w:r>
        <w:rPr>
          <w:rFonts w:ascii="Times New Roman" w:hAnsi="Times New Roman" w:eastAsia="宋体" w:cs="Times New Roman"/>
          <w:b/>
          <w:sz w:val="21"/>
        </w:rPr>
        <w:t>资料来源：companiesmarketcap</w:t>
      </w:r>
      <w:r>
        <w:rPr>
          <w:rFonts w:hint="eastAsia" w:cs="Times New Roman"/>
          <w:b/>
          <w:sz w:val="21"/>
          <w:lang w:val="en-US" w:eastAsia="zh-CN"/>
        </w:rPr>
        <w:t>.com</w:t>
      </w:r>
      <w:r>
        <w:rPr>
          <w:rFonts w:ascii="Times New Roman" w:hAnsi="Times New Roman" w:eastAsia="宋体" w:cs="Times New Roman"/>
          <w:b/>
          <w:sz w:val="21"/>
        </w:rPr>
        <w:t xml:space="preserve"> 各年末市值——</w:t>
      </w:r>
      <w:r>
        <w:rPr>
          <w:rFonts w:ascii="Times New Roman" w:hAnsi="Times New Roman" w:eastAsia="宋体" w:cs="Times New Roman"/>
          <w:b/>
          <w:sz w:val="21"/>
        </w:rPr>
        <w:fldChar w:fldCharType="begin"/>
      </w:r>
      <w:r>
        <w:rPr>
          <w:rFonts w:ascii="Times New Roman" w:hAnsi="Times New Roman" w:eastAsia="宋体" w:cs="Times New Roman"/>
          <w:b/>
          <w:sz w:val="21"/>
        </w:rPr>
        <w:instrText xml:space="preserve"> HYPERLINK "https://companiesmarketcap.com/oracle/marketcap/" \h </w:instrText>
      </w:r>
      <w:r>
        <w:rPr>
          <w:rFonts w:ascii="Times New Roman" w:hAnsi="Times New Roman" w:eastAsia="宋体" w:cs="Times New Roman"/>
          <w:b/>
          <w:sz w:val="21"/>
        </w:rPr>
        <w:fldChar w:fldCharType="separate"/>
      </w:r>
      <w:r>
        <w:rPr>
          <w:rFonts w:ascii="Times New Roman" w:hAnsi="Times New Roman" w:eastAsia="宋体" w:cs="Times New Roman"/>
          <w:b/>
          <w:sz w:val="21"/>
        </w:rPr>
        <w:t>Oracle</w:t>
      </w:r>
      <w:r>
        <w:rPr>
          <w:rFonts w:ascii="Times New Roman" w:hAnsi="Times New Roman" w:eastAsia="宋体" w:cs="Times New Roman"/>
          <w:b/>
          <w:sz w:val="21"/>
        </w:rPr>
        <w:fldChar w:fldCharType="end"/>
      </w:r>
      <w:r>
        <w:rPr>
          <w:rFonts w:ascii="Times New Roman" w:hAnsi="Times New Roman" w:eastAsia="宋体" w:cs="Times New Roman"/>
          <w:b/>
          <w:sz w:val="21"/>
        </w:rPr>
        <w:t>、</w:t>
      </w:r>
      <w:r>
        <w:rPr>
          <w:rFonts w:ascii="Times New Roman" w:hAnsi="Times New Roman" w:eastAsia="宋体" w:cs="Times New Roman"/>
          <w:b/>
          <w:sz w:val="21"/>
        </w:rPr>
        <w:fldChar w:fldCharType="begin"/>
      </w:r>
      <w:r>
        <w:rPr>
          <w:rFonts w:ascii="Times New Roman" w:hAnsi="Times New Roman" w:eastAsia="宋体" w:cs="Times New Roman"/>
          <w:b/>
          <w:sz w:val="21"/>
        </w:rPr>
        <w:instrText xml:space="preserve"> HYPERLINK "https://companiesmarketcap.com/broadcom/marketcap/" \h </w:instrText>
      </w:r>
      <w:r>
        <w:rPr>
          <w:rFonts w:ascii="Times New Roman" w:hAnsi="Times New Roman" w:eastAsia="宋体" w:cs="Times New Roman"/>
          <w:b/>
          <w:sz w:val="21"/>
        </w:rPr>
        <w:fldChar w:fldCharType="separate"/>
      </w:r>
      <w:r>
        <w:rPr>
          <w:rFonts w:ascii="Times New Roman" w:hAnsi="Times New Roman" w:eastAsia="宋体" w:cs="Times New Roman"/>
          <w:b/>
          <w:sz w:val="21"/>
        </w:rPr>
        <w:t>Broadcom</w:t>
      </w:r>
      <w:r>
        <w:rPr>
          <w:rFonts w:ascii="Times New Roman" w:hAnsi="Times New Roman" w:eastAsia="宋体" w:cs="Times New Roman"/>
          <w:b/>
          <w:sz w:val="21"/>
        </w:rPr>
        <w:fldChar w:fldCharType="end"/>
      </w:r>
      <w:r>
        <w:rPr>
          <w:rFonts w:ascii="Times New Roman" w:hAnsi="Times New Roman" w:eastAsia="宋体" w:cs="Times New Roman"/>
          <w:b/>
          <w:sz w:val="21"/>
        </w:rPr>
        <w:t>、</w:t>
      </w:r>
      <w:r>
        <w:rPr>
          <w:rFonts w:ascii="Times New Roman" w:hAnsi="Times New Roman" w:eastAsia="宋体" w:cs="Times New Roman"/>
          <w:b/>
          <w:sz w:val="21"/>
        </w:rPr>
        <w:fldChar w:fldCharType="begin"/>
      </w:r>
      <w:r>
        <w:rPr>
          <w:rFonts w:ascii="Times New Roman" w:hAnsi="Times New Roman" w:eastAsia="宋体" w:cs="Times New Roman"/>
          <w:b/>
          <w:sz w:val="21"/>
        </w:rPr>
        <w:instrText xml:space="preserve"> HYPERLINK "https://companiesmarketcap.com/amd/marketcap/" \h </w:instrText>
      </w:r>
      <w:r>
        <w:rPr>
          <w:rFonts w:ascii="Times New Roman" w:hAnsi="Times New Roman" w:eastAsia="宋体" w:cs="Times New Roman"/>
          <w:b/>
          <w:sz w:val="21"/>
        </w:rPr>
        <w:fldChar w:fldCharType="separate"/>
      </w:r>
      <w:r>
        <w:rPr>
          <w:rFonts w:ascii="Times New Roman" w:hAnsi="Times New Roman" w:eastAsia="宋体" w:cs="Times New Roman"/>
          <w:b/>
          <w:sz w:val="21"/>
        </w:rPr>
        <w:t>AMD</w:t>
      </w:r>
      <w:r>
        <w:rPr>
          <w:rFonts w:ascii="Times New Roman" w:hAnsi="Times New Roman" w:eastAsia="宋体" w:cs="Times New Roman"/>
          <w:b/>
          <w:sz w:val="21"/>
        </w:rPr>
        <w:fldChar w:fldCharType="end"/>
      </w:r>
      <w:r>
        <w:rPr>
          <w:rFonts w:ascii="Times New Roman" w:hAnsi="Times New Roman" w:eastAsia="宋体" w:cs="Times New Roman"/>
          <w:b/>
          <w:sz w:val="21"/>
        </w:rPr>
        <w:t>、</w:t>
      </w:r>
      <w:r>
        <w:rPr>
          <w:rFonts w:ascii="Times New Roman" w:hAnsi="Times New Roman" w:eastAsia="宋体" w:cs="Times New Roman"/>
          <w:b/>
          <w:sz w:val="21"/>
        </w:rPr>
        <w:fldChar w:fldCharType="begin"/>
      </w:r>
      <w:r>
        <w:rPr>
          <w:rFonts w:ascii="Times New Roman" w:hAnsi="Times New Roman" w:eastAsia="宋体" w:cs="Times New Roman"/>
          <w:b/>
          <w:sz w:val="21"/>
        </w:rPr>
        <w:instrText xml:space="preserve"> HYPERLINK "https://companiesmarketcap.com/coreweave/marketcap/" \h </w:instrText>
      </w:r>
      <w:r>
        <w:rPr>
          <w:rFonts w:ascii="Times New Roman" w:hAnsi="Times New Roman" w:eastAsia="宋体" w:cs="Times New Roman"/>
          <w:b/>
          <w:sz w:val="21"/>
        </w:rPr>
        <w:fldChar w:fldCharType="separate"/>
      </w:r>
      <w:r>
        <w:rPr>
          <w:rFonts w:ascii="Times New Roman" w:hAnsi="Times New Roman" w:eastAsia="宋体" w:cs="Times New Roman"/>
          <w:b/>
          <w:sz w:val="21"/>
        </w:rPr>
        <w:t>CoreWeave</w:t>
      </w:r>
      <w:r>
        <w:rPr>
          <w:rFonts w:ascii="Times New Roman" w:hAnsi="Times New Roman" w:eastAsia="宋体" w:cs="Times New Roman"/>
          <w:b/>
          <w:sz w:val="21"/>
        </w:rPr>
        <w:fldChar w:fldCharType="end"/>
      </w:r>
      <w:r>
        <w:rPr>
          <w:rFonts w:ascii="Times New Roman" w:hAnsi="Times New Roman" w:eastAsia="宋体" w:cs="Times New Roman"/>
          <w:b/>
          <w:sz w:val="21"/>
        </w:rPr>
        <w:t>（2025末 $38.08B）</w:t>
      </w:r>
    </w:p>
    <w:p>
      <w:pPr>
        <w:spacing w:before="240" w:after="120" w:line="360" w:lineRule="auto"/>
        <w:outlineLvl w:val="0"/>
        <w:rPr>
          <w:rFonts w:ascii="Times New Roman" w:hAnsi="Times New Roman" w:eastAsia="黑体" w:cs="Times New Roman"/>
          <w:b/>
          <w:sz w:val="32"/>
        </w:rPr>
      </w:pPr>
      <w:bookmarkStart w:id="2" w:name="_Toc26246"/>
    </w:p>
    <w:p>
      <w:pPr>
        <w:spacing w:before="240" w:after="120" w:line="360" w:lineRule="auto"/>
        <w:outlineLvl w:val="0"/>
        <w:rPr>
          <w:rFonts w:ascii="Times New Roman" w:hAnsi="Times New Roman" w:eastAsia="黑体" w:cs="Times New Roman"/>
          <w:b/>
          <w:sz w:val="32"/>
        </w:rPr>
      </w:pPr>
    </w:p>
    <w:p>
      <w:pPr>
        <w:spacing w:before="240" w:after="120" w:line="360" w:lineRule="auto"/>
        <w:outlineLvl w:val="0"/>
        <w:rPr>
          <w:rFonts w:ascii="Times New Roman" w:hAnsi="Times New Roman" w:eastAsia="黑体" w:cs="Times New Roman"/>
          <w:b/>
          <w:sz w:val="32"/>
        </w:rPr>
      </w:pPr>
    </w:p>
    <w:p>
      <w:pPr>
        <w:spacing w:before="240" w:after="120" w:line="360" w:lineRule="auto"/>
        <w:outlineLvl w:val="0"/>
      </w:pPr>
      <w:r>
        <w:rPr>
          <w:rFonts w:ascii="Times New Roman" w:hAnsi="Times New Roman" w:eastAsia="黑体" w:cs="Times New Roman"/>
          <w:b/>
          <w:sz w:val="32"/>
        </w:rPr>
        <w:t>三、资本性开支 CapEx</w:t>
      </w:r>
      <w:bookmarkEnd w:id="2"/>
    </w:p>
    <w:p>
      <w:pPr>
        <w:spacing w:before="120" w:after="40" w:line="360" w:lineRule="auto"/>
        <w:rPr>
          <w:rFonts w:hint="eastAsia" w:eastAsia="宋体"/>
          <w:lang w:val="en-US" w:eastAsia="zh-CN"/>
        </w:rPr>
      </w:pPr>
      <w:r>
        <w:rPr>
          <w:rFonts w:hint="eastAsia" w:cs="Times New Roman"/>
          <w:b/>
          <w:sz w:val="24"/>
          <w:lang w:val="en-US" w:eastAsia="zh-CN"/>
        </w:rPr>
        <w:t xml:space="preserve">1. </w:t>
      </w:r>
      <w:r>
        <w:rPr>
          <w:rFonts w:ascii="Times New Roman" w:hAnsi="Times New Roman" w:eastAsia="宋体" w:cs="Times New Roman"/>
          <w:b/>
          <w:sz w:val="24"/>
        </w:rPr>
        <w:t>口径</w:t>
      </w:r>
      <w:r>
        <w:rPr>
          <w:rFonts w:hint="eastAsia" w:cs="Times New Roman"/>
          <w:b/>
          <w:sz w:val="24"/>
          <w:lang w:val="en-US" w:eastAsia="zh-CN"/>
        </w:rPr>
        <w:t>说明</w:t>
      </w:r>
    </w:p>
    <w:p>
      <w:pPr>
        <w:spacing w:after="40" w:line="360" w:lineRule="auto"/>
        <w:ind w:firstLine="480"/>
        <w:rPr>
          <w:rFonts w:ascii="Times New Roman" w:hAnsi="Times New Roman" w:eastAsia="宋体" w:cs="Times New Roman"/>
          <w:b w:val="0"/>
          <w:sz w:val="24"/>
        </w:rPr>
      </w:pPr>
      <w:r>
        <w:rPr>
          <w:rFonts w:ascii="Times New Roman" w:hAnsi="Times New Roman" w:eastAsia="宋体" w:cs="Times New Roman"/>
          <w:b w:val="0"/>
          <w:sz w:val="24"/>
        </w:rPr>
        <w:t>与第一轮相同：CapEx = 现金流量表"投资活动"段中"购置不动产、厂房及设备"行，不含融资租赁，只计现金购置。</w:t>
      </w:r>
    </w:p>
    <w:p>
      <w:pPr>
        <w:spacing w:after="40" w:line="360" w:lineRule="auto"/>
        <w:ind w:firstLine="480"/>
      </w:pPr>
      <w:r>
        <w:rPr>
          <w:rFonts w:ascii="Times New Roman" w:hAnsi="Times New Roman" w:eastAsia="宋体" w:cs="Times New Roman"/>
          <w:b w:val="0"/>
          <w:bCs/>
          <w:sz w:val="24"/>
        </w:rPr>
        <w:t>四家的 CapEx 结构本质不同：</w:t>
      </w:r>
      <w:r>
        <w:rPr>
          <w:rFonts w:ascii="Times New Roman" w:hAnsi="Times New Roman" w:eastAsia="宋体" w:cs="Times New Roman"/>
          <w:b w:val="0"/>
          <w:sz w:val="24"/>
        </w:rPr>
        <w:t>Oracle 和 CoreWeave 的 CapEx 就是数据中心/GPU（重资产）；Broadcom 与 AMD 是 fabless（无晶圆厂）芯片公司，制造外包给台积电，自身 CapEx 极小</w:t>
      </w:r>
      <w:r>
        <w:rPr>
          <w:rFonts w:hint="eastAsia" w:cs="Times New Roman"/>
          <w:b w:val="0"/>
          <w:sz w:val="24"/>
          <w:lang w:eastAsia="zh-CN"/>
        </w:rPr>
        <w:t>，</w:t>
      </w:r>
      <w:r>
        <w:rPr>
          <w:rFonts w:ascii="Times New Roman" w:hAnsi="Times New Roman" w:eastAsia="宋体" w:cs="Times New Roman"/>
          <w:b w:val="0"/>
          <w:sz w:val="24"/>
        </w:rPr>
        <w:t>这一点与第一轮里的英伟达同理。</w:t>
      </w:r>
    </w:p>
    <w:p>
      <w:pPr>
        <w:spacing w:before="120" w:after="40" w:line="312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3 四家公司资本性开支 2020–2025（单位：百万美元）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8"/>
        <w:gridCol w:w="1035"/>
        <w:gridCol w:w="1036"/>
        <w:gridCol w:w="1036"/>
        <w:gridCol w:w="1036"/>
        <w:gridCol w:w="1036"/>
        <w:gridCol w:w="1044"/>
        <w:gridCol w:w="12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3" w:type="dxa"/>
            <w:shd w:val="clear" w:color="auto" w:fill="D9E2F3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公司</w:t>
            </w:r>
          </w:p>
        </w:tc>
        <w:tc>
          <w:tcPr>
            <w:tcW w:w="1063" w:type="dxa"/>
            <w:shd w:val="clear" w:color="auto" w:fill="D9E2F3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2020</w:t>
            </w:r>
          </w:p>
        </w:tc>
        <w:tc>
          <w:tcPr>
            <w:tcW w:w="1063" w:type="dxa"/>
            <w:shd w:val="clear" w:color="auto" w:fill="D9E2F3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2021</w:t>
            </w:r>
          </w:p>
        </w:tc>
        <w:tc>
          <w:tcPr>
            <w:tcW w:w="1063" w:type="dxa"/>
            <w:shd w:val="clear" w:color="auto" w:fill="D9E2F3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2022</w:t>
            </w:r>
          </w:p>
        </w:tc>
        <w:tc>
          <w:tcPr>
            <w:tcW w:w="1063" w:type="dxa"/>
            <w:shd w:val="clear" w:color="auto" w:fill="D9E2F3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2023</w:t>
            </w:r>
          </w:p>
        </w:tc>
        <w:tc>
          <w:tcPr>
            <w:tcW w:w="1063" w:type="dxa"/>
            <w:shd w:val="clear" w:color="auto" w:fill="D9E2F3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2024</w:t>
            </w:r>
          </w:p>
        </w:tc>
        <w:tc>
          <w:tcPr>
            <w:tcW w:w="1063" w:type="dxa"/>
            <w:shd w:val="clear" w:color="auto" w:fill="D9E2F3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2025</w:t>
            </w:r>
          </w:p>
        </w:tc>
        <w:tc>
          <w:tcPr>
            <w:tcW w:w="1063" w:type="dxa"/>
            <w:shd w:val="clear" w:color="auto" w:fill="D9E2F3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现金流量表对应行项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3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Oracle（FY止5/31）</w:t>
            </w:r>
          </w:p>
        </w:tc>
        <w:tc>
          <w:tcPr>
            <w:tcW w:w="1063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1,564</w:t>
            </w:r>
          </w:p>
        </w:tc>
        <w:tc>
          <w:tcPr>
            <w:tcW w:w="1063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2,135</w:t>
            </w:r>
          </w:p>
        </w:tc>
        <w:tc>
          <w:tcPr>
            <w:tcW w:w="1063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4,511</w:t>
            </w:r>
          </w:p>
        </w:tc>
        <w:tc>
          <w:tcPr>
            <w:tcW w:w="1063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8,695</w:t>
            </w:r>
          </w:p>
        </w:tc>
        <w:tc>
          <w:tcPr>
            <w:tcW w:w="1063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6,866</w:t>
            </w:r>
          </w:p>
        </w:tc>
        <w:tc>
          <w:tcPr>
            <w:tcW w:w="1063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21,215</w:t>
            </w:r>
          </w:p>
        </w:tc>
        <w:tc>
          <w:tcPr>
            <w:tcW w:w="1063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Capital expenditures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3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Broadcom（FY止11月）</w:t>
            </w:r>
          </w:p>
        </w:tc>
        <w:tc>
          <w:tcPr>
            <w:tcW w:w="1063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463</w:t>
            </w:r>
          </w:p>
        </w:tc>
        <w:tc>
          <w:tcPr>
            <w:tcW w:w="1063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443</w:t>
            </w:r>
          </w:p>
        </w:tc>
        <w:tc>
          <w:tcPr>
            <w:tcW w:w="1063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424</w:t>
            </w:r>
          </w:p>
        </w:tc>
        <w:tc>
          <w:tcPr>
            <w:tcW w:w="1063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452</w:t>
            </w:r>
          </w:p>
        </w:tc>
        <w:tc>
          <w:tcPr>
            <w:tcW w:w="1063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548</w:t>
            </w:r>
          </w:p>
        </w:tc>
        <w:tc>
          <w:tcPr>
            <w:tcW w:w="1063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623</w:t>
            </w:r>
          </w:p>
        </w:tc>
        <w:tc>
          <w:tcPr>
            <w:tcW w:w="1063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Purchases of property, plant and equipment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3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AMD（日历年）</w:t>
            </w:r>
          </w:p>
        </w:tc>
        <w:tc>
          <w:tcPr>
            <w:tcW w:w="1063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294</w:t>
            </w:r>
          </w:p>
        </w:tc>
        <w:tc>
          <w:tcPr>
            <w:tcW w:w="1063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301</w:t>
            </w:r>
          </w:p>
        </w:tc>
        <w:tc>
          <w:tcPr>
            <w:tcW w:w="1063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450</w:t>
            </w:r>
          </w:p>
        </w:tc>
        <w:tc>
          <w:tcPr>
            <w:tcW w:w="1063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546</w:t>
            </w:r>
          </w:p>
        </w:tc>
        <w:tc>
          <w:tcPr>
            <w:tcW w:w="1063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636</w:t>
            </w:r>
          </w:p>
        </w:tc>
        <w:tc>
          <w:tcPr>
            <w:tcW w:w="1063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974</w:t>
            </w:r>
          </w:p>
        </w:tc>
        <w:tc>
          <w:tcPr>
            <w:tcW w:w="1063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Purchases of property and equipment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3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CoreWeave（日历年）</w:t>
            </w:r>
          </w:p>
        </w:tc>
        <w:tc>
          <w:tcPr>
            <w:tcW w:w="1063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未上市，无披露</w:t>
            </w:r>
          </w:p>
        </w:tc>
        <w:tc>
          <w:tcPr>
            <w:tcW w:w="1063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未上市，无披露</w:t>
            </w:r>
          </w:p>
        </w:tc>
        <w:tc>
          <w:tcPr>
            <w:tcW w:w="1063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72</w:t>
            </w:r>
          </w:p>
        </w:tc>
        <w:tc>
          <w:tcPr>
            <w:tcW w:w="1063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2,943</w:t>
            </w:r>
          </w:p>
        </w:tc>
        <w:tc>
          <w:tcPr>
            <w:tcW w:w="1063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8,702</w:t>
            </w:r>
          </w:p>
        </w:tc>
        <w:tc>
          <w:tcPr>
            <w:tcW w:w="1063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10,309</w:t>
            </w:r>
          </w:p>
        </w:tc>
        <w:tc>
          <w:tcPr>
            <w:tcW w:w="1063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Purchases of property and equipment（含资本化内部使用软件）</w:t>
            </w:r>
          </w:p>
        </w:tc>
      </w:tr>
    </w:tbl>
    <w:p>
      <w:pPr>
        <w:spacing w:after="40"/>
      </w:pPr>
    </w:p>
    <w:p>
      <w:pPr>
        <w:spacing w:after="120" w:line="312" w:lineRule="auto"/>
        <w:jc w:val="left"/>
      </w:pPr>
      <w:r>
        <w:rPr>
          <w:rFonts w:ascii="Times New Roman" w:hAnsi="Times New Roman" w:eastAsia="宋体" w:cs="Times New Roman"/>
          <w:b w:val="0"/>
          <w:sz w:val="22"/>
        </w:rPr>
        <w:t>资料来源</w:t>
      </w:r>
      <w:r>
        <w:rPr>
          <w:rFonts w:hint="eastAsia" w:cs="Times New Roman"/>
          <w:b w:val="0"/>
          <w:sz w:val="22"/>
          <w:lang w:eastAsia="zh-CN"/>
        </w:rPr>
        <w:t>：</w:t>
      </w:r>
      <w:r>
        <w:rPr>
          <w:rFonts w:ascii="Times New Roman" w:hAnsi="Times New Roman" w:eastAsia="宋体" w:cs="Times New Roman"/>
          <w:b w:val="0"/>
          <w:sz w:val="22"/>
        </w:rPr>
        <w:t xml:space="preserve"> </w:t>
      </w:r>
      <w:r>
        <w:fldChar w:fldCharType="begin"/>
      </w:r>
      <w:r>
        <w:instrText xml:space="preserve"> HYPERLINK "https://www.sec.gov/Archives/edgar/data/1341439/000156459020030125/orcl-10k_20200531.htm"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2"/>
          <w:u w:val="single"/>
        </w:rPr>
        <w:t>FY2020 10-K</w:t>
      </w:r>
      <w:r>
        <w:rPr>
          <w:rFonts w:ascii="Times New Roman" w:hAnsi="Times New Roman" w:eastAsia="宋体"/>
          <w:color w:val="0563C1"/>
          <w:sz w:val="22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2"/>
        </w:rPr>
        <w:t xml:space="preserve">； </w:t>
      </w:r>
      <w:r>
        <w:fldChar w:fldCharType="begin"/>
      </w:r>
      <w:r>
        <w:instrText xml:space="preserve"> HYPERLINK "https://www.macrotrends.net/stocks/charts/ORCL/oracle/financial-statements"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2"/>
          <w:u w:val="single"/>
        </w:rPr>
        <w:t>Macrotrends ORCL</w:t>
      </w:r>
      <w:r>
        <w:rPr>
          <w:rFonts w:ascii="Times New Roman" w:hAnsi="Times New Roman" w:eastAsia="宋体"/>
          <w:color w:val="0563C1"/>
          <w:sz w:val="22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2"/>
        </w:rPr>
        <w:t>、</w:t>
      </w:r>
      <w:r>
        <w:fldChar w:fldCharType="begin"/>
      </w:r>
      <w:r>
        <w:instrText xml:space="preserve"> HYPERLINK "https://finbox.com/NYSE:ORCL/explorer/capex/"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2"/>
          <w:u w:val="single"/>
        </w:rPr>
        <w:t>Finbox</w:t>
      </w:r>
      <w:r>
        <w:rPr>
          <w:rFonts w:ascii="Times New Roman" w:hAnsi="Times New Roman" w:eastAsia="宋体"/>
          <w:color w:val="0563C1"/>
          <w:sz w:val="22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2"/>
        </w:rPr>
        <w:t>）；</w:t>
      </w:r>
      <w:r>
        <w:fldChar w:fldCharType="begin"/>
      </w:r>
      <w:r>
        <w:instrText xml:space="preserve"> HYPERLINK "https://finbox.com/NASDAQGS:AVGO/explorer/capex/"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2"/>
          <w:u w:val="single"/>
        </w:rPr>
        <w:t>Finbox AVGO</w:t>
      </w:r>
      <w:r>
        <w:rPr>
          <w:rFonts w:ascii="Times New Roman" w:hAnsi="Times New Roman" w:eastAsia="宋体"/>
          <w:color w:val="0563C1"/>
          <w:sz w:val="22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2"/>
        </w:rPr>
        <w:t xml:space="preserve"> </w:t>
      </w:r>
      <w:r>
        <w:rPr>
          <w:rFonts w:hint="eastAsia" w:cs="Times New Roman"/>
          <w:b w:val="0"/>
          <w:sz w:val="22"/>
          <w:lang w:eastAsia="zh-CN"/>
        </w:rPr>
        <w:t>；</w:t>
      </w:r>
      <w:r>
        <w:rPr>
          <w:rFonts w:ascii="Times New Roman" w:hAnsi="Times New Roman" w:eastAsia="宋体" w:cs="Times New Roman"/>
          <w:b w:val="0"/>
          <w:sz w:val="22"/>
        </w:rPr>
        <w:t>（</w:t>
      </w:r>
      <w:r>
        <w:fldChar w:fldCharType="begin"/>
      </w:r>
      <w:r>
        <w:instrText xml:space="preserve"> HYPERLINK "https://www.stock-analysis-on.net/NASDAQ/Company/Advanced-Micro-Devices-Inc/Financial-Statement/Statement-of-Cash-Flows"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2"/>
          <w:u w:val="single"/>
        </w:rPr>
        <w:t>stock-analysis-on.net AMD 现金流</w:t>
      </w:r>
      <w:r>
        <w:rPr>
          <w:rFonts w:ascii="Times New Roman" w:hAnsi="Times New Roman" w:eastAsia="宋体"/>
          <w:color w:val="0563C1"/>
          <w:sz w:val="22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2"/>
        </w:rPr>
        <w:t>、</w:t>
      </w:r>
      <w:r>
        <w:fldChar w:fldCharType="begin"/>
      </w:r>
      <w:r>
        <w:instrText xml:space="preserve"> HYPERLINK "https://stockdividendscreener.com/technology/semiconductor/amd/amd-capital-expenditures/"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2"/>
          <w:u w:val="single"/>
        </w:rPr>
        <w:t>stockdividendscreener</w:t>
      </w:r>
      <w:r>
        <w:rPr>
          <w:rFonts w:ascii="Times New Roman" w:hAnsi="Times New Roman" w:eastAsia="宋体"/>
          <w:color w:val="0563C1"/>
          <w:sz w:val="22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2"/>
        </w:rPr>
        <w:t xml:space="preserve">， </w:t>
      </w:r>
      <w:r>
        <w:fldChar w:fldCharType="begin"/>
      </w:r>
      <w:r>
        <w:instrText xml:space="preserve"> HYPERLINK "https://macrotrends.net/stocks/charts/CRWV/coreweave/cash-flow-statement"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2"/>
          <w:u w:val="single"/>
        </w:rPr>
        <w:t>Macrotrends CRWV</w:t>
      </w:r>
      <w:r>
        <w:rPr>
          <w:rFonts w:ascii="Times New Roman" w:hAnsi="Times New Roman" w:eastAsia="宋体"/>
          <w:color w:val="0563C1"/>
          <w:sz w:val="22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2"/>
        </w:rPr>
        <w:t>、</w:t>
      </w:r>
      <w:r>
        <w:fldChar w:fldCharType="begin"/>
      </w:r>
      <w:r>
        <w:instrText xml:space="preserve"> HYPERLINK "https://stockanalysis.com/stocks/crwv/financials/cash-flow-statement/"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2"/>
          <w:u w:val="single"/>
        </w:rPr>
        <w:t>stockanalysis CRWV</w:t>
      </w:r>
      <w:r>
        <w:rPr>
          <w:rFonts w:ascii="Times New Roman" w:hAnsi="Times New Roman" w:eastAsia="宋体"/>
          <w:color w:val="0563C1"/>
          <w:sz w:val="22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2"/>
        </w:rPr>
        <w:t xml:space="preserve"> </w:t>
      </w:r>
    </w:p>
    <w:p>
      <w:pPr>
        <w:spacing w:before="120" w:after="40" w:line="360" w:lineRule="auto"/>
        <w:rPr>
          <w:rFonts w:hint="eastAsia" w:eastAsia="宋体"/>
          <w:lang w:eastAsia="zh-CN"/>
        </w:rPr>
      </w:pPr>
      <w:r>
        <w:rPr>
          <w:rFonts w:ascii="Times New Roman" w:hAnsi="Times New Roman" w:eastAsia="宋体" w:cs="Times New Roman"/>
          <w:b/>
          <w:sz w:val="24"/>
        </w:rPr>
        <w:t>说明</w:t>
      </w:r>
      <w:r>
        <w:rPr>
          <w:rFonts w:hint="eastAsia" w:cs="Times New Roman"/>
          <w:b/>
          <w:sz w:val="24"/>
          <w:lang w:eastAsia="zh-CN"/>
        </w:rPr>
        <w:t>：</w:t>
      </w:r>
    </w:p>
    <w:p>
      <w:pPr>
        <w:spacing w:after="40" w:line="36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• </w:t>
      </w:r>
      <w:r>
        <w:rPr>
          <w:rFonts w:ascii="Times New Roman" w:hAnsi="Times New Roman" w:eastAsia="宋体" w:cs="Times New Roman"/>
          <w:b/>
          <w:sz w:val="24"/>
        </w:rPr>
        <w:t>Oracle FY2025 CapEx $21.2B，同比 +209%</w:t>
      </w:r>
      <w:r>
        <w:rPr>
          <w:rFonts w:ascii="Times New Roman" w:hAnsi="Times New Roman" w:eastAsia="宋体" w:cs="Times New Roman"/>
          <w:b w:val="0"/>
          <w:sz w:val="24"/>
        </w:rPr>
        <w:t>，几乎全部投向 OCI 数据中心；FY2026 指引约 $35B（窗口外，2026/6 实际披露更高）。</w:t>
      </w:r>
    </w:p>
    <w:p>
      <w:pPr>
        <w:spacing w:after="40" w:line="36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• </w:t>
      </w:r>
      <w:r>
        <w:rPr>
          <w:rFonts w:ascii="Times New Roman" w:hAnsi="Times New Roman" w:eastAsia="宋体" w:cs="Times New Roman"/>
          <w:b/>
          <w:sz w:val="24"/>
        </w:rPr>
        <w:t>CoreWeave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Times New Roman" w:hAnsi="Times New Roman" w:eastAsia="宋体" w:cs="Times New Roman"/>
          <w:b/>
          <w:sz w:val="24"/>
        </w:rPr>
        <w:t>2025=$10,309M</w:t>
      </w:r>
      <w:r>
        <w:rPr>
          <w:rFonts w:ascii="Times New Roman" w:hAnsi="Times New Roman" w:eastAsia="宋体" w:cs="Times New Roman"/>
          <w:b w:val="0"/>
          <w:sz w:val="24"/>
        </w:rPr>
        <w:t xml:space="preserve"> 出自 FY25 10-K，含资本化内部使用软件</w:t>
      </w:r>
      <w:r>
        <w:rPr>
          <w:rFonts w:hint="eastAsia" w:cs="Times New Roman"/>
          <w:b w:val="0"/>
          <w:sz w:val="24"/>
          <w:lang w:eastAsia="zh-CN"/>
        </w:rPr>
        <w:t>。</w:t>
      </w:r>
      <w:r>
        <w:rPr>
          <w:rFonts w:ascii="Times New Roman" w:hAnsi="Times New Roman" w:eastAsia="宋体" w:cs="Times New Roman"/>
          <w:b w:val="0"/>
          <w:sz w:val="24"/>
        </w:rPr>
        <w:t>从挖矿转型 GPU 云后逐年放量。此为"现金购置 PP&amp;E"口径，仍小于公司对外宣传的 2026 年 $30–35B capex（后者含融资租赁购置的 GPU，</w:t>
      </w:r>
      <w:r>
        <w:fldChar w:fldCharType="begin"/>
      </w:r>
      <w:r>
        <w:instrText xml:space="preserve"> HYPERLINK "https://finance.yahoo.com/news/coreweave-slides-30-billion-capex-113959671.html"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4"/>
          <w:u w:val="single"/>
        </w:rPr>
        <w:t>Yahoo Finance</w:t>
      </w:r>
      <w:r>
        <w:rPr>
          <w:rFonts w:ascii="Times New Roman" w:hAnsi="Times New Roman" w:eastAsia="宋体"/>
          <w:color w:val="0563C1"/>
          <w:sz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4"/>
        </w:rPr>
        <w:t>）。</w:t>
      </w:r>
    </w:p>
    <w:p>
      <w:pPr>
        <w:spacing w:after="40" w:line="36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• </w:t>
      </w:r>
      <w:r>
        <w:rPr>
          <w:rFonts w:ascii="Times New Roman" w:hAnsi="Times New Roman" w:eastAsia="宋体" w:cs="Times New Roman"/>
          <w:b/>
          <w:sz w:val="24"/>
        </w:rPr>
        <w:t>Broadcom / AMD CapEx 常年 &lt; 收入的 2%</w:t>
      </w:r>
      <w:r>
        <w:rPr>
          <w:rFonts w:ascii="Times New Roman" w:hAnsi="Times New Roman" w:eastAsia="宋体" w:cs="Times New Roman"/>
          <w:b w:val="0"/>
          <w:sz w:val="24"/>
        </w:rPr>
        <w:t>：fabless 模式，无需为 AI 需求扩产自建工厂（产能在台积电）。AI 敞口体现在收入与研发，不在 CapEx。</w:t>
      </w:r>
    </w:p>
    <w:p>
      <w:pPr>
        <w:spacing w:before="120" w:after="40" w:line="312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4 2026 年 CapEx 指引对照（第三方口径，窗口外前瞻）【待核实】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28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D9E2F3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公司</w:t>
            </w:r>
          </w:p>
        </w:tc>
        <w:tc>
          <w:tcPr>
            <w:tcW w:w="2835" w:type="dxa"/>
            <w:shd w:val="clear" w:color="auto" w:fill="D9E2F3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2026 CapEx 指引</w:t>
            </w:r>
          </w:p>
        </w:tc>
        <w:tc>
          <w:tcPr>
            <w:tcW w:w="2835" w:type="dxa"/>
            <w:shd w:val="clear" w:color="auto" w:fill="D9E2F3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出处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Oracle</w:t>
            </w:r>
          </w:p>
        </w:tc>
        <w:tc>
          <w:tcPr>
            <w:tcW w:w="283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~$35B（FY2026）</w:t>
            </w:r>
          </w:p>
        </w:tc>
        <w:tc>
          <w:tcPr>
            <w:tcW w:w="2835" w:type="dxa"/>
            <w:vAlign w:val="center"/>
          </w:tcPr>
          <w:p>
            <w:pPr>
              <w:spacing w:after="0" w:line="264" w:lineRule="auto"/>
              <w:jc w:val="center"/>
            </w:pPr>
            <w:r>
              <w:fldChar w:fldCharType="begin"/>
            </w:r>
            <w:r>
              <w:instrText xml:space="preserve"> HYPERLINK "https://www.oracle.com/news/announcement/q1fy26-earnings-release-2025-09-09/" \h </w:instrText>
            </w:r>
            <w:r>
              <w:fldChar w:fldCharType="separate"/>
            </w:r>
            <w:r>
              <w:rPr>
                <w:rFonts w:ascii="Times New Roman" w:hAnsi="Times New Roman" w:eastAsia="宋体"/>
                <w:color w:val="0563C1"/>
                <w:sz w:val="19"/>
                <w:u w:val="single"/>
              </w:rPr>
              <w:t>Oracle Q1 FY26 电话会</w:t>
            </w:r>
            <w:r>
              <w:rPr>
                <w:rFonts w:ascii="Times New Roman" w:hAnsi="Times New Roman" w:eastAsia="宋体"/>
                <w:color w:val="0563C1"/>
                <w:sz w:val="19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CoreWeave</w:t>
            </w:r>
          </w:p>
        </w:tc>
        <w:tc>
          <w:tcPr>
            <w:tcW w:w="283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$30–35B</w:t>
            </w:r>
          </w:p>
        </w:tc>
        <w:tc>
          <w:tcPr>
            <w:tcW w:w="2835" w:type="dxa"/>
            <w:vAlign w:val="center"/>
          </w:tcPr>
          <w:p>
            <w:pPr>
              <w:spacing w:after="0" w:line="264" w:lineRule="auto"/>
              <w:jc w:val="center"/>
            </w:pPr>
            <w:r>
              <w:fldChar w:fldCharType="begin"/>
            </w:r>
            <w:r>
              <w:instrText xml:space="preserve"> HYPERLINK "https://finance.yahoo.com/news/coreweave-slides-30-billion-capex-113959671.html" \h </w:instrText>
            </w:r>
            <w:r>
              <w:fldChar w:fldCharType="separate"/>
            </w:r>
            <w:r>
              <w:rPr>
                <w:rFonts w:ascii="Times New Roman" w:hAnsi="Times New Roman" w:eastAsia="宋体"/>
                <w:color w:val="0563C1"/>
                <w:sz w:val="19"/>
                <w:u w:val="single"/>
              </w:rPr>
              <w:t>Yahoo Finance</w:t>
            </w:r>
            <w:r>
              <w:rPr>
                <w:rFonts w:ascii="Times New Roman" w:hAnsi="Times New Roman" w:eastAsia="宋体"/>
                <w:color w:val="0563C1"/>
                <w:sz w:val="19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Broadcom / AMD</w:t>
            </w:r>
          </w:p>
        </w:tc>
        <w:tc>
          <w:tcPr>
            <w:tcW w:w="283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无重大变化（fabless）</w:t>
            </w:r>
          </w:p>
        </w:tc>
        <w:tc>
          <w:tcPr>
            <w:tcW w:w="283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各公司业绩电话会</w:t>
            </w:r>
          </w:p>
        </w:tc>
      </w:tr>
    </w:tbl>
    <w:p>
      <w:pPr>
        <w:spacing w:after="40"/>
      </w:pPr>
    </w:p>
    <w:p>
      <w:pPr>
        <w:spacing w:before="240" w:after="120" w:line="360" w:lineRule="auto"/>
        <w:outlineLvl w:val="0"/>
      </w:pPr>
      <w:bookmarkStart w:id="3" w:name="_Toc9874"/>
      <w:r>
        <w:rPr>
          <w:rFonts w:ascii="Times New Roman" w:hAnsi="Times New Roman" w:eastAsia="黑体" w:cs="Times New Roman"/>
          <w:b/>
          <w:sz w:val="32"/>
        </w:rPr>
        <w:t>四、用于数据中心建设的资本性开支</w:t>
      </w:r>
      <w:bookmarkEnd w:id="3"/>
    </w:p>
    <w:p>
      <w:pPr>
        <w:spacing w:before="120" w:after="40" w:line="360" w:lineRule="auto"/>
      </w:pPr>
      <w:r>
        <w:rPr>
          <w:rFonts w:hint="eastAsia" w:cs="Times New Roman"/>
          <w:b/>
          <w:sz w:val="24"/>
          <w:lang w:val="en-US" w:eastAsia="zh-CN"/>
        </w:rPr>
        <w:t xml:space="preserve">1. </w:t>
      </w:r>
      <w:r>
        <w:rPr>
          <w:rFonts w:ascii="Times New Roman" w:hAnsi="Times New Roman" w:eastAsia="宋体" w:cs="Times New Roman"/>
          <w:b/>
          <w:sz w:val="24"/>
        </w:rPr>
        <w:t>说明</w:t>
      </w:r>
    </w:p>
    <w:p>
      <w:pPr>
        <w:spacing w:after="40" w:line="36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四家中</w:t>
      </w:r>
      <w:r>
        <w:rPr>
          <w:rFonts w:ascii="Times New Roman" w:hAnsi="Times New Roman" w:eastAsia="宋体" w:cs="Times New Roman"/>
          <w:b/>
          <w:sz w:val="24"/>
        </w:rPr>
        <w:t>只有 Oracle 和 CoreWeave 自建/自租数据中心</w:t>
      </w:r>
      <w:r>
        <w:rPr>
          <w:rFonts w:ascii="Times New Roman" w:hAnsi="Times New Roman" w:eastAsia="宋体" w:cs="Times New Roman"/>
          <w:b w:val="0"/>
          <w:sz w:val="24"/>
        </w:rPr>
        <w:t>，且两家的 CapEx 几乎全部就是数据中心（GPU、服务器、机房）；Broadcom、AMD 为芯片供应商，不运营数据中心（与第一轮英伟达同一角色）。</w:t>
      </w:r>
    </w:p>
    <w:p>
      <w:pPr>
        <w:spacing w:before="120" w:after="40" w:line="312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5 各公司用于数据中心的资本开支说明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1"/>
        <w:gridCol w:w="2100"/>
        <w:gridCol w:w="3615"/>
        <w:gridCol w:w="17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1" w:type="dxa"/>
            <w:shd w:val="clear" w:color="auto" w:fill="D9E2F3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公司</w:t>
            </w:r>
          </w:p>
        </w:tc>
        <w:tc>
          <w:tcPr>
            <w:tcW w:w="2100" w:type="dxa"/>
            <w:shd w:val="clear" w:color="auto" w:fill="D9E2F3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数据中心 CapEx</w:t>
            </w:r>
          </w:p>
        </w:tc>
        <w:tc>
          <w:tcPr>
            <w:tcW w:w="3615" w:type="dxa"/>
            <w:shd w:val="clear" w:color="auto" w:fill="D9E2F3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原文对照</w:t>
            </w:r>
          </w:p>
        </w:tc>
        <w:tc>
          <w:tcPr>
            <w:tcW w:w="1782" w:type="dxa"/>
            <w:shd w:val="clear" w:color="auto" w:fill="D9E2F3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资料来源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1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Oracle</w:t>
            </w:r>
          </w:p>
        </w:tc>
        <w:tc>
          <w:tcPr>
            <w:tcW w:w="2100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整体 CapEx ≈ 数据中心（OCI GPU 集群与机房）</w:t>
            </w:r>
          </w:p>
        </w:tc>
        <w:tc>
          <w:tcPr>
            <w:tcW w:w="361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"The vast majority of our capex investments are for revenue generating equipment that is going into data centers"（Safra Catz，FY2025 Q4 电话会）【引文原话待核实——大意已多方印证】</w:t>
            </w:r>
          </w:p>
        </w:tc>
        <w:tc>
          <w:tcPr>
            <w:tcW w:w="1782" w:type="dxa"/>
            <w:vAlign w:val="center"/>
          </w:tcPr>
          <w:p>
            <w:pPr>
              <w:spacing w:after="0" w:line="264" w:lineRule="auto"/>
              <w:jc w:val="center"/>
            </w:pPr>
            <w:r>
              <w:fldChar w:fldCharType="begin"/>
            </w:r>
            <w:r>
              <w:instrText xml:space="preserve"> HYPERLINK "https://www.oracle.com/news/announcement/q1fy26-earnings-release-2025-09-09/" \h </w:instrText>
            </w:r>
            <w:r>
              <w:fldChar w:fldCharType="separate"/>
            </w:r>
            <w:r>
              <w:rPr>
                <w:rFonts w:ascii="Times New Roman" w:hAnsi="Times New Roman" w:eastAsia="宋体"/>
                <w:color w:val="0563C1"/>
                <w:sz w:val="19"/>
                <w:u w:val="single"/>
              </w:rPr>
              <w:t>Oracle 业绩电话会记录</w:t>
            </w:r>
            <w:r>
              <w:rPr>
                <w:rFonts w:ascii="Times New Roman" w:hAnsi="Times New Roman" w:eastAsia="宋体"/>
                <w:color w:val="0563C1"/>
                <w:sz w:val="19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1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CoreWeave</w:t>
            </w:r>
          </w:p>
        </w:tc>
        <w:tc>
          <w:tcPr>
            <w:tcW w:w="2100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整体 CapEx = 100% AI 数据中心（GPU、机房、电力）</w:t>
            </w:r>
          </w:p>
        </w:tc>
        <w:tc>
          <w:tcPr>
            <w:tcW w:w="361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"CoreWeave's fleet now exceeds 250,000 GPUs across 32+ data centers"；"expanded its infrastructure to 470 MW of active power and 2.2 GW of contracted power"</w:t>
            </w:r>
          </w:p>
        </w:tc>
        <w:tc>
          <w:tcPr>
            <w:tcW w:w="1782" w:type="dxa"/>
            <w:vAlign w:val="center"/>
          </w:tcPr>
          <w:p>
            <w:pPr>
              <w:spacing w:after="0" w:line="264" w:lineRule="auto"/>
              <w:jc w:val="center"/>
            </w:pPr>
            <w:r>
              <w:fldChar w:fldCharType="begin"/>
            </w:r>
            <w:r>
              <w:instrText xml:space="preserve"> HYPERLINK "https://www.nextplatform.com/ai/2025/03/06/coreweaves-250000-strong-gpu-fleet-undercuts-the-big-clouds/1656232" \h </w:instrText>
            </w:r>
            <w:r>
              <w:fldChar w:fldCharType="separate"/>
            </w:r>
            <w:r>
              <w:rPr>
                <w:rFonts w:ascii="Times New Roman" w:hAnsi="Times New Roman" w:eastAsia="宋体"/>
                <w:color w:val="0563C1"/>
                <w:sz w:val="19"/>
                <w:u w:val="single"/>
              </w:rPr>
              <w:t>The Next Platform</w:t>
            </w:r>
            <w:r>
              <w:rPr>
                <w:rFonts w:ascii="Times New Roman" w:hAnsi="Times New Roman" w:eastAsia="宋体"/>
                <w:color w:val="0563C1"/>
                <w:sz w:val="19"/>
                <w:u w:val="single"/>
              </w:rPr>
              <w:fldChar w:fldCharType="end"/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、</w:t>
            </w:r>
            <w:r>
              <w:fldChar w:fldCharType="begin"/>
            </w:r>
            <w:r>
              <w:instrText xml:space="preserve"> HYPERLINK "https://introl.com/blog/coreweave-gpu-cloud-ai-infrastructure-deep-dive-2025" \h </w:instrText>
            </w:r>
            <w:r>
              <w:fldChar w:fldCharType="separate"/>
            </w:r>
            <w:r>
              <w:rPr>
                <w:rFonts w:ascii="Times New Roman" w:hAnsi="Times New Roman" w:eastAsia="宋体"/>
                <w:color w:val="0563C1"/>
                <w:sz w:val="19"/>
                <w:u w:val="single"/>
              </w:rPr>
              <w:t>Introl</w:t>
            </w:r>
            <w:r>
              <w:rPr>
                <w:rFonts w:ascii="Times New Roman" w:hAnsi="Times New Roman" w:eastAsia="宋体"/>
                <w:color w:val="0563C1"/>
                <w:sz w:val="19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1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Broadcom</w:t>
            </w:r>
          </w:p>
        </w:tc>
        <w:tc>
          <w:tcPr>
            <w:tcW w:w="2100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≈ 0（fabless，不建数据中心；向数据中心卖 XPU/交换芯片）</w:t>
            </w:r>
          </w:p>
        </w:tc>
        <w:tc>
          <w:tcPr>
            <w:tcW w:w="361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"Broadcom is targeting deployment of racks of AI accelerator and network systems…across OpenAI's facilities </w:t>
            </w:r>
            <w:r>
              <w:rPr>
                <w:rFonts w:ascii="Times New Roman" w:hAnsi="Times New Roman" w:eastAsia="宋体" w:cs="Times New Roman"/>
                <w:b/>
                <w:sz w:val="21"/>
              </w:rPr>
              <w:t>and partner data centers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"（部署在客户/伙伴的数据中心，非自建）</w:t>
            </w:r>
          </w:p>
        </w:tc>
        <w:tc>
          <w:tcPr>
            <w:tcW w:w="1782" w:type="dxa"/>
            <w:vAlign w:val="center"/>
          </w:tcPr>
          <w:p>
            <w:pPr>
              <w:spacing w:after="0" w:line="264" w:lineRule="auto"/>
              <w:jc w:val="center"/>
            </w:pPr>
            <w:r>
              <w:fldChar w:fldCharType="begin"/>
            </w:r>
            <w:r>
              <w:instrText xml:space="preserve"> HYPERLINK "https://investors.broadcom.com/news-releases/news-release-details/openai-and-broadcom-announce-strategic-collaboration-deploy-10" \h </w:instrText>
            </w:r>
            <w:r>
              <w:fldChar w:fldCharType="separate"/>
            </w:r>
            <w:r>
              <w:rPr>
                <w:rFonts w:ascii="Times New Roman" w:hAnsi="Times New Roman" w:eastAsia="宋体"/>
                <w:color w:val="0563C1"/>
                <w:sz w:val="19"/>
                <w:u w:val="single"/>
              </w:rPr>
              <w:t>Broadcom 新闻稿</w:t>
            </w:r>
            <w:r>
              <w:rPr>
                <w:rFonts w:ascii="Times New Roman" w:hAnsi="Times New Roman" w:eastAsia="宋体"/>
                <w:color w:val="0563C1"/>
                <w:sz w:val="19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1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AMD</w:t>
            </w:r>
          </w:p>
        </w:tc>
        <w:tc>
          <w:tcPr>
            <w:tcW w:w="2100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≈ 0（fabless；2025/3 以 $4.9B 完成收购 ZT Systems 获得 AI 服务器/机架设计能力，随即宣布将其制造业务以 $3B 出售给 Sanmina——保留设计、不持重资产）【ZT 交易金额已核实，Sanmina 细节待核实】</w:t>
            </w:r>
          </w:p>
        </w:tc>
        <w:tc>
          <w:tcPr>
            <w:tcW w:w="361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"AMD completed its acquisition of ZT Systems…approximately $4.9 billion in cash and stock"</w:t>
            </w:r>
          </w:p>
        </w:tc>
        <w:tc>
          <w:tcPr>
            <w:tcW w:w="1782" w:type="dxa"/>
            <w:vAlign w:val="center"/>
          </w:tcPr>
          <w:p>
            <w:pPr>
              <w:spacing w:after="0" w:line="264" w:lineRule="auto"/>
              <w:jc w:val="center"/>
            </w:pPr>
            <w:r>
              <w:fldChar w:fldCharType="begin"/>
            </w:r>
            <w:r>
              <w:instrText xml:space="preserve"> HYPERLINK "https://www.amd.com/en/newsroom.html" \h </w:instrText>
            </w:r>
            <w:r>
              <w:fldChar w:fldCharType="separate"/>
            </w:r>
            <w:r>
              <w:rPr>
                <w:rFonts w:ascii="Times New Roman" w:hAnsi="Times New Roman" w:eastAsia="宋体"/>
                <w:color w:val="0563C1"/>
                <w:sz w:val="19"/>
                <w:u w:val="single"/>
              </w:rPr>
              <w:t>AMD 新闻稿（2025/3）</w:t>
            </w:r>
            <w:r>
              <w:rPr>
                <w:rFonts w:ascii="Times New Roman" w:hAnsi="Times New Roman" w:eastAsia="宋体"/>
                <w:color w:val="0563C1"/>
                <w:sz w:val="19"/>
                <w:u w:val="single"/>
              </w:rPr>
              <w:fldChar w:fldCharType="end"/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、</w:t>
            </w:r>
            <w:r>
              <w:fldChar w:fldCharType="begin"/>
            </w:r>
            <w:r>
              <w:instrText xml:space="preserve"> HYPERLINK "https://www.tomshardware.com/tech-industry/semiconductors/custom-ai-asics-examined-from-broadcom-to-mtia" \h </w:instrText>
            </w:r>
            <w:r>
              <w:fldChar w:fldCharType="separate"/>
            </w:r>
            <w:r>
              <w:rPr>
                <w:rFonts w:ascii="Times New Roman" w:hAnsi="Times New Roman" w:eastAsia="宋体"/>
                <w:color w:val="0563C1"/>
                <w:sz w:val="19"/>
                <w:u w:val="single"/>
              </w:rPr>
              <w:t>Tom's Hardware</w:t>
            </w:r>
            <w:r>
              <w:rPr>
                <w:rFonts w:ascii="Times New Roman" w:hAnsi="Times New Roman" w:eastAsia="宋体"/>
                <w:color w:val="0563C1"/>
                <w:sz w:val="19"/>
                <w:u w:val="single"/>
              </w:rPr>
              <w:fldChar w:fldCharType="end"/>
            </w:r>
          </w:p>
        </w:tc>
      </w:tr>
    </w:tbl>
    <w:p>
      <w:pPr>
        <w:spacing w:after="40"/>
      </w:pPr>
    </w:p>
    <w:p>
      <w:pPr>
        <w:spacing w:before="120" w:after="40" w:line="312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 xml:space="preserve">表 6 </w:t>
      </w:r>
      <w:r>
        <w:rPr>
          <w:rFonts w:hint="eastAsia" w:cs="Times New Roman"/>
          <w:b/>
          <w:sz w:val="21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b/>
          <w:sz w:val="21"/>
        </w:rPr>
        <w:t>CoreWeave "Purchases of property and equipment"（现金流口径，单位：百万美元）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28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D9E2F3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年份</w:t>
            </w:r>
          </w:p>
        </w:tc>
        <w:tc>
          <w:tcPr>
            <w:tcW w:w="2835" w:type="dxa"/>
            <w:shd w:val="clear" w:color="auto" w:fill="D9E2F3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现金购置 PP&amp;E</w:t>
            </w:r>
          </w:p>
        </w:tc>
        <w:tc>
          <w:tcPr>
            <w:tcW w:w="2835" w:type="dxa"/>
            <w:shd w:val="clear" w:color="auto" w:fill="D9E2F3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核实状态 / 来源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2022</w:t>
            </w:r>
          </w:p>
        </w:tc>
        <w:tc>
          <w:tcPr>
            <w:tcW w:w="283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72.4</w:t>
            </w:r>
          </w:p>
        </w:tc>
        <w:tc>
          <w:tcPr>
            <w:tcW w:w="283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招股书 S-1 现金流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2023</w:t>
            </w:r>
          </w:p>
        </w:tc>
        <w:tc>
          <w:tcPr>
            <w:tcW w:w="283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2,943.1</w:t>
            </w:r>
          </w:p>
        </w:tc>
        <w:tc>
          <w:tcPr>
            <w:tcW w:w="283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招股书 S-1 现金流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2024</w:t>
            </w:r>
          </w:p>
        </w:tc>
        <w:tc>
          <w:tcPr>
            <w:tcW w:w="283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8,702.1</w:t>
            </w:r>
          </w:p>
        </w:tc>
        <w:tc>
          <w:tcPr>
            <w:tcW w:w="283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招股书 S-1 现金流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2025</w:t>
            </w:r>
          </w:p>
        </w:tc>
        <w:tc>
          <w:tcPr>
            <w:tcW w:w="283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10,309</w:t>
            </w:r>
          </w:p>
        </w:tc>
        <w:tc>
          <w:tcPr>
            <w:tcW w:w="283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FY25 10-K 现金流（含资本化内部使用软件）</w:t>
            </w:r>
          </w:p>
        </w:tc>
      </w:tr>
    </w:tbl>
    <w:p>
      <w:pPr>
        <w:spacing w:after="120" w:line="312" w:lineRule="auto"/>
        <w:jc w:val="left"/>
      </w:pPr>
      <w:r>
        <w:rPr>
          <w:rFonts w:ascii="Times New Roman" w:hAnsi="Times New Roman" w:eastAsia="宋体" w:cs="Times New Roman"/>
          <w:b/>
          <w:sz w:val="21"/>
        </w:rPr>
        <w:t xml:space="preserve">资料来源：CoreWeave 招股书 </w:t>
      </w:r>
      <w:r>
        <w:rPr>
          <w:rFonts w:ascii="Times New Roman" w:hAnsi="Times New Roman" w:eastAsia="宋体" w:cs="Times New Roman"/>
          <w:b/>
          <w:sz w:val="21"/>
        </w:rPr>
        <w:fldChar w:fldCharType="begin"/>
      </w:r>
      <w:r>
        <w:rPr>
          <w:rFonts w:ascii="Times New Roman" w:hAnsi="Times New Roman" w:eastAsia="宋体" w:cs="Times New Roman"/>
          <w:b/>
          <w:sz w:val="21"/>
        </w:rPr>
        <w:instrText xml:space="preserve"> HYPERLINK "https://www.sec.gov/Archives/edgar/data/1769628/000119312525044231/d899798ds1.htm" \h </w:instrText>
      </w:r>
      <w:r>
        <w:rPr>
          <w:rFonts w:ascii="Times New Roman" w:hAnsi="Times New Roman" w:eastAsia="宋体" w:cs="Times New Roman"/>
          <w:b/>
          <w:sz w:val="21"/>
        </w:rPr>
        <w:fldChar w:fldCharType="separate"/>
      </w:r>
      <w:r>
        <w:rPr>
          <w:rFonts w:ascii="Times New Roman" w:hAnsi="Times New Roman" w:eastAsia="宋体" w:cs="Times New Roman"/>
          <w:b/>
          <w:sz w:val="21"/>
        </w:rPr>
        <w:t>S-1（2025/3，SEC）</w:t>
      </w:r>
      <w:r>
        <w:rPr>
          <w:rFonts w:ascii="Times New Roman" w:hAnsi="Times New Roman" w:eastAsia="宋体" w:cs="Times New Roman"/>
          <w:b/>
          <w:sz w:val="21"/>
        </w:rPr>
        <w:fldChar w:fldCharType="end"/>
      </w:r>
      <w:r>
        <w:rPr>
          <w:rFonts w:ascii="Times New Roman" w:hAnsi="Times New Roman" w:eastAsia="宋体" w:cs="Times New Roman"/>
          <w:b/>
          <w:sz w:val="21"/>
        </w:rPr>
        <w:t xml:space="preserve">，2022–2024 数经 </w:t>
      </w:r>
      <w:r>
        <w:rPr>
          <w:rFonts w:ascii="Times New Roman" w:hAnsi="Times New Roman" w:eastAsia="宋体" w:cs="Times New Roman"/>
          <w:b/>
          <w:sz w:val="21"/>
        </w:rPr>
        <w:fldChar w:fldCharType="begin"/>
      </w:r>
      <w:r>
        <w:rPr>
          <w:rFonts w:ascii="Times New Roman" w:hAnsi="Times New Roman" w:eastAsia="宋体" w:cs="Times New Roman"/>
          <w:b/>
          <w:sz w:val="21"/>
        </w:rPr>
        <w:instrText xml:space="preserve"> HYPERLINK "https://macrotrends.net/stocks/charts/CRWV/coreweave/cash-flow-statement" \h </w:instrText>
      </w:r>
      <w:r>
        <w:rPr>
          <w:rFonts w:ascii="Times New Roman" w:hAnsi="Times New Roman" w:eastAsia="宋体" w:cs="Times New Roman"/>
          <w:b/>
          <w:sz w:val="21"/>
        </w:rPr>
        <w:fldChar w:fldCharType="separate"/>
      </w:r>
      <w:r>
        <w:rPr>
          <w:rFonts w:ascii="Times New Roman" w:hAnsi="Times New Roman" w:eastAsia="宋体" w:cs="Times New Roman"/>
          <w:b/>
          <w:sz w:val="21"/>
        </w:rPr>
        <w:t>Macrotrends CRWV 现金流</w:t>
      </w:r>
      <w:r>
        <w:rPr>
          <w:rFonts w:ascii="Times New Roman" w:hAnsi="Times New Roman" w:eastAsia="宋体" w:cs="Times New Roman"/>
          <w:b/>
          <w:sz w:val="21"/>
        </w:rPr>
        <w:fldChar w:fldCharType="end"/>
      </w:r>
      <w:r>
        <w:rPr>
          <w:rFonts w:ascii="Times New Roman" w:hAnsi="Times New Roman" w:eastAsia="宋体" w:cs="Times New Roman"/>
          <w:b/>
          <w:sz w:val="21"/>
        </w:rPr>
        <w:t>、</w:t>
      </w:r>
      <w:r>
        <w:rPr>
          <w:rFonts w:ascii="Times New Roman" w:hAnsi="Times New Roman" w:eastAsia="宋体" w:cs="Times New Roman"/>
          <w:b/>
          <w:sz w:val="21"/>
        </w:rPr>
        <w:fldChar w:fldCharType="begin"/>
      </w:r>
      <w:r>
        <w:rPr>
          <w:rFonts w:ascii="Times New Roman" w:hAnsi="Times New Roman" w:eastAsia="宋体" w:cs="Times New Roman"/>
          <w:b/>
          <w:sz w:val="21"/>
        </w:rPr>
        <w:instrText xml:space="preserve"> HYPERLINK "https://stockanalysis.com/stocks/crwv/financials/cash-flow-statement/" \h </w:instrText>
      </w:r>
      <w:r>
        <w:rPr>
          <w:rFonts w:ascii="Times New Roman" w:hAnsi="Times New Roman" w:eastAsia="宋体" w:cs="Times New Roman"/>
          <w:b/>
          <w:sz w:val="21"/>
        </w:rPr>
        <w:fldChar w:fldCharType="separate"/>
      </w:r>
      <w:r>
        <w:rPr>
          <w:rFonts w:ascii="Times New Roman" w:hAnsi="Times New Roman" w:eastAsia="宋体" w:cs="Times New Roman"/>
          <w:b/>
          <w:sz w:val="21"/>
        </w:rPr>
        <w:t>stockanalysis CRWV</w:t>
      </w:r>
      <w:r>
        <w:rPr>
          <w:rFonts w:ascii="Times New Roman" w:hAnsi="Times New Roman" w:eastAsia="宋体" w:cs="Times New Roman"/>
          <w:b/>
          <w:sz w:val="21"/>
        </w:rPr>
        <w:fldChar w:fldCharType="end"/>
      </w:r>
      <w:r>
        <w:rPr>
          <w:rFonts w:ascii="Times New Roman" w:hAnsi="Times New Roman" w:eastAsia="宋体" w:cs="Times New Roman"/>
          <w:b/>
          <w:sz w:val="21"/>
        </w:rPr>
        <w:t xml:space="preserve"> 镜像核对；2025 全年 $10,309M 出自 </w:t>
      </w:r>
      <w:r>
        <w:rPr>
          <w:rFonts w:ascii="Times New Roman" w:hAnsi="Times New Roman" w:eastAsia="宋体" w:cs="Times New Roman"/>
          <w:b/>
          <w:sz w:val="21"/>
        </w:rPr>
        <w:fldChar w:fldCharType="begin"/>
      </w:r>
      <w:r>
        <w:rPr>
          <w:rFonts w:ascii="Times New Roman" w:hAnsi="Times New Roman" w:eastAsia="宋体" w:cs="Times New Roman"/>
          <w:b/>
          <w:sz w:val="21"/>
        </w:rPr>
        <w:instrText xml:space="preserve"> HYPERLINK "https://www.sec.gov/Archives/edgar/data/1769628/000176962826000094/coreweave4q25earningspress.htm" \h </w:instrText>
      </w:r>
      <w:r>
        <w:rPr>
          <w:rFonts w:ascii="Times New Roman" w:hAnsi="Times New Roman" w:eastAsia="宋体" w:cs="Times New Roman"/>
          <w:b/>
          <w:sz w:val="21"/>
        </w:rPr>
        <w:fldChar w:fldCharType="separate"/>
      </w:r>
      <w:r>
        <w:rPr>
          <w:rFonts w:ascii="Times New Roman" w:hAnsi="Times New Roman" w:eastAsia="宋体" w:cs="Times New Roman"/>
          <w:b/>
          <w:sz w:val="21"/>
        </w:rPr>
        <w:t>CoreWeave FY25 10-K / 4Q25 业绩（SEC）</w:t>
      </w:r>
      <w:r>
        <w:rPr>
          <w:rFonts w:ascii="Times New Roman" w:hAnsi="Times New Roman" w:eastAsia="宋体" w:cs="Times New Roman"/>
          <w:b/>
          <w:sz w:val="21"/>
        </w:rPr>
        <w:fldChar w:fldCharType="end"/>
      </w:r>
      <w:r>
        <w:rPr>
          <w:rFonts w:ascii="Times New Roman" w:hAnsi="Times New Roman" w:eastAsia="宋体" w:cs="Times New Roman"/>
          <w:b/>
          <w:sz w:val="21"/>
        </w:rPr>
        <w:t>（现金流"Purchase of property and equipment, including capitalized internal-use software"）</w:t>
      </w:r>
    </w:p>
    <w:p>
      <w:pPr>
        <w:spacing w:before="240" w:after="120" w:line="360" w:lineRule="auto"/>
        <w:outlineLvl w:val="0"/>
      </w:pPr>
      <w:bookmarkStart w:id="4" w:name="_Toc10741"/>
      <w:r>
        <w:rPr>
          <w:rFonts w:ascii="Times New Roman" w:hAnsi="Times New Roman" w:eastAsia="黑体" w:cs="Times New Roman"/>
          <w:b/>
          <w:sz w:val="32"/>
        </w:rPr>
        <w:t>五、融资额：债 / 股（2020–2025）</w:t>
      </w:r>
      <w:bookmarkEnd w:id="4"/>
    </w:p>
    <w:p>
      <w:pPr>
        <w:spacing w:before="120" w:after="40" w:line="360" w:lineRule="auto"/>
      </w:pPr>
      <w:r>
        <w:rPr>
          <w:rFonts w:hint="eastAsia" w:cs="Times New Roman"/>
          <w:b/>
          <w:sz w:val="24"/>
          <w:lang w:val="en-US" w:eastAsia="zh-CN"/>
        </w:rPr>
        <w:t xml:space="preserve">1. </w:t>
      </w:r>
      <w:r>
        <w:rPr>
          <w:rFonts w:ascii="Times New Roman" w:hAnsi="Times New Roman" w:eastAsia="宋体" w:cs="Times New Roman"/>
          <w:b/>
          <w:sz w:val="24"/>
        </w:rPr>
        <w:t>分类</w:t>
      </w:r>
    </w:p>
    <w:p>
      <w:pPr>
        <w:spacing w:after="40" w:line="36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四家分三类：①</w:t>
      </w:r>
      <w:r>
        <w:rPr>
          <w:rFonts w:hint="eastAsia" w:cs="Times New Roman"/>
          <w:b/>
          <w:sz w:val="24"/>
          <w:lang w:val="en-US" w:eastAsia="zh-CN"/>
        </w:rPr>
        <w:t>频繁发债</w:t>
      </w:r>
      <w:r>
        <w:rPr>
          <w:rFonts w:ascii="Times New Roman" w:hAnsi="Times New Roman" w:eastAsia="宋体" w:cs="Times New Roman"/>
          <w:b w:val="0"/>
          <w:sz w:val="24"/>
        </w:rPr>
        <w:t>（Oracle——六年年年发债、CoreWeave——高息抵押债）；②</w:t>
      </w:r>
      <w:r>
        <w:rPr>
          <w:rFonts w:ascii="Times New Roman" w:hAnsi="Times New Roman" w:eastAsia="宋体" w:cs="Times New Roman"/>
          <w:b/>
          <w:sz w:val="24"/>
        </w:rPr>
        <w:t>并购驱动发债</w:t>
      </w:r>
      <w:r>
        <w:rPr>
          <w:rFonts w:ascii="Times New Roman" w:hAnsi="Times New Roman" w:eastAsia="宋体" w:cs="Times New Roman"/>
          <w:b w:val="0"/>
          <w:sz w:val="24"/>
        </w:rPr>
        <w:t>（Broadcom——为 VMware 一次性举债 $30B+）；③</w:t>
      </w:r>
      <w:r>
        <w:rPr>
          <w:rFonts w:hint="eastAsia" w:cs="Times New Roman"/>
          <w:b/>
          <w:sz w:val="24"/>
          <w:lang w:val="en-US" w:eastAsia="zh-CN"/>
        </w:rPr>
        <w:t>债务稀少</w:t>
      </w:r>
      <w:r>
        <w:rPr>
          <w:rFonts w:ascii="Times New Roman" w:hAnsi="Times New Roman" w:eastAsia="宋体" w:cs="Times New Roman"/>
          <w:b w:val="0"/>
          <w:sz w:val="24"/>
        </w:rPr>
        <w:t>（AMD——用股票并购、账上净现金）。</w:t>
      </w:r>
    </w:p>
    <w:p>
      <w:pPr>
        <w:numPr>
          <w:ilvl w:val="0"/>
          <w:numId w:val="7"/>
        </w:numPr>
        <w:spacing w:after="40" w:line="360" w:lineRule="auto"/>
        <w:rPr>
          <w:b/>
          <w:bCs/>
        </w:rPr>
      </w:pPr>
      <w:r>
        <w:rPr>
          <w:rFonts w:hint="eastAsia" w:cs="Times New Roman"/>
          <w:b/>
          <w:bCs/>
          <w:sz w:val="24"/>
          <w:lang w:val="en-US" w:eastAsia="zh-CN"/>
        </w:rPr>
        <w:t>说明</w:t>
      </w:r>
    </w:p>
    <w:p>
      <w:pPr>
        <w:numPr>
          <w:numId w:val="0"/>
        </w:numPr>
        <w:spacing w:after="40" w:line="360" w:lineRule="auto"/>
        <w:ind w:firstLine="720" w:firstLineChars="0"/>
      </w:pPr>
      <w:r>
        <w:rPr>
          <w:rFonts w:ascii="Times New Roman" w:hAnsi="Times New Roman" w:eastAsia="宋体" w:cs="Times New Roman"/>
          <w:b w:val="0"/>
          <w:sz w:val="24"/>
        </w:rPr>
        <w:t>各项对应的财报行项与第一轮一致：发债（流量）→ 现金流量表 "Proceeds from issuance of debt"；存量 → 资产负债表 "Long-term debt"；发股 → "Proceeds from issuance of common stock"；回购 → "Repurchases of common stock"。</w:t>
      </w:r>
    </w:p>
    <w:p>
      <w:pPr>
        <w:spacing w:before="160" w:after="120" w:line="360" w:lineRule="auto"/>
        <w:outlineLvl w:val="1"/>
      </w:pPr>
      <w:bookmarkStart w:id="5" w:name="_Toc19245"/>
      <w:r>
        <w:rPr>
          <w:rFonts w:ascii="Times New Roman" w:hAnsi="Times New Roman" w:eastAsia="黑体" w:cs="Times New Roman"/>
          <w:b/>
          <w:sz w:val="28"/>
        </w:rPr>
        <w:t>5.1 Oracle</w:t>
      </w:r>
      <w:bookmarkEnd w:id="5"/>
    </w:p>
    <w:p>
      <w:pPr>
        <w:spacing w:before="160" w:after="120" w:line="360" w:lineRule="auto"/>
        <w:outlineLvl w:val="2"/>
      </w:pPr>
      <w:bookmarkStart w:id="6" w:name="_Toc17293"/>
      <w:r>
        <w:rPr>
          <w:rFonts w:ascii="Times New Roman" w:hAnsi="Times New Roman" w:eastAsia="黑体" w:cs="Times New Roman"/>
          <w:b/>
          <w:sz w:val="28"/>
        </w:rPr>
        <w:t>5.1.1 债券</w:t>
      </w:r>
      <w:bookmarkEnd w:id="6"/>
    </w:p>
    <w:p>
      <w:pPr>
        <w:spacing w:after="40" w:line="36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逐年发债额（按各笔定价年，$M）：</w:t>
      </w:r>
      <w:r>
        <w:rPr>
          <w:rFonts w:ascii="Times New Roman" w:hAnsi="Times New Roman" w:eastAsia="宋体" w:cs="Times New Roman"/>
          <w:b/>
          <w:sz w:val="24"/>
        </w:rPr>
        <w:t>2020 = 20,000 / 2021 = 15,000 / 2022 = 7,000 / 2023 = 5,250 / 2024 = 6,250 / 2025 = 25,750（2月 $7,750 + 9月 $18,000）</w:t>
      </w:r>
      <w:r>
        <w:rPr>
          <w:rFonts w:ascii="Times New Roman" w:hAnsi="Times New Roman" w:eastAsia="宋体" w:cs="Times New Roman"/>
          <w:b w:val="0"/>
          <w:sz w:val="24"/>
        </w:rPr>
        <w:t>；高级无担保票据（senior unsecured notes，投资级）。【SEC 424B2/8-K 及承销律所公告】</w:t>
      </w:r>
    </w:p>
    <w:p>
      <w:pPr>
        <w:spacing w:after="40" w:line="36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• 2020/3：$20B 六档（2.500%/2025 ~ 3.850%/2060）——"Oracle Prices $20 Billion Aggregate Principal Amount of Investment Grade Notes"（</w:t>
      </w:r>
      <w:r>
        <w:fldChar w:fldCharType="begin"/>
      </w:r>
      <w:r>
        <w:instrText xml:space="preserve"> HYPERLINK "https://investor.oracle.com/investor-news/news-details/2020/Oracle-Prices-20-Billion-Aggregate-Principal-Amount-of-Investment-Grade-Notes/default.aspx"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4"/>
          <w:u w:val="single"/>
        </w:rPr>
        <w:t>Oracle IR</w:t>
      </w:r>
      <w:r>
        <w:rPr>
          <w:rFonts w:ascii="Times New Roman" w:hAnsi="Times New Roman" w:eastAsia="宋体"/>
          <w:color w:val="0563C1"/>
          <w:sz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fldChar w:fldCharType="begin"/>
      </w:r>
      <w:r>
        <w:instrText xml:space="preserve"> HYPERLINK "https://www.prnewswire.com/news-releases/oracle-prices-20-billion-aggregate-principal-amount-of-investment-grade-notes-301032142.html"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4"/>
          <w:u w:val="single"/>
        </w:rPr>
        <w:t>PR Newswire</w:t>
      </w:r>
      <w:r>
        <w:rPr>
          <w:rFonts w:ascii="Times New Roman" w:hAnsi="Times New Roman" w:eastAsia="宋体"/>
          <w:color w:val="0563C1"/>
          <w:sz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4"/>
        </w:rPr>
        <w:t>）</w:t>
      </w:r>
    </w:p>
    <w:p>
      <w:pPr>
        <w:spacing w:after="40" w:line="36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• 2021/3：$15B 六档（1.650%/2026 ~ 4.100%/2061），部分用于 Cerner（$28.3B，2022/6 完成）前置资金（</w:t>
      </w:r>
      <w:r>
        <w:fldChar w:fldCharType="begin"/>
      </w:r>
      <w:r>
        <w:instrText xml:space="preserve"> HYPERLINK "https://www.sec.gov/Archives/edgar/data/0001341439/000119312521088478/d131374d424b2.htm"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4"/>
          <w:u w:val="single"/>
        </w:rPr>
        <w:t>SEC 424B2</w:t>
      </w:r>
      <w:r>
        <w:rPr>
          <w:rFonts w:ascii="Times New Roman" w:hAnsi="Times New Roman" w:eastAsia="宋体"/>
          <w:color w:val="0563C1"/>
          <w:sz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4"/>
        </w:rPr>
        <w:t>）</w:t>
      </w:r>
    </w:p>
    <w:p>
      <w:pPr>
        <w:spacing w:after="40" w:line="36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• 2022/11：$7B 四档（5.800%~6.900%）（</w:t>
      </w:r>
      <w:r>
        <w:fldChar w:fldCharType="begin"/>
      </w:r>
      <w:r>
        <w:instrText xml:space="preserve"> HYPERLINK "https://www.sec.gov/Archives/edgar/data/0001341439/000119312522280294/d376101d424b2.htm"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4"/>
          <w:u w:val="single"/>
        </w:rPr>
        <w:t>SEC 424B2</w:t>
      </w:r>
      <w:r>
        <w:rPr>
          <w:rFonts w:ascii="Times New Roman" w:hAnsi="Times New Roman" w:eastAsia="宋体"/>
          <w:color w:val="0563C1"/>
          <w:sz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4"/>
        </w:rPr>
        <w:t>）</w:t>
      </w:r>
    </w:p>
    <w:p>
      <w:pPr>
        <w:spacing w:after="40" w:line="36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• 2023/2：$5.25B 四档（</w:t>
      </w:r>
      <w:r>
        <w:fldChar w:fldCharType="begin"/>
      </w:r>
      <w:r>
        <w:instrText xml:space="preserve"> HYPERLINK "https://www.sec.gov/Archives/edgar/data/0001341439/000119312523024315/d769683d424b2.htm"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4"/>
          <w:u w:val="single"/>
        </w:rPr>
        <w:t>SEC 424B2</w:t>
      </w:r>
      <w:r>
        <w:rPr>
          <w:rFonts w:ascii="Times New Roman" w:hAnsi="Times New Roman" w:eastAsia="宋体"/>
          <w:color w:val="0563C1"/>
          <w:sz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4"/>
        </w:rPr>
        <w:t>）</w:t>
      </w:r>
    </w:p>
    <w:p>
      <w:pPr>
        <w:spacing w:after="40" w:line="36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• 2024/9：$6.25B 四档（</w:t>
      </w:r>
      <w:r>
        <w:fldChar w:fldCharType="begin"/>
      </w:r>
      <w:r>
        <w:instrText xml:space="preserve"> HYPERLINK "https://www.sec.gov/Archives/edgar/data/0001341439/000119312524227049/d861128d424b2.htm"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4"/>
          <w:u w:val="single"/>
        </w:rPr>
        <w:t>SEC 424B2</w:t>
      </w:r>
      <w:r>
        <w:rPr>
          <w:rFonts w:ascii="Times New Roman" w:hAnsi="Times New Roman" w:eastAsia="宋体"/>
          <w:color w:val="0563C1"/>
          <w:sz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4"/>
        </w:rPr>
        <w:t>）</w:t>
      </w:r>
    </w:p>
    <w:p>
      <w:pPr>
        <w:spacing w:after="40" w:line="36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• 2025/2：$7.75B（</w:t>
      </w:r>
      <w:r>
        <w:fldChar w:fldCharType="begin"/>
      </w:r>
      <w:r>
        <w:instrText xml:space="preserve"> HYPERLINK "https://www.stblaw.com/about-us/news/view/2025/02/03/oracle-completes-$7.75-billion-senior-notes-offering"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4"/>
          <w:u w:val="single"/>
        </w:rPr>
        <w:t>Simpson Thacher</w:t>
      </w:r>
      <w:r>
        <w:rPr>
          <w:rFonts w:ascii="Times New Roman" w:hAnsi="Times New Roman" w:eastAsia="宋体"/>
          <w:color w:val="0563C1"/>
          <w:sz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4"/>
        </w:rPr>
        <w:t>）；2025/9：$18B 六档（2030–2065），为 AI 数据中心扩建——"Oracle Completes $18 Billion Senior Notes Offering"（</w:t>
      </w:r>
      <w:r>
        <w:fldChar w:fldCharType="begin"/>
      </w:r>
      <w:r>
        <w:instrText xml:space="preserve"> HYPERLINK "https://www.stblaw.com/about-us/news/view/2025/09/26/oracle-completes-$18-billion-senior-notes-offering"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4"/>
          <w:u w:val="single"/>
        </w:rPr>
        <w:t>Simpson Thacher</w:t>
      </w:r>
      <w:r>
        <w:rPr>
          <w:rFonts w:ascii="Times New Roman" w:hAnsi="Times New Roman" w:eastAsia="宋体"/>
          <w:color w:val="0563C1"/>
          <w:sz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4"/>
        </w:rPr>
        <w:t>）</w:t>
      </w:r>
    </w:p>
    <w:p>
      <w:pPr>
        <w:spacing w:after="40" w:line="36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存量：总借款从 FY2020 约 $71B 升至 2025 末约 $104B，为四家中杠杆最高（净债务/EBITDA 约 3 倍+）。</w:t>
      </w:r>
      <w:r>
        <w:rPr>
          <w:rFonts w:ascii="Times New Roman" w:hAnsi="Times New Roman" w:eastAsia="宋体" w:cs="Times New Roman"/>
          <w:b/>
          <w:sz w:val="24"/>
        </w:rPr>
        <w:t>窗口外</w:t>
      </w:r>
      <w:r>
        <w:rPr>
          <w:rFonts w:ascii="Times New Roman" w:hAnsi="Times New Roman" w:eastAsia="宋体" w:cs="Times New Roman"/>
          <w:b w:val="0"/>
          <w:sz w:val="24"/>
        </w:rPr>
        <w:t>：2026/1 再发 $25B 债券并宣布 2026 全年 $45–50B 债+股融资计划（</w:t>
      </w:r>
      <w:r>
        <w:fldChar w:fldCharType="begin"/>
      </w:r>
      <w:r>
        <w:instrText xml:space="preserve"> HYPERLINK "https://investor.oracle.com/investor-news/news-details/2026/Oracle-announces-Equity-and-Debt-Financing-Plan-for-Calendar-Year-2026/default.aspx"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4"/>
          <w:u w:val="single"/>
        </w:rPr>
        <w:t>Oracle IR</w:t>
      </w:r>
      <w:r>
        <w:rPr>
          <w:rFonts w:ascii="Times New Roman" w:hAnsi="Times New Roman" w:eastAsia="宋体"/>
          <w:color w:val="0563C1"/>
          <w:sz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4"/>
        </w:rPr>
        <w:t>）。</w:t>
      </w:r>
    </w:p>
    <w:p>
      <w:pPr>
        <w:spacing w:before="160" w:after="120" w:line="360" w:lineRule="auto"/>
        <w:outlineLvl w:val="2"/>
      </w:pPr>
      <w:bookmarkStart w:id="7" w:name="_Toc27582"/>
      <w:r>
        <w:rPr>
          <w:rFonts w:ascii="Times New Roman" w:hAnsi="Times New Roman" w:eastAsia="黑体" w:cs="Times New Roman"/>
          <w:b/>
          <w:sz w:val="28"/>
        </w:rPr>
        <w:t>5.1.2 股票</w:t>
      </w:r>
      <w:bookmarkEnd w:id="7"/>
    </w:p>
    <w:p>
      <w:pPr>
        <w:spacing w:after="40" w:line="36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逐年发股额：</w:t>
      </w:r>
      <w:r>
        <w:rPr>
          <w:rFonts w:ascii="Times New Roman" w:hAnsi="Times New Roman" w:eastAsia="宋体" w:cs="Times New Roman"/>
          <w:b/>
          <w:sz w:val="24"/>
        </w:rPr>
        <w:t>= 0</w:t>
      </w:r>
      <w:r>
        <w:rPr>
          <w:rFonts w:ascii="Times New Roman" w:hAnsi="Times New Roman" w:eastAsia="宋体" w:cs="Times New Roman"/>
          <w:b w:val="0"/>
          <w:sz w:val="24"/>
        </w:rPr>
        <w:t>（2020–2025 窗口内无股权融资增发；员工股票计划为小额）。单一类普通股。</w:t>
      </w:r>
      <w:r>
        <w:rPr>
          <w:rFonts w:ascii="Times New Roman" w:hAnsi="Times New Roman" w:eastAsia="宋体" w:cs="Times New Roman"/>
          <w:b/>
          <w:sz w:val="24"/>
        </w:rPr>
        <w:t>窗口外</w:t>
      </w:r>
      <w:r>
        <w:rPr>
          <w:rFonts w:ascii="Times New Roman" w:hAnsi="Times New Roman" w:eastAsia="宋体" w:cs="Times New Roman"/>
          <w:b w:val="0"/>
          <w:sz w:val="24"/>
        </w:rPr>
        <w:t xml:space="preserve">：2026/1 启动 </w:t>
      </w:r>
      <w:r>
        <w:rPr>
          <w:rFonts w:ascii="Times New Roman" w:hAnsi="Times New Roman" w:eastAsia="宋体" w:cs="Times New Roman"/>
          <w:b/>
          <w:sz w:val="24"/>
        </w:rPr>
        <w:t>$20B at-the-market（ATM）增发</w:t>
      </w:r>
      <w:r>
        <w:rPr>
          <w:rFonts w:ascii="Times New Roman" w:hAnsi="Times New Roman" w:eastAsia="宋体" w:cs="Times New Roman"/>
          <w:b w:val="0"/>
          <w:sz w:val="24"/>
        </w:rPr>
        <w:t>——Oracle 历史首次大规模卖股融资，标志现金流已无法同时覆盖 CapEx 与分红（</w:t>
      </w:r>
      <w:r>
        <w:fldChar w:fldCharType="begin"/>
      </w:r>
      <w:r>
        <w:instrText xml:space="preserve"> HYPERLINK "https://www.investing.com/news/sec-filings/oracle-launches-20-billion-atthemarket-stock-offering-and-completes-25-billion-debt-issuance-93CH-4486640"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4"/>
          <w:u w:val="single"/>
        </w:rPr>
        <w:t>Investing.com</w:t>
      </w:r>
      <w:r>
        <w:rPr>
          <w:rFonts w:ascii="Times New Roman" w:hAnsi="Times New Roman" w:eastAsia="宋体"/>
          <w:color w:val="0563C1"/>
          <w:sz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fldChar w:fldCharType="begin"/>
      </w:r>
      <w:r>
        <w:instrText xml:space="preserve"> HYPERLINK "https://www.datacenterdynamics.com/en/news/oracle-officially-launches-25bn-bond-offering-and-20bn-equity-distribution-agreement/"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4"/>
          <w:u w:val="single"/>
        </w:rPr>
        <w:t>DCD</w:t>
      </w:r>
      <w:r>
        <w:rPr>
          <w:rFonts w:ascii="Times New Roman" w:hAnsi="Times New Roman" w:eastAsia="宋体"/>
          <w:color w:val="0563C1"/>
          <w:sz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4"/>
        </w:rPr>
        <w:t>）。</w:t>
      </w:r>
    </w:p>
    <w:p>
      <w:pPr>
        <w:spacing w:after="40" w:line="36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回购：从"回购巨鲸"急刹车——</w:t>
      </w:r>
      <w:r>
        <w:rPr>
          <w:rFonts w:ascii="Times New Roman" w:hAnsi="Times New Roman" w:eastAsia="宋体" w:cs="Times New Roman"/>
          <w:b/>
          <w:sz w:val="24"/>
        </w:rPr>
        <w:t>FY2020 = 19,240 / FY2021 = 20,934 / FY2022 = 16,248 / FY2023 = 1,300 / FY2024 = 1,200 / FY2025 = 5,300（$M）</w:t>
      </w:r>
      <w:r>
        <w:rPr>
          <w:rFonts w:ascii="Times New Roman" w:hAnsi="Times New Roman" w:eastAsia="宋体" w:cs="Times New Roman"/>
          <w:b w:val="0"/>
          <w:sz w:val="24"/>
        </w:rPr>
        <w:t>【</w:t>
      </w:r>
      <w:r>
        <w:rPr>
          <w:rFonts w:hint="eastAsia" w:cs="Times New Roman"/>
          <w:b w:val="0"/>
          <w:sz w:val="24"/>
          <w:lang w:val="en-US" w:eastAsia="zh-CN"/>
        </w:rPr>
        <w:t>来源：</w:t>
      </w:r>
      <w:r>
        <w:rPr>
          <w:rFonts w:ascii="Times New Roman" w:hAnsi="Times New Roman" w:eastAsia="宋体" w:cs="Times New Roman"/>
          <w:b w:val="0"/>
          <w:sz w:val="24"/>
        </w:rPr>
        <w:t xml:space="preserve">各年 10-K/8-K 现金流；FY2024/2025 另见 </w:t>
      </w:r>
      <w:r>
        <w:fldChar w:fldCharType="begin"/>
      </w:r>
      <w:r>
        <w:instrText xml:space="preserve"> HYPERLINK "https://www.forbes.com/sites/greatspeculations/2025/10/03/how-oracle-stock-delivered-163b-to-investors/"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4"/>
          <w:u w:val="single"/>
        </w:rPr>
        <w:t>Forbes</w:t>
      </w:r>
      <w:r>
        <w:rPr>
          <w:rFonts w:ascii="Times New Roman" w:hAnsi="Times New Roman" w:eastAsia="宋体"/>
          <w:color w:val="0563C1"/>
          <w:sz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4"/>
        </w:rPr>
        <w:t>】。钱从回购转向 CapEx（FY2023 骤降至 $1.3B）。持续分红。</w:t>
      </w:r>
    </w:p>
    <w:p>
      <w:pPr>
        <w:spacing w:before="160" w:after="120" w:line="360" w:lineRule="auto"/>
        <w:outlineLvl w:val="1"/>
      </w:pPr>
      <w:bookmarkStart w:id="8" w:name="_Toc3820"/>
      <w:r>
        <w:rPr>
          <w:rFonts w:ascii="Times New Roman" w:hAnsi="Times New Roman" w:eastAsia="黑体" w:cs="Times New Roman"/>
          <w:b/>
          <w:sz w:val="28"/>
        </w:rPr>
        <w:t>5.2 Broadcom</w:t>
      </w:r>
      <w:bookmarkEnd w:id="8"/>
    </w:p>
    <w:p>
      <w:pPr>
        <w:spacing w:before="160" w:after="120" w:line="360" w:lineRule="auto"/>
        <w:outlineLvl w:val="2"/>
      </w:pPr>
      <w:bookmarkStart w:id="9" w:name="_Toc8980"/>
      <w:r>
        <w:rPr>
          <w:rFonts w:ascii="Times New Roman" w:hAnsi="Times New Roman" w:eastAsia="黑体" w:cs="Times New Roman"/>
          <w:b/>
          <w:sz w:val="28"/>
        </w:rPr>
        <w:t>5.2.1 债券</w:t>
      </w:r>
      <w:bookmarkEnd w:id="9"/>
    </w:p>
    <w:p>
      <w:pPr>
        <w:spacing w:after="40" w:line="36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逐年发债额：常规年份以再融资为主（$2–10B 级别）；</w:t>
      </w:r>
      <w:r>
        <w:rPr>
          <w:rFonts w:ascii="Times New Roman" w:hAnsi="Times New Roman" w:eastAsia="宋体" w:cs="Times New Roman"/>
          <w:b/>
          <w:sz w:val="24"/>
        </w:rPr>
        <w:t>一次性巨额举债 = 2023/11 VMware 收购</w:t>
      </w:r>
      <w:r>
        <w:rPr>
          <w:rFonts w:ascii="Times New Roman" w:hAnsi="Times New Roman" w:eastAsia="宋体" w:cs="Times New Roman"/>
          <w:b w:val="0"/>
          <w:sz w:val="24"/>
        </w:rPr>
        <w:t xml:space="preserve">：签约 $30.4B 银团定期贷款、2023/11/22 实际提款 </w:t>
      </w:r>
      <w:r>
        <w:rPr>
          <w:rFonts w:ascii="Times New Roman" w:hAnsi="Times New Roman" w:eastAsia="宋体" w:cs="Times New Roman"/>
          <w:b/>
          <w:sz w:val="24"/>
        </w:rPr>
        <w:t>$28,390.6M</w:t>
      </w:r>
      <w:r>
        <w:rPr>
          <w:rFonts w:ascii="Times New Roman" w:hAnsi="Times New Roman" w:eastAsia="宋体" w:cs="Times New Roman"/>
          <w:b w:val="0"/>
          <w:sz w:val="24"/>
        </w:rPr>
        <w:t>——"Broadcom funded the cash portion of the VMware merger consideration with net proceeds from the issuance of $30.4 billion in term loans"（</w:t>
      </w:r>
      <w:r>
        <w:fldChar w:fldCharType="begin"/>
      </w:r>
      <w:r>
        <w:instrText xml:space="preserve"> HYPERLINK "https://investors.broadcom.com/static-files/04a52c18-a0c2-45bd-8153-87ff65e6b01e"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4"/>
          <w:u w:val="single"/>
        </w:rPr>
        <w:t>Broadcom 8-K 2023/11/22</w:t>
      </w:r>
      <w:r>
        <w:rPr>
          <w:rFonts w:ascii="Times New Roman" w:hAnsi="Times New Roman" w:eastAsia="宋体"/>
          <w:color w:val="0563C1"/>
          <w:sz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fldChar w:fldCharType="begin"/>
      </w:r>
      <w:r>
        <w:instrText xml:space="preserve"> HYPERLINK "https://www.bloomberg.com/news/articles/2023-08-17/broadcom-secures-28-4-billion-debt-financing-for-vmware-buy"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4"/>
          <w:u w:val="single"/>
        </w:rPr>
        <w:t>Bloomberg</w:t>
      </w:r>
      <w:r>
        <w:rPr>
          <w:rFonts w:ascii="Times New Roman" w:hAnsi="Times New Roman" w:eastAsia="宋体"/>
          <w:color w:val="0563C1"/>
          <w:sz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4"/>
        </w:rPr>
        <w:t>）。2024 年起陆续发行高级无担保票据置换浮息贷款。</w:t>
      </w:r>
    </w:p>
    <w:p>
      <w:pPr>
        <w:spacing w:after="40" w:line="360" w:lineRule="auto"/>
        <w:ind w:firstLine="480"/>
      </w:pPr>
      <w:r>
        <w:rPr>
          <w:rFonts w:hint="eastAsia" w:cs="Times New Roman"/>
          <w:b w:val="0"/>
          <w:sz w:val="24"/>
          <w:lang w:val="en-US" w:eastAsia="zh-CN"/>
        </w:rPr>
        <w:t>债务类别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Times New Roman" w:hAnsi="Times New Roman" w:eastAsia="宋体" w:cs="Times New Roman"/>
          <w:b/>
          <w:sz w:val="24"/>
        </w:rPr>
        <w:t>投资级高级无担保票据 + 银团定期贷款（term loan）</w:t>
      </w:r>
      <w:r>
        <w:rPr>
          <w:rFonts w:ascii="Times New Roman" w:hAnsi="Times New Roman" w:eastAsia="宋体" w:cs="Times New Roman"/>
          <w:b w:val="0"/>
          <w:sz w:val="24"/>
        </w:rPr>
        <w:t xml:space="preserve">。存量长期债务：VMware 交割后 2024/3 峰值 </w:t>
      </w:r>
      <w:r>
        <w:rPr>
          <w:rFonts w:ascii="Times New Roman" w:hAnsi="Times New Roman" w:eastAsia="宋体" w:cs="Times New Roman"/>
          <w:b/>
          <w:sz w:val="24"/>
        </w:rPr>
        <w:t>$73.5B</w:t>
      </w:r>
      <w:r>
        <w:rPr>
          <w:rFonts w:ascii="Times New Roman" w:hAnsi="Times New Roman" w:eastAsia="宋体" w:cs="Times New Roman"/>
          <w:b w:val="0"/>
          <w:sz w:val="24"/>
        </w:rPr>
        <w:t xml:space="preserve"> → 2024/12 降至 </w:t>
      </w:r>
      <w:r>
        <w:rPr>
          <w:rFonts w:ascii="Times New Roman" w:hAnsi="Times New Roman" w:eastAsia="宋体" w:cs="Times New Roman"/>
          <w:b/>
          <w:sz w:val="24"/>
        </w:rPr>
        <w:t>$66.3B</w:t>
      </w:r>
      <w:r>
        <w:rPr>
          <w:rFonts w:ascii="Times New Roman" w:hAnsi="Times New Roman" w:eastAsia="宋体" w:cs="Times New Roman"/>
          <w:b w:val="0"/>
          <w:sz w:val="24"/>
        </w:rPr>
        <w:t>（快速去杠杆，</w:t>
      </w:r>
      <w:r>
        <w:fldChar w:fldCharType="begin"/>
      </w:r>
      <w:r>
        <w:instrText xml:space="preserve"> HYPERLINK "https://www.ainvest.com/aime/share/financed-debt-broadcom-5b004c/"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4"/>
          <w:u w:val="single"/>
        </w:rPr>
        <w:t>AInvest 数据汇总</w:t>
      </w:r>
      <w:r>
        <w:rPr>
          <w:rFonts w:ascii="Times New Roman" w:hAnsi="Times New Roman" w:eastAsia="宋体"/>
          <w:color w:val="0563C1"/>
          <w:sz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4"/>
        </w:rPr>
        <w:t>）。</w:t>
      </w:r>
    </w:p>
    <w:p>
      <w:pPr>
        <w:spacing w:before="160" w:after="120" w:line="360" w:lineRule="auto"/>
        <w:outlineLvl w:val="2"/>
      </w:pPr>
      <w:bookmarkStart w:id="10" w:name="_Toc15031"/>
      <w:r>
        <w:rPr>
          <w:rFonts w:ascii="Times New Roman" w:hAnsi="Times New Roman" w:eastAsia="黑体" w:cs="Times New Roman"/>
          <w:b/>
          <w:sz w:val="28"/>
        </w:rPr>
        <w:t>5.2.2 股票</w:t>
      </w:r>
      <w:bookmarkEnd w:id="10"/>
    </w:p>
    <w:p>
      <w:pPr>
        <w:spacing w:after="40" w:line="36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逐年发股额（现金流口径）：≈ 0（员工计划外无现金增发）。</w:t>
      </w:r>
      <w:r>
        <w:rPr>
          <w:rFonts w:ascii="Times New Roman" w:hAnsi="Times New Roman" w:eastAsia="宋体" w:cs="Times New Roman"/>
          <w:b/>
          <w:sz w:val="24"/>
        </w:rPr>
        <w:t>但 2023/11 VMware 对价约一半以新发 AVGO 股票支付</w:t>
      </w:r>
      <w:r>
        <w:rPr>
          <w:rFonts w:ascii="Times New Roman" w:hAnsi="Times New Roman" w:eastAsia="宋体" w:cs="Times New Roman"/>
          <w:b w:val="0"/>
          <w:sz w:val="24"/>
        </w:rPr>
        <w:t>（$61B 交易 = 现金约 $30.4B + 股票约 $30B，非现金发行、不进现金流发股行）——"Broadcom to Acquire VMware for Approximately $61 Billion in Cash and Stock"（</w:t>
      </w:r>
      <w:r>
        <w:fldChar w:fldCharType="begin"/>
      </w:r>
      <w:r>
        <w:instrText xml:space="preserve"> HYPERLINK "https://investors.broadcom.com/news-releases/news-release-details/broadcom-acquire-vmware-approximately-61-billion-cash-and-stock"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4"/>
          <w:u w:val="single"/>
        </w:rPr>
        <w:t>Broadcom 新闻稿</w:t>
      </w:r>
      <w:r>
        <w:rPr>
          <w:rFonts w:ascii="Times New Roman" w:hAnsi="Times New Roman" w:eastAsia="宋体"/>
          <w:color w:val="0563C1"/>
          <w:sz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4"/>
        </w:rPr>
        <w:t>）。单一类普通股。</w:t>
      </w:r>
    </w:p>
    <w:p>
      <w:pPr>
        <w:spacing w:after="40" w:line="36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回购（回购计划口径，$M）：FY2020 ≈ 5,400</w:t>
      </w:r>
      <w:r>
        <w:rPr>
          <w:rFonts w:hint="eastAsia" w:cs="Times New Roman"/>
          <w:b w:val="0"/>
          <w:sz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b w:val="0"/>
          <w:sz w:val="24"/>
        </w:rPr>
        <w:t>/ FY2021 = 0 / FY2022 = 7,000 / FY2023 = 5,824 / FY2024 = 7,176 / FY2025 = 2,450【FY2021–2025 已核实——用户核对 10-K 现金流"repurchases - repurchase program"行；2025/4 另获 $10B 新授权，</w:t>
      </w:r>
      <w:r>
        <w:fldChar w:fldCharType="begin"/>
      </w:r>
      <w:r>
        <w:instrText xml:space="preserve"> HYPERLINK "https://www.broadcom.com/company/news/financial-releases/63036"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4"/>
          <w:u w:val="single"/>
        </w:rPr>
        <w:t>公告</w:t>
      </w:r>
      <w:r>
        <w:rPr>
          <w:rFonts w:ascii="Times New Roman" w:hAnsi="Times New Roman" w:eastAsia="宋体"/>
          <w:color w:val="0563C1"/>
          <w:sz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4"/>
        </w:rPr>
        <w:t>】。另有大额分红。</w:t>
      </w:r>
    </w:p>
    <w:p>
      <w:pPr>
        <w:spacing w:before="160" w:after="120" w:line="360" w:lineRule="auto"/>
        <w:outlineLvl w:val="1"/>
      </w:pPr>
      <w:bookmarkStart w:id="11" w:name="_Toc20460"/>
      <w:r>
        <w:rPr>
          <w:rFonts w:ascii="Times New Roman" w:hAnsi="Times New Roman" w:eastAsia="黑体" w:cs="Times New Roman"/>
          <w:b/>
          <w:sz w:val="28"/>
        </w:rPr>
        <w:t>5.3 AMD</w:t>
      </w:r>
      <w:bookmarkEnd w:id="11"/>
    </w:p>
    <w:p>
      <w:pPr>
        <w:spacing w:before="160" w:after="120" w:line="360" w:lineRule="auto"/>
        <w:outlineLvl w:val="2"/>
      </w:pPr>
      <w:bookmarkStart w:id="12" w:name="_Toc12961"/>
      <w:r>
        <w:rPr>
          <w:rFonts w:ascii="Times New Roman" w:hAnsi="Times New Roman" w:eastAsia="黑体" w:cs="Times New Roman"/>
          <w:b/>
          <w:sz w:val="28"/>
        </w:rPr>
        <w:t>5.3.1 债券</w:t>
      </w:r>
      <w:bookmarkEnd w:id="12"/>
    </w:p>
    <w:p>
      <w:pPr>
        <w:spacing w:after="40" w:line="36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债务存量（资产负债表，$M）：长期债务 2024 = 1,721 → 2025 = 2,348，另 2025 出现当期到期部分/商业票据 874，2025 总债务约 3,222，较 2024 增约 $1.5B。该新增借款系为 ZT Systems 收购融资——2025 现金流"发行债务及商业票据"$2,441M、偿还 $950M，净增约 $1.49B（与存量增幅吻合）；AMD 明示以"自有现金 + 新债"支付 ZT 的 $3.2B 现金对价（2025/3/31 完成，总价约 $4.9B，含 830 万股 AMD 股票）。债务构成：经 2022/2 Xilinx 并购承接的 2.95%/2024（$750M，已于 2024/6 到期兑付）与 2.375%/2030（$750M），及 AMD 2022/6 自发的 3.924%/2032（$500M）+ 4.393%/2052（$500M）——均为高级无担保票据（senior unsecured notes）。仍为净现金公司：2025 现金及等价物 $5,539M + 短期投资 $5,013M = $10,552M，远高于总债务 $3,222M（2024 为现金+短投 $5,132M vs 债务 $1,721M）。</w:t>
      </w:r>
      <w:r>
        <w:rPr>
          <w:rFonts w:ascii="Times New Roman" w:hAnsi="Times New Roman" w:eastAsia="宋体" w:cs="Times New Roman"/>
          <w:b/>
          <w:sz w:val="24"/>
        </w:rPr>
      </w:r>
      <w:r>
        <w:rPr>
          <w:rFonts w:ascii="Times New Roman" w:hAnsi="Times New Roman" w:eastAsia="宋体" w:cs="Times New Roman"/>
          <w:b w:val="0"/>
          <w:sz w:val="24"/>
        </w:rPr>
      </w:r>
      <w:r>
        <w:rPr>
          <w:rFonts w:ascii="Times New Roman" w:hAnsi="Times New Roman" w:eastAsia="宋体" w:cs="Times New Roman"/>
          <w:b/>
          <w:sz w:val="24"/>
        </w:rPr>
      </w:r>
      <w:r>
        <w:rPr>
          <w:rFonts w:ascii="Times New Roman" w:hAnsi="Times New Roman" w:eastAsia="宋体" w:cs="Times New Roman"/>
          <w:b w:val="0"/>
          <w:sz w:val="24"/>
        </w:rPr>
      </w:r>
      <w:r>
        <w:rPr>
          <w:rFonts w:ascii="Times New Roman" w:hAnsi="Times New Roman" w:eastAsia="宋体" w:cs="Times New Roman"/>
          <w:b/>
          <w:sz w:val="24"/>
        </w:rPr>
      </w:r>
      <w:r>
        <w:rPr>
          <w:rFonts w:ascii="Times New Roman" w:hAnsi="Times New Roman" w:eastAsia="宋体" w:cs="Times New Roman"/>
          <w:b w:val="0"/>
          <w:sz w:val="24"/>
        </w:rPr>
      </w:r>
      <w:r>
        <w:rPr>
          <w:rFonts w:ascii="Times New Roman" w:hAnsi="Times New Roman" w:eastAsia="宋体" w:cs="Times New Roman"/>
          <w:b/>
          <w:sz w:val="24"/>
        </w:rPr>
      </w:r>
      <w:r>
        <w:rPr>
          <w:rFonts w:ascii="Times New Roman" w:hAnsi="Times New Roman" w:eastAsia="宋体" w:cs="Times New Roman"/>
          <w:b w:val="0"/>
          <w:sz w:val="24"/>
        </w:rPr>
      </w:r>
      <w:r>
        <w:rPr>
          <w:rFonts w:hint="eastAsia" w:cs="Times New Roman"/>
          <w:b w:val="0"/>
          <w:sz w:val="24"/>
          <w:lang w:eastAsia="zh-CN"/>
        </w:rPr>
      </w:r>
      <w:r>
        <w:rPr>
          <w:rFonts w:ascii="Times New Roman" w:hAnsi="Times New Roman" w:eastAsia="宋体" w:cs="Times New Roman"/>
          <w:b w:val="0"/>
          <w:sz w:val="24"/>
        </w:rPr>
      </w:r>
      <w:r>
        <w:rPr>
          <w:rFonts w:ascii="Times New Roman" w:hAnsi="Times New Roman" w:eastAsia="宋体" w:cs="Times New Roman"/>
          <w:b/>
          <w:sz w:val="24"/>
        </w:rPr>
      </w:r>
      <w:r>
        <w:rPr>
          <w:rFonts w:ascii="Times New Roman" w:hAnsi="Times New Roman" w:eastAsia="宋体" w:cs="Times New Roman"/>
          <w:b w:val="0"/>
          <w:sz w:val="24"/>
        </w:rPr>
      </w:r>
    </w:p>
    <w:p>
      <w:pPr>
        <w:spacing w:before="160" w:after="120" w:line="360" w:lineRule="auto"/>
        <w:outlineLvl w:val="2"/>
      </w:pPr>
      <w:bookmarkStart w:id="13" w:name="_Toc16240"/>
      <w:r>
        <w:rPr>
          <w:rFonts w:ascii="Times New Roman" w:hAnsi="Times New Roman" w:eastAsia="黑体" w:cs="Times New Roman"/>
          <w:b/>
          <w:sz w:val="28"/>
        </w:rPr>
        <w:t>5.3.2 股票</w:t>
      </w:r>
      <w:bookmarkEnd w:id="13"/>
    </w:p>
    <w:p>
      <w:pPr>
        <w:spacing w:after="40" w:line="36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逐年发股额（现金流口径）≈ 0（无现金增发）。</w:t>
      </w:r>
      <w:r>
        <w:rPr>
          <w:rFonts w:ascii="Times New Roman" w:hAnsi="Times New Roman" w:eastAsia="宋体" w:cs="Times New Roman"/>
          <w:b/>
          <w:sz w:val="24"/>
        </w:rPr>
        <w:t>但两笔重大股票支付</w:t>
      </w:r>
      <w:r>
        <w:rPr>
          <w:rFonts w:ascii="Times New Roman" w:hAnsi="Times New Roman" w:eastAsia="宋体" w:cs="Times New Roman"/>
          <w:b w:val="0"/>
          <w:sz w:val="24"/>
        </w:rPr>
        <w:t>（非现金、不进现金流发股行，却是真实稀释）：</w:t>
      </w:r>
    </w:p>
    <w:p>
      <w:pPr>
        <w:spacing w:after="40" w:line="360" w:lineRule="auto"/>
        <w:ind w:firstLine="480"/>
        <w:rPr>
          <w:rFonts w:hint="eastAsia" w:eastAsia="宋体"/>
          <w:lang w:eastAsia="zh-CN"/>
        </w:rPr>
      </w:pPr>
      <w:r>
        <w:rPr>
          <w:rFonts w:ascii="Times New Roman" w:hAnsi="Times New Roman" w:eastAsia="宋体" w:cs="Times New Roman"/>
          <w:b w:val="0"/>
          <w:sz w:val="24"/>
        </w:rPr>
        <w:t xml:space="preserve">1. </w:t>
      </w:r>
      <w:r>
        <w:rPr>
          <w:rFonts w:ascii="Times New Roman" w:hAnsi="Times New Roman" w:eastAsia="宋体" w:cs="Times New Roman"/>
          <w:b/>
          <w:sz w:val="24"/>
        </w:rPr>
        <w:t>Xilinx 全股票收购</w:t>
      </w:r>
      <w:r>
        <w:rPr>
          <w:rFonts w:ascii="Times New Roman" w:hAnsi="Times New Roman" w:eastAsia="宋体" w:cs="Times New Roman"/>
          <w:b w:val="0"/>
          <w:sz w:val="24"/>
        </w:rPr>
        <w:t xml:space="preserve">（2022/2/14 完成）：全股票对价，交割时价值约 </w:t>
      </w:r>
      <w:r>
        <w:rPr>
          <w:rFonts w:ascii="Times New Roman" w:hAnsi="Times New Roman" w:eastAsia="宋体" w:cs="Times New Roman"/>
          <w:b/>
          <w:sz w:val="24"/>
        </w:rPr>
        <w:t>$49B</w:t>
      </w:r>
      <w:r>
        <w:rPr>
          <w:rFonts w:ascii="Times New Roman" w:hAnsi="Times New Roman" w:eastAsia="宋体" w:cs="Times New Roman"/>
          <w:b w:val="0"/>
          <w:sz w:val="24"/>
        </w:rPr>
        <w:t>，AMD 为此增发约 4.3 亿股——"AMD Closes $49 Billion Acquisition of Xilinx—Largest Chip Deal Ever"（</w:t>
      </w:r>
      <w:r>
        <w:fldChar w:fldCharType="begin"/>
      </w:r>
      <w:r>
        <w:instrText xml:space="preserve"> HYPERLINK "https://www.electronicdesign.com/technologies/embedded/article/21216849/electronic-design-amd-closes-49-billion-acquisition-of-xilinxlargest-chip-deal-ever"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4"/>
          <w:u w:val="single"/>
        </w:rPr>
        <w:t>Electronic Design</w:t>
      </w:r>
      <w:r>
        <w:rPr>
          <w:rFonts w:ascii="Times New Roman" w:hAnsi="Times New Roman" w:eastAsia="宋体"/>
          <w:color w:val="0563C1"/>
          <w:sz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fldChar w:fldCharType="begin"/>
      </w:r>
      <w:r>
        <w:instrText xml:space="preserve"> HYPERLINK "https://www.sec.gov/Archives/edgar/data/0000002488/000000248822000031/xilinxacquisitionclosepres.htm"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4"/>
          <w:u w:val="single"/>
        </w:rPr>
        <w:t>AMD 8-K</w:t>
      </w:r>
      <w:r>
        <w:rPr>
          <w:rFonts w:ascii="Times New Roman" w:hAnsi="Times New Roman" w:eastAsia="宋体"/>
          <w:color w:val="0563C1"/>
          <w:sz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4"/>
        </w:rPr>
        <w:t>）</w:t>
      </w:r>
    </w:p>
    <w:p>
      <w:pPr>
        <w:spacing w:after="40" w:line="360" w:lineRule="auto"/>
        <w:ind w:firstLine="480"/>
        <w:rPr>
          <w:rFonts w:hint="eastAsia" w:eastAsia="宋体"/>
          <w:lang w:eastAsia="zh-CN"/>
        </w:rPr>
      </w:pPr>
      <w:r>
        <w:rPr>
          <w:rFonts w:ascii="Times New Roman" w:hAnsi="Times New Roman" w:eastAsia="宋体" w:cs="Times New Roman"/>
          <w:b w:val="0"/>
          <w:sz w:val="24"/>
        </w:rPr>
        <w:t xml:space="preserve">2. </w:t>
      </w:r>
      <w:r>
        <w:rPr>
          <w:rFonts w:ascii="Times New Roman" w:hAnsi="Times New Roman" w:eastAsia="宋体" w:cs="Times New Roman"/>
          <w:b/>
          <w:sz w:val="24"/>
        </w:rPr>
        <w:t>OpenAI 认股权证</w:t>
      </w:r>
      <w:r>
        <w:rPr>
          <w:rFonts w:ascii="Times New Roman" w:hAnsi="Times New Roman" w:eastAsia="宋体" w:cs="Times New Roman"/>
          <w:b w:val="0"/>
          <w:sz w:val="24"/>
        </w:rPr>
        <w:t xml:space="preserve">（2025/10/6）：向 OpenAI 发出最多 </w:t>
      </w:r>
      <w:r>
        <w:rPr>
          <w:rFonts w:ascii="Times New Roman" w:hAnsi="Times New Roman" w:eastAsia="宋体" w:cs="Times New Roman"/>
          <w:b/>
          <w:sz w:val="24"/>
        </w:rPr>
        <w:t>1.6 亿股</w:t>
      </w:r>
      <w:r>
        <w:rPr>
          <w:rFonts w:ascii="Times New Roman" w:hAnsi="Times New Roman" w:eastAsia="宋体" w:cs="Times New Roman"/>
          <w:b w:val="0"/>
          <w:sz w:val="24"/>
        </w:rPr>
        <w:t>认股权证（行权价 $0.01/股，≈总股本 10%），分批归属、绑定 6GW Instinct GPU 采购里程碑 + AMD 股价目标（最后一档 $600）——"AMD issued to OpenAI a warrant to purchase up to 160 million shares of common stock at an exercise price of $0.01 per share…full vesting contingent upon purchasing six (6) gigawatts"（</w:t>
      </w:r>
      <w:r>
        <w:fldChar w:fldCharType="begin"/>
      </w:r>
      <w:r>
        <w:instrText xml:space="preserve"> HYPERLINK "https://ir.amd.com/financial-information/sec-filings/content/0001193125-25-230895/d28189d8k.htm"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4"/>
          <w:u w:val="single"/>
        </w:rPr>
        <w:t>AMD 8-K/官方新闻稿</w:t>
      </w:r>
      <w:r>
        <w:rPr>
          <w:rFonts w:ascii="Times New Roman" w:hAnsi="Times New Roman" w:eastAsia="宋体"/>
          <w:color w:val="0563C1"/>
          <w:sz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fldChar w:fldCharType="begin"/>
      </w:r>
      <w:r>
        <w:instrText xml:space="preserve"> HYPERLINK "https://www.cnbc.com/2025/10/06/openai-amd-chip-deal-ai.html"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4"/>
          <w:u w:val="single"/>
        </w:rPr>
        <w:t>CNBC</w:t>
      </w:r>
      <w:r>
        <w:rPr>
          <w:rFonts w:ascii="Times New Roman" w:hAnsi="Times New Roman" w:eastAsia="宋体"/>
          <w:color w:val="0563C1"/>
          <w:sz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4"/>
        </w:rPr>
        <w:t>）</w:t>
      </w:r>
    </w:p>
    <w:p>
      <w:pPr>
        <w:spacing w:after="40" w:line="36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单一类普通股。回购（$M）：</w:t>
      </w:r>
      <w:r>
        <w:rPr>
          <w:rFonts w:ascii="Times New Roman" w:hAnsi="Times New Roman" w:eastAsia="宋体" w:cs="Times New Roman"/>
          <w:b/>
          <w:sz w:val="24"/>
        </w:rPr>
        <w:t>2020 = 0 / 2021 = 1,762 / 2022 = 3,702 / 2023 = 985 / 2024 = 862 / 2025 = 1,316</w:t>
      </w:r>
      <w:r>
        <w:rPr>
          <w:rFonts w:ascii="Times New Roman" w:hAnsi="Times New Roman" w:eastAsia="宋体" w:cs="Times New Roman"/>
          <w:b w:val="0"/>
          <w:sz w:val="24"/>
        </w:rPr>
        <w:t xml:space="preserve">；五年合计 $8,627M ≈ </w:t>
      </w:r>
      <w:r>
        <w:rPr>
          <w:rFonts w:ascii="Times New Roman" w:hAnsi="Times New Roman" w:eastAsia="宋体" w:cs="Times New Roman"/>
          <w:b/>
          <w:sz w:val="24"/>
        </w:rPr>
        <w:t>$8.6B</w:t>
      </w:r>
      <w:r>
        <w:rPr>
          <w:rFonts w:ascii="Times New Roman" w:hAnsi="Times New Roman" w:eastAsia="宋体" w:cs="Times New Roman"/>
          <w:b w:val="0"/>
          <w:sz w:val="24"/>
        </w:rPr>
        <w:t>【全部已核实——</w:t>
      </w:r>
      <w:r>
        <w:fldChar w:fldCharType="begin"/>
      </w:r>
      <w:r>
        <w:instrText xml:space="preserve"> HYPERLINK "https://www.stock-analysis-on.net/NASDAQ/Company/Advanced-Micro-Devices-Inc/Financial-Statement/Statement-of-Cash-Flows"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4"/>
          <w:u w:val="single"/>
        </w:rPr>
        <w:t>stock-analysis-on.net</w:t>
      </w:r>
      <w:r>
        <w:rPr>
          <w:rFonts w:ascii="Times New Roman" w:hAnsi="Times New Roman" w:eastAsia="宋体"/>
          <w:color w:val="0563C1"/>
          <w:sz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4"/>
        </w:rPr>
        <w:t xml:space="preserve">，合计另见 </w:t>
      </w:r>
      <w:r>
        <w:fldChar w:fldCharType="begin"/>
      </w:r>
      <w:r>
        <w:instrText xml:space="preserve"> HYPERLINK "https://www.thestreet.com/investing/stocks/amd-stock-buybacks"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4"/>
          <w:u w:val="single"/>
        </w:rPr>
        <w:t>TheStreet</w:t>
      </w:r>
      <w:r>
        <w:rPr>
          <w:rFonts w:ascii="Times New Roman" w:hAnsi="Times New Roman" w:eastAsia="宋体"/>
          <w:color w:val="0563C1"/>
          <w:sz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4"/>
        </w:rPr>
        <w:t>】。不分红。</w:t>
      </w:r>
    </w:p>
    <w:p>
      <w:pPr>
        <w:spacing w:before="160" w:after="120" w:line="360" w:lineRule="auto"/>
        <w:outlineLvl w:val="1"/>
      </w:pPr>
      <w:bookmarkStart w:id="14" w:name="_Toc26220"/>
      <w:r>
        <w:rPr>
          <w:rFonts w:ascii="Times New Roman" w:hAnsi="Times New Roman" w:eastAsia="黑体" w:cs="Times New Roman"/>
          <w:b/>
          <w:sz w:val="28"/>
        </w:rPr>
        <w:t>5.4 CoreWeave</w:t>
      </w:r>
      <w:bookmarkEnd w:id="14"/>
    </w:p>
    <w:p>
      <w:pPr>
        <w:spacing w:before="160" w:after="120" w:line="360" w:lineRule="auto"/>
        <w:outlineLvl w:val="2"/>
      </w:pPr>
      <w:bookmarkStart w:id="15" w:name="_Toc1199"/>
      <w:r>
        <w:rPr>
          <w:rFonts w:ascii="Times New Roman" w:hAnsi="Times New Roman" w:eastAsia="黑体" w:cs="Times New Roman"/>
          <w:b/>
          <w:sz w:val="28"/>
        </w:rPr>
        <w:t>5.4.1 债券</w:t>
      </w:r>
      <w:bookmarkEnd w:id="15"/>
    </w:p>
    <w:p>
      <w:pPr>
        <w:spacing w:after="40" w:line="360" w:lineRule="auto"/>
        <w:ind w:firstLine="480"/>
        <w:rPr>
          <w:rFonts w:ascii="Times New Roman" w:hAnsi="Times New Roman" w:eastAsia="宋体" w:cs="Times New Roman"/>
          <w:b w:val="0"/>
          <w:sz w:val="24"/>
        </w:rPr>
      </w:pPr>
      <w:r>
        <w:rPr>
          <w:rFonts w:ascii="Times New Roman" w:hAnsi="Times New Roman" w:eastAsia="宋体" w:cs="Times New Roman"/>
          <w:b w:val="0"/>
          <w:sz w:val="24"/>
        </w:rPr>
        <w:t>逐年发债额（按各笔签约/发行年，$M）：</w:t>
      </w:r>
      <w:r>
        <w:rPr>
          <w:rFonts w:ascii="Times New Roman" w:hAnsi="Times New Roman" w:eastAsia="宋体" w:cs="Times New Roman"/>
          <w:b/>
          <w:sz w:val="24"/>
        </w:rPr>
        <w:t>2023 ≈ 2,300 / 2024 ≈ 8,250（DDTL2.0 $7,600 + 循环信贷 $650）/ 2025 ≈ 4,600+（高收益债 $2,000 + DDTL3.0 $2,600）</w:t>
      </w:r>
      <w:r>
        <w:rPr>
          <w:rFonts w:ascii="Times New Roman" w:hAnsi="Times New Roman" w:eastAsia="宋体" w:cs="Times New Roman"/>
          <w:b w:val="0"/>
          <w:sz w:val="24"/>
        </w:rPr>
        <w:t xml:space="preserve">；存量总债务 2025/6/30 约 </w:t>
      </w:r>
      <w:r>
        <w:rPr>
          <w:rFonts w:ascii="Times New Roman" w:hAnsi="Times New Roman" w:eastAsia="宋体" w:cs="Times New Roman"/>
          <w:b/>
          <w:sz w:val="24"/>
        </w:rPr>
        <w:t>$11.2B</w:t>
      </w:r>
      <w:r>
        <w:rPr>
          <w:rFonts w:ascii="Times New Roman" w:hAnsi="Times New Roman" w:eastAsia="宋体" w:cs="Times New Roman"/>
          <w:b w:val="0"/>
          <w:sz w:val="24"/>
        </w:rPr>
        <w:t>（半年 +40%）——"total debt up 40% in six months, climbing to $11.17 billion"（</w:t>
      </w:r>
      <w:r>
        <w:fldChar w:fldCharType="begin"/>
      </w:r>
      <w:r>
        <w:instrText xml:space="preserve"> HYPERLINK "https://www.levelheadedinvesting.com/p/when-growth-runs-on-debt-the-coreweave-case-study"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4"/>
          <w:u w:val="single"/>
        </w:rPr>
        <w:t>LevelHeaded Investing 案例研究</w:t>
      </w:r>
      <w:r>
        <w:rPr>
          <w:rFonts w:ascii="Times New Roman" w:hAnsi="Times New Roman" w:eastAsia="宋体"/>
          <w:color w:val="0563C1"/>
          <w:sz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4"/>
        </w:rPr>
        <w:t>）</w:t>
      </w:r>
    </w:p>
    <w:p>
      <w:pPr>
        <w:spacing w:after="40" w:line="360" w:lineRule="auto"/>
        <w:ind w:firstLine="480"/>
      </w:pPr>
      <w:r>
        <w:rPr>
          <w:rFonts w:hint="eastAsia" w:cs="Times New Roman"/>
          <w:b w:val="0"/>
          <w:sz w:val="24"/>
          <w:lang w:val="en-US" w:eastAsia="zh-CN"/>
        </w:rPr>
        <w:t>债券类别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Times New Roman" w:hAnsi="Times New Roman" w:eastAsia="宋体" w:cs="Times New Roman"/>
          <w:b/>
          <w:sz w:val="24"/>
        </w:rPr>
        <w:t>与另三家完全不同——以英伟达 GPU 及客户合同做抵押的延迟提款定期贷款（DDTL）+ 高收益无担保债</w:t>
      </w:r>
      <w:r>
        <w:rPr>
          <w:rFonts w:ascii="Times New Roman" w:hAnsi="Times New Roman" w:eastAsia="宋体" w:cs="Times New Roman"/>
          <w:b w:val="0"/>
          <w:sz w:val="24"/>
        </w:rPr>
        <w:t>，利率远高于投资级：</w:t>
      </w:r>
    </w:p>
    <w:p>
      <w:pPr>
        <w:spacing w:after="40" w:line="36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• DDTL 1.0（2023）：$2.3B，浮息约 </w:t>
      </w:r>
      <w:r>
        <w:rPr>
          <w:rFonts w:ascii="Times New Roman" w:hAnsi="Times New Roman" w:eastAsia="宋体" w:cs="Times New Roman"/>
          <w:b/>
          <w:sz w:val="24"/>
        </w:rPr>
        <w:t>15%</w:t>
      </w:r>
      <w:r>
        <w:rPr>
          <w:rFonts w:ascii="Times New Roman" w:hAnsi="Times New Roman" w:eastAsia="宋体" w:cs="Times New Roman"/>
          <w:b w:val="0"/>
          <w:sz w:val="24"/>
        </w:rPr>
        <w:t>，2028/3 到期——"DDTL 1.0, arranged in 2023 for up to $2.3 billion, carries a floating rate of roughly 15%"（</w:t>
      </w:r>
      <w:r>
        <w:fldChar w:fldCharType="begin"/>
      </w:r>
      <w:r>
        <w:instrText xml:space="preserve"> HYPERLINK "https://www.levelheadedinvesting.com/p/when-growth-runs-on-debt-the-coreweave-case-study"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4"/>
          <w:u w:val="single"/>
        </w:rPr>
        <w:t>LevelHeaded</w:t>
      </w:r>
      <w:r>
        <w:rPr>
          <w:rFonts w:ascii="Times New Roman" w:hAnsi="Times New Roman" w:eastAsia="宋体"/>
          <w:color w:val="0563C1"/>
          <w:sz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4"/>
        </w:rPr>
        <w:t>）</w:t>
      </w:r>
    </w:p>
    <w:p>
      <w:pPr>
        <w:spacing w:after="40" w:line="36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• DDTL 2.0（2024/5）：$7.6B，均价约 </w:t>
      </w:r>
      <w:r>
        <w:rPr>
          <w:rFonts w:ascii="Times New Roman" w:hAnsi="Times New Roman" w:eastAsia="宋体" w:cs="Times New Roman"/>
          <w:b/>
          <w:sz w:val="24"/>
        </w:rPr>
        <w:t>11%</w:t>
      </w:r>
      <w:r>
        <w:rPr>
          <w:rFonts w:ascii="Times New Roman" w:hAnsi="Times New Roman" w:eastAsia="宋体" w:cs="Times New Roman"/>
          <w:b w:val="0"/>
          <w:sz w:val="24"/>
        </w:rPr>
        <w:t>（同上）</w:t>
      </w:r>
    </w:p>
    <w:p>
      <w:pPr>
        <w:spacing w:after="40" w:line="36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• 高收益债（2025/5/27 完成）：$2B、2030/6/1 到期——"CoreWeave raises $2bn in high yield bond offering"（</w:t>
      </w:r>
      <w:r>
        <w:fldChar w:fldCharType="begin"/>
      </w:r>
      <w:r>
        <w:instrText xml:space="preserve"> HYPERLINK "https://www.datacenterdynamics.com/en/news/coreweave-raises-2bn-in-high-yield-bond-offering/"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4"/>
          <w:u w:val="single"/>
        </w:rPr>
        <w:t>DCD</w:t>
      </w:r>
      <w:r>
        <w:rPr>
          <w:rFonts w:ascii="Times New Roman" w:hAnsi="Times New Roman" w:eastAsia="宋体"/>
          <w:color w:val="0563C1"/>
          <w:sz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4"/>
        </w:rPr>
        <w:t>）</w:t>
      </w:r>
    </w:p>
    <w:p>
      <w:pPr>
        <w:spacing w:after="40" w:line="36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• DDTL 3.0（2025/7）：$2.6B，为"战略客户"扩容——"CoreWeave Closes $2.6 Billion Secured Debt Financing Facility"（</w:t>
      </w:r>
      <w:r>
        <w:fldChar w:fldCharType="begin"/>
      </w:r>
      <w:r>
        <w:instrText xml:space="preserve"> HYPERLINK "https://investors.coreweave.com/news/news-details/2025/CoreWeave-Closes-2-6-Billion-Secured-Debt-Financing-Facility-Strengthening-Market-Position-as-AI-Cloud-Leader/default.aspx"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4"/>
          <w:u w:val="single"/>
        </w:rPr>
        <w:t>CoreWeave IR</w:t>
      </w:r>
      <w:r>
        <w:rPr>
          <w:rFonts w:ascii="Times New Roman" w:hAnsi="Times New Roman" w:eastAsia="宋体"/>
          <w:color w:val="0563C1"/>
          <w:sz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4"/>
        </w:rPr>
        <w:t>）</w:t>
      </w:r>
    </w:p>
    <w:p>
      <w:pPr>
        <w:spacing w:before="160" w:after="120" w:line="360" w:lineRule="auto"/>
        <w:outlineLvl w:val="2"/>
      </w:pPr>
      <w:bookmarkStart w:id="16" w:name="_Toc15855"/>
      <w:r>
        <w:rPr>
          <w:rFonts w:ascii="Times New Roman" w:hAnsi="Times New Roman" w:eastAsia="黑体" w:cs="Times New Roman"/>
          <w:b/>
          <w:sz w:val="28"/>
        </w:rPr>
        <w:t>5.4.2 股票</w:t>
      </w:r>
      <w:bookmarkEnd w:id="16"/>
    </w:p>
    <w:p>
      <w:pPr>
        <w:spacing w:after="40" w:line="360" w:lineRule="auto"/>
        <w:ind w:firstLine="480"/>
        <w:rPr>
          <w:rFonts w:ascii="Times New Roman" w:hAnsi="Times New Roman" w:eastAsia="宋体" w:cs="Times New Roman"/>
          <w:b/>
          <w:sz w:val="24"/>
        </w:rPr>
      </w:pPr>
      <w:r>
        <w:rPr>
          <w:rFonts w:ascii="Times New Roman" w:hAnsi="Times New Roman" w:eastAsia="宋体" w:cs="Times New Roman"/>
          <w:b w:val="0"/>
          <w:sz w:val="24"/>
        </w:rPr>
        <w:t>逐年发股额：上市前私募股权多轮（Magnetar 领投，2023–2024 累计股权融资约 $2.3B【待核实】；2024/5 轮估值 $19B、2024/10 二级交易估值 $23B）；</w:t>
      </w:r>
      <w:r>
        <w:rPr>
          <w:rFonts w:ascii="Times New Roman" w:hAnsi="Times New Roman" w:eastAsia="宋体" w:cs="Times New Roman"/>
          <w:b/>
          <w:sz w:val="24"/>
        </w:rPr>
        <w:t>2025/3/28 Nasdaq IPO：$40/股，募资约 $1.5B</w:t>
      </w:r>
      <w:r>
        <w:rPr>
          <w:rFonts w:ascii="Times New Roman" w:hAnsi="Times New Roman" w:eastAsia="宋体" w:cs="Times New Roman"/>
          <w:b w:val="0"/>
          <w:sz w:val="24"/>
        </w:rPr>
        <w:t>——"offering shares at $40 each and giving it the potential to raise up to $1.5bn with the IPO"（</w:t>
      </w:r>
      <w:r>
        <w:fldChar w:fldCharType="begin"/>
      </w:r>
      <w:r>
        <w:instrText xml:space="preserve"> HYPERLINK "https://sacra.com/c/coreweave/"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4"/>
          <w:u w:val="single"/>
        </w:rPr>
        <w:t>Sacra</w:t>
      </w:r>
      <w:r>
        <w:rPr>
          <w:rFonts w:ascii="Times New Roman" w:hAnsi="Times New Roman" w:eastAsia="宋体"/>
          <w:color w:val="0563C1"/>
          <w:sz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fldChar w:fldCharType="begin"/>
      </w:r>
      <w:r>
        <w:instrText xml:space="preserve"> HYPERLINK "https://mlq.ai/research/coreweave/"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4"/>
          <w:u w:val="single"/>
        </w:rPr>
        <w:t>mlq.ai</w:t>
      </w:r>
      <w:r>
        <w:rPr>
          <w:rFonts w:ascii="Times New Roman" w:hAnsi="Times New Roman" w:eastAsia="宋体"/>
          <w:color w:val="0563C1"/>
          <w:sz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4"/>
        </w:rPr>
        <w:t>）。2025/5 以约 $1.7B（主要为股票）收购 Weights &amp; Biases；2025/7 宣布全股票收购 Core Scientific（约 $9B），</w:t>
      </w:r>
      <w:r>
        <w:rPr>
          <w:rFonts w:ascii="Times New Roman" w:hAnsi="Times New Roman" w:eastAsia="宋体" w:cs="Times New Roman"/>
          <w:b/>
          <w:sz w:val="24"/>
        </w:rPr>
        <w:t>2025/10 遭对方股东投票否决而告吹</w:t>
      </w:r>
    </w:p>
    <w:p>
      <w:pPr>
        <w:spacing w:after="40" w:line="360" w:lineRule="auto"/>
        <w:ind w:firstLine="480"/>
      </w:pPr>
      <w:r>
        <w:rPr>
          <w:rFonts w:hint="eastAsia" w:cs="Times New Roman"/>
          <w:b w:val="0"/>
          <w:sz w:val="24"/>
          <w:lang w:eastAsia="zh-CN"/>
        </w:rPr>
        <w:t>股票类别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Times New Roman" w:hAnsi="Times New Roman" w:eastAsia="宋体" w:cs="Times New Roman"/>
          <w:b/>
          <w:sz w:val="24"/>
        </w:rPr>
        <w:t>双层股权</w:t>
      </w:r>
      <w:r>
        <w:rPr>
          <w:rFonts w:ascii="Times New Roman" w:hAnsi="Times New Roman" w:eastAsia="宋体" w:cs="Times New Roman"/>
          <w:b w:val="0"/>
          <w:sz w:val="24"/>
        </w:rPr>
        <w:t>——Class A（1 票）公开交易；Class B（10 票）由三位创始人持有，控制约 80% 投票权。无回购、无分红（成长期烧钱公司）。</w:t>
      </w:r>
    </w:p>
    <w:p>
      <w:pPr>
        <w:spacing w:before="160" w:after="120" w:line="360" w:lineRule="auto"/>
        <w:outlineLvl w:val="1"/>
      </w:pPr>
      <w:bookmarkStart w:id="17" w:name="_Toc11525"/>
      <w:r>
        <w:rPr>
          <w:rFonts w:ascii="Times New Roman" w:hAnsi="Times New Roman" w:eastAsia="黑体" w:cs="Times New Roman"/>
          <w:b/>
          <w:sz w:val="28"/>
        </w:rPr>
        <w:t>5.5 各公司股票回购汇总</w:t>
      </w:r>
      <w:bookmarkEnd w:id="17"/>
    </w:p>
    <w:p>
      <w:pPr>
        <w:spacing w:before="120" w:after="40" w:line="312" w:lineRule="auto"/>
        <w:jc w:val="center"/>
      </w:pPr>
      <w:r>
        <w:rPr>
          <w:rFonts w:ascii="Times New Roman" w:hAnsi="Times New Roman" w:eastAsia="宋体" w:cs="Times New Roman"/>
          <w:b/>
          <w:sz w:val="21"/>
        </w:rPr>
        <w:t>表 7 四家公司回购 2020–2025（单位：百万美元）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5"/>
        <w:gridCol w:w="1215"/>
        <w:gridCol w:w="1215"/>
        <w:gridCol w:w="1215"/>
        <w:gridCol w:w="1215"/>
        <w:gridCol w:w="1215"/>
        <w:gridCol w:w="12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5" w:type="dxa"/>
            <w:shd w:val="clear" w:color="auto" w:fill="D9E2F3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公司</w:t>
            </w:r>
          </w:p>
        </w:tc>
        <w:tc>
          <w:tcPr>
            <w:tcW w:w="1215" w:type="dxa"/>
            <w:shd w:val="clear" w:color="auto" w:fill="D9E2F3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2020</w:t>
            </w:r>
          </w:p>
        </w:tc>
        <w:tc>
          <w:tcPr>
            <w:tcW w:w="1215" w:type="dxa"/>
            <w:shd w:val="clear" w:color="auto" w:fill="D9E2F3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2021</w:t>
            </w:r>
          </w:p>
        </w:tc>
        <w:tc>
          <w:tcPr>
            <w:tcW w:w="1215" w:type="dxa"/>
            <w:shd w:val="clear" w:color="auto" w:fill="D9E2F3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2022</w:t>
            </w:r>
          </w:p>
        </w:tc>
        <w:tc>
          <w:tcPr>
            <w:tcW w:w="1215" w:type="dxa"/>
            <w:shd w:val="clear" w:color="auto" w:fill="D9E2F3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2023</w:t>
            </w:r>
          </w:p>
        </w:tc>
        <w:tc>
          <w:tcPr>
            <w:tcW w:w="1215" w:type="dxa"/>
            <w:shd w:val="clear" w:color="auto" w:fill="D9E2F3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2024</w:t>
            </w:r>
          </w:p>
        </w:tc>
        <w:tc>
          <w:tcPr>
            <w:tcW w:w="1215" w:type="dxa"/>
            <w:shd w:val="clear" w:color="auto" w:fill="D9E2F3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2025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Oracle（FY5月）</w:t>
            </w:r>
          </w:p>
        </w:tc>
        <w:tc>
          <w:tcPr>
            <w:tcW w:w="121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19,240</w:t>
            </w:r>
          </w:p>
        </w:tc>
        <w:tc>
          <w:tcPr>
            <w:tcW w:w="121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20,934</w:t>
            </w:r>
          </w:p>
        </w:tc>
        <w:tc>
          <w:tcPr>
            <w:tcW w:w="121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16,248</w:t>
            </w:r>
          </w:p>
        </w:tc>
        <w:tc>
          <w:tcPr>
            <w:tcW w:w="121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1,300</w:t>
            </w:r>
          </w:p>
        </w:tc>
        <w:tc>
          <w:tcPr>
            <w:tcW w:w="121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1,200</w:t>
            </w:r>
          </w:p>
        </w:tc>
        <w:tc>
          <w:tcPr>
            <w:tcW w:w="121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5,300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Broadcom（FY11月，回购计划口径）</w:t>
            </w:r>
          </w:p>
        </w:tc>
        <w:tc>
          <w:tcPr>
            <w:tcW w:w="121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5,400</w:t>
            </w:r>
          </w:p>
        </w:tc>
        <w:tc>
          <w:tcPr>
            <w:tcW w:w="121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  <w:tc>
          <w:tcPr>
            <w:tcW w:w="121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7,000</w:t>
            </w:r>
          </w:p>
        </w:tc>
        <w:tc>
          <w:tcPr>
            <w:tcW w:w="121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5,824</w:t>
            </w:r>
          </w:p>
        </w:tc>
        <w:tc>
          <w:tcPr>
            <w:tcW w:w="121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7,176</w:t>
            </w:r>
          </w:p>
        </w:tc>
        <w:tc>
          <w:tcPr>
            <w:tcW w:w="121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2,450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AMD（日历年）</w:t>
            </w:r>
          </w:p>
        </w:tc>
        <w:tc>
          <w:tcPr>
            <w:tcW w:w="121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  <w:tc>
          <w:tcPr>
            <w:tcW w:w="121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1,762</w:t>
            </w:r>
          </w:p>
        </w:tc>
        <w:tc>
          <w:tcPr>
            <w:tcW w:w="121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3,702</w:t>
            </w:r>
          </w:p>
        </w:tc>
        <w:tc>
          <w:tcPr>
            <w:tcW w:w="121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985</w:t>
            </w:r>
          </w:p>
        </w:tc>
        <w:tc>
          <w:tcPr>
            <w:tcW w:w="121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862</w:t>
            </w:r>
          </w:p>
        </w:tc>
        <w:tc>
          <w:tcPr>
            <w:tcW w:w="121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1,316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CoreWeave</w:t>
            </w:r>
          </w:p>
        </w:tc>
        <w:tc>
          <w:tcPr>
            <w:tcW w:w="121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w="121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w="121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w="121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  <w:tc>
          <w:tcPr>
            <w:tcW w:w="121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  <w:tc>
          <w:tcPr>
            <w:tcW w:w="1215" w:type="dxa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</w:tr>
    </w:tbl>
    <w:p>
      <w:pPr>
        <w:spacing w:after="120" w:line="312" w:lineRule="auto"/>
        <w:jc w:val="left"/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 w:cs="Times New Roman"/>
          <w:b/>
          <w:bCs/>
          <w:sz w:val="22"/>
        </w:rPr>
        <w:t>资料来源与核实状态：</w:t>
      </w:r>
      <w:r>
        <w:rPr>
          <w:rFonts w:ascii="Times New Roman" w:hAnsi="Times New Roman" w:eastAsia="宋体" w:cs="Times New Roman"/>
          <w:b w:val="0"/>
          <w:sz w:val="22"/>
        </w:rPr>
        <w:t xml:space="preserve"> </w:t>
      </w:r>
      <w:r>
        <w:fldChar w:fldCharType="begin"/>
      </w:r>
      <w:r>
        <w:instrText xml:space="preserve"> HYPERLINK "https://www.forbes.com/sites/greatspeculations/2025/10/03/how-oracle-stock-delivered-163b-to-investors/"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2"/>
          <w:u w:val="single"/>
        </w:rPr>
        <w:t>Forbes</w:t>
      </w:r>
      <w:r>
        <w:rPr>
          <w:rFonts w:ascii="Times New Roman" w:hAnsi="Times New Roman" w:eastAsia="宋体"/>
          <w:color w:val="0563C1"/>
          <w:sz w:val="22"/>
          <w:u w:val="single"/>
        </w:rPr>
        <w:fldChar w:fldCharType="end"/>
      </w:r>
      <w:r>
        <w:rPr>
          <w:rFonts w:hint="eastAsia"/>
          <w:color w:val="0563C1"/>
          <w:sz w:val="22"/>
          <w:u w:val="single"/>
          <w:lang w:eastAsia="zh-CN"/>
        </w:rPr>
        <w:t>；</w:t>
      </w:r>
      <w:r>
        <w:fldChar w:fldCharType="begin"/>
      </w:r>
      <w:r>
        <w:instrText xml:space="preserve"> HYPERLINK "https://www.stock-analysis-on.net/NASDAQ/Company/Advanced-Micro-Devices-Inc/Financial-Statement/Statement-of-Cash-Flows"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2"/>
          <w:u w:val="single"/>
        </w:rPr>
        <w:t>stock-analysis-on.net</w:t>
      </w:r>
      <w:r>
        <w:rPr>
          <w:rFonts w:ascii="Times New Roman" w:hAnsi="Times New Roman" w:eastAsia="宋体"/>
          <w:color w:val="0563C1"/>
          <w:sz w:val="22"/>
          <w:u w:val="single"/>
        </w:rPr>
        <w:fldChar w:fldCharType="end"/>
      </w:r>
      <w:r>
        <w:rPr>
          <w:rFonts w:hint="eastAsia"/>
          <w:color w:val="0563C1"/>
          <w:sz w:val="22"/>
          <w:u w:val="single"/>
          <w:lang w:eastAsia="zh-CN"/>
        </w:rPr>
        <w:t>；</w:t>
      </w:r>
      <w:r>
        <w:rPr>
          <w:rFonts w:hint="eastAsia"/>
          <w:color w:val="0563C1"/>
          <w:sz w:val="22"/>
          <w:u w:val="single"/>
          <w:lang w:val="en-US" w:eastAsia="zh-CN"/>
        </w:rPr>
        <w:t>各公司10-k</w:t>
      </w:r>
    </w:p>
    <w:p>
      <w:pPr>
        <w:spacing w:before="240" w:after="120" w:line="360" w:lineRule="auto"/>
        <w:outlineLvl w:val="0"/>
        <w:rPr>
          <w:rFonts w:ascii="Times New Roman" w:hAnsi="Times New Roman" w:eastAsia="黑体" w:cs="Times New Roman"/>
          <w:b/>
          <w:sz w:val="32"/>
        </w:rPr>
      </w:pPr>
      <w:bookmarkStart w:id="18" w:name="_Toc19060"/>
    </w:p>
    <w:p>
      <w:pPr>
        <w:spacing w:before="240" w:after="120" w:line="360" w:lineRule="auto"/>
        <w:outlineLvl w:val="0"/>
        <w:rPr>
          <w:rFonts w:ascii="Times New Roman" w:hAnsi="Times New Roman" w:eastAsia="黑体" w:cs="Times New Roman"/>
          <w:b/>
          <w:sz w:val="32"/>
        </w:rPr>
      </w:pPr>
    </w:p>
    <w:p>
      <w:pPr>
        <w:spacing w:before="240" w:after="120" w:line="360" w:lineRule="auto"/>
        <w:outlineLvl w:val="0"/>
        <w:rPr>
          <w:rFonts w:ascii="Times New Roman" w:hAnsi="Times New Roman" w:eastAsia="黑体" w:cs="Times New Roman"/>
          <w:b/>
          <w:sz w:val="32"/>
        </w:rPr>
      </w:pPr>
    </w:p>
    <w:p>
      <w:pPr>
        <w:spacing w:before="240" w:after="120" w:line="360" w:lineRule="auto"/>
        <w:outlineLvl w:val="0"/>
      </w:pPr>
      <w:r>
        <w:rPr>
          <w:rFonts w:ascii="Times New Roman" w:hAnsi="Times New Roman" w:eastAsia="黑体" w:cs="Times New Roman"/>
          <w:b/>
          <w:sz w:val="32"/>
        </w:rPr>
        <w:t>六、超算 / 算力能力</w:t>
      </w:r>
      <w:bookmarkEnd w:id="18"/>
    </w:p>
    <w:p>
      <w:pPr>
        <w:spacing w:before="120" w:after="40" w:line="360" w:lineRule="auto"/>
      </w:pPr>
      <w:r>
        <w:rPr>
          <w:rFonts w:hint="eastAsia" w:cs="Times New Roman"/>
          <w:b/>
          <w:sz w:val="24"/>
          <w:lang w:val="en-US" w:eastAsia="zh-CN"/>
        </w:rPr>
        <w:t xml:space="preserve">1. </w:t>
      </w:r>
      <w:r>
        <w:rPr>
          <w:rFonts w:ascii="Times New Roman" w:hAnsi="Times New Roman" w:eastAsia="宋体" w:cs="Times New Roman"/>
          <w:b/>
          <w:sz w:val="24"/>
        </w:rPr>
        <w:t>口径说明</w:t>
      </w:r>
    </w:p>
    <w:p>
      <w:pPr>
        <w:spacing w:after="40" w:line="360" w:lineRule="auto"/>
        <w:ind w:firstLine="480"/>
        <w:rPr>
          <w:rFonts w:ascii="Times New Roman" w:hAnsi="Times New Roman" w:eastAsia="宋体" w:cs="Times New Roman"/>
          <w:b w:val="0"/>
          <w:bCs w:val="0"/>
          <w:sz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</w:rPr>
        <w:t>含义为各公司公开宣布的旗舰 AI 集群与算力规模。事件性事实与 Top500 数据已核实；GPU 数量、ZFLOPS 峰值、GW 规划中有相当部分为公司前瞻或媒体报道。</w:t>
      </w:r>
    </w:p>
    <w:p>
      <w:pPr>
        <w:spacing w:after="40" w:line="360" w:lineRule="auto"/>
        <w:ind w:firstLine="480"/>
        <w:rPr>
          <w:b w:val="0"/>
          <w:bCs w:val="0"/>
        </w:rPr>
      </w:pPr>
      <w:r>
        <w:rPr>
          <w:rFonts w:ascii="Times New Roman" w:hAnsi="Times New Roman" w:eastAsia="宋体" w:cs="Times New Roman"/>
          <w:b w:val="0"/>
          <w:bCs w:val="0"/>
          <w:sz w:val="24"/>
        </w:rPr>
        <w:t>四家角色不同：Oracle/CoreWeave 运营算力，AMD 制造算力芯片，Broadcom 协助客户设计算力芯片——量纲不可直接对比。</w:t>
      </w:r>
    </w:p>
    <w:p>
      <w:pPr>
        <w:spacing w:before="160" w:after="120" w:line="360" w:lineRule="auto"/>
        <w:outlineLvl w:val="1"/>
      </w:pPr>
      <w:bookmarkStart w:id="19" w:name="_Toc16516"/>
      <w:r>
        <w:rPr>
          <w:rFonts w:ascii="Times New Roman" w:hAnsi="Times New Roman" w:eastAsia="黑体" w:cs="Times New Roman"/>
          <w:b/>
          <w:sz w:val="28"/>
        </w:rPr>
        <w:t>6.1 Oracle（OCI）</w:t>
      </w:r>
      <w:bookmarkEnd w:id="19"/>
    </w:p>
    <w:p>
      <w:pPr>
        <w:spacing w:after="40" w:line="360" w:lineRule="auto"/>
        <w:ind w:left="420" w:hanging="210"/>
        <w:rPr>
          <w:rFonts w:ascii="Times New Roman" w:hAnsi="Times New Roman" w:eastAsia="宋体" w:cs="Times New Roman"/>
          <w:b w:val="0"/>
          <w:sz w:val="24"/>
        </w:rPr>
      </w:pPr>
      <w:r>
        <w:rPr>
          <w:rFonts w:ascii="Times New Roman" w:hAnsi="Times New Roman" w:eastAsia="宋体" w:cs="Times New Roman"/>
          <w:b w:val="0"/>
          <w:sz w:val="24"/>
        </w:rPr>
        <w:t xml:space="preserve">• </w:t>
      </w:r>
      <w:r>
        <w:rPr>
          <w:rFonts w:ascii="Times New Roman" w:hAnsi="Times New Roman" w:eastAsia="宋体" w:cs="Times New Roman"/>
          <w:b/>
          <w:sz w:val="24"/>
        </w:rPr>
        <w:t>OCI Zettascale10</w:t>
      </w:r>
      <w:r>
        <w:rPr>
          <w:rFonts w:ascii="Times New Roman" w:hAnsi="Times New Roman" w:eastAsia="宋体" w:cs="Times New Roman"/>
          <w:b w:val="0"/>
          <w:sz w:val="24"/>
        </w:rPr>
        <w:t xml:space="preserve">（2025/10/14 发布）：号称"云端最大 AI 超算"，最高 </w:t>
      </w:r>
      <w:r>
        <w:rPr>
          <w:rFonts w:ascii="Times New Roman" w:hAnsi="Times New Roman" w:eastAsia="宋体" w:cs="Times New Roman"/>
          <w:b/>
          <w:sz w:val="24"/>
        </w:rPr>
        <w:t>80 万张英伟达 GPU、峰值 16 zettaFLOPS</w:t>
      </w:r>
      <w:r>
        <w:rPr>
          <w:rFonts w:ascii="Times New Roman" w:hAnsi="Times New Roman" w:eastAsia="宋体" w:cs="Times New Roman"/>
          <w:b w:val="0"/>
          <w:sz w:val="24"/>
        </w:rPr>
        <w:t>（FP 精度未注明，为公司宣传口径）——"deliver up to 16 zettaFLOPS of peak performance…up to 800,000 NVIDIA GPUs"（</w:t>
      </w:r>
      <w:r>
        <w:fldChar w:fldCharType="begin"/>
      </w:r>
      <w:r>
        <w:instrText xml:space="preserve"> HYPERLINK "https://www.oracle.com/news/announcement/ai-world-oracle-unveils-next-generation-oci-zettascale10-cluster-for-ai-2025-10-14/"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4"/>
          <w:u w:val="single"/>
        </w:rPr>
        <w:t>Oracle 官方新闻稿</w:t>
      </w:r>
      <w:r>
        <w:rPr>
          <w:rFonts w:ascii="Times New Roman" w:hAnsi="Times New Roman" w:eastAsia="宋体"/>
          <w:color w:val="0563C1"/>
          <w:sz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fldChar w:fldCharType="begin"/>
      </w:r>
      <w:r>
        <w:instrText xml:space="preserve"> HYPERLINK "https://www.datacenterdynamics.com/en/news/oracle-unveils-zettascale10-ai-supercomputer-claims-it-will-be-largest-in-the-cloud/"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4"/>
          <w:u w:val="single"/>
        </w:rPr>
        <w:t>DCD</w:t>
      </w:r>
      <w:r>
        <w:rPr>
          <w:rFonts w:ascii="Times New Roman" w:hAnsi="Times New Roman" w:eastAsia="宋体"/>
          <w:color w:val="0563C1"/>
          <w:sz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4"/>
        </w:rPr>
        <w:t>）</w:t>
      </w:r>
    </w:p>
    <w:p>
      <w:pPr>
        <w:spacing w:after="40" w:line="360" w:lineRule="auto"/>
        <w:ind w:left="420" w:hanging="210"/>
        <w:rPr>
          <w:rFonts w:ascii="Times New Roman" w:hAnsi="Times New Roman" w:eastAsia="宋体" w:cs="Times New Roman"/>
          <w:b w:val="0"/>
          <w:sz w:val="24"/>
        </w:rPr>
      </w:pPr>
      <w:r>
        <w:rPr>
          <w:rFonts w:ascii="Times New Roman" w:hAnsi="Times New Roman" w:eastAsia="宋体" w:cs="Times New Roman"/>
          <w:b w:val="0"/>
          <w:sz w:val="24"/>
        </w:rPr>
        <w:t xml:space="preserve">• </w:t>
      </w:r>
      <w:r>
        <w:rPr>
          <w:rFonts w:ascii="Times New Roman" w:hAnsi="Times New Roman" w:eastAsia="宋体" w:cs="Times New Roman"/>
          <w:b/>
          <w:sz w:val="24"/>
        </w:rPr>
        <w:t>Stargate Abilene（德州）</w:t>
      </w:r>
      <w:r>
        <w:rPr>
          <w:rFonts w:ascii="Times New Roman" w:hAnsi="Times New Roman" w:eastAsia="宋体" w:cs="Times New Roman"/>
          <w:b w:val="0"/>
          <w:sz w:val="24"/>
        </w:rPr>
        <w:t xml:space="preserve">：与 OpenAI 合作的旗舰站点，Zettascale10 为其算力底座；OpenAI–Oracle 另有 </w:t>
      </w:r>
      <w:r>
        <w:rPr>
          <w:rFonts w:ascii="Times New Roman" w:hAnsi="Times New Roman" w:eastAsia="宋体" w:cs="Times New Roman"/>
          <w:b/>
          <w:sz w:val="24"/>
        </w:rPr>
        <w:t>4.5GW</w:t>
      </w:r>
      <w:r>
        <w:rPr>
          <w:rFonts w:ascii="Times New Roman" w:hAnsi="Times New Roman" w:eastAsia="宋体" w:cs="Times New Roman"/>
          <w:b w:val="0"/>
          <w:sz w:val="24"/>
        </w:rPr>
        <w:t xml:space="preserve"> 数据中心容量合作（2025/7 宣布）与媒体报道的 </w:t>
      </w:r>
      <w:r>
        <w:rPr>
          <w:rFonts w:ascii="Times New Roman" w:hAnsi="Times New Roman" w:eastAsia="宋体" w:cs="Times New Roman"/>
          <w:b/>
          <w:sz w:val="24"/>
        </w:rPr>
        <w:t>5 年约 $300B</w:t>
      </w:r>
      <w:r>
        <w:rPr>
          <w:rFonts w:ascii="Times New Roman" w:hAnsi="Times New Roman" w:eastAsia="宋体" w:cs="Times New Roman"/>
          <w:b w:val="0"/>
          <w:sz w:val="24"/>
        </w:rPr>
        <w:t xml:space="preserve"> 算力合同（2025/9，WSJ 首报）——"Oracle &amp; OpenAI's $300B Deal"（</w:t>
      </w:r>
      <w:r>
        <w:fldChar w:fldCharType="begin"/>
      </w:r>
      <w:r>
        <w:instrText xml:space="preserve"> HYPERLINK "https://intuitionlabs.ai/articles/oracle-openai-300b-deal-analysis"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4"/>
          <w:u w:val="single"/>
        </w:rPr>
        <w:t>IntuitionLabs 分析</w:t>
      </w:r>
      <w:r>
        <w:rPr>
          <w:rFonts w:ascii="Times New Roman" w:hAnsi="Times New Roman" w:eastAsia="宋体"/>
          <w:color w:val="0563C1"/>
          <w:sz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4"/>
        </w:rPr>
        <w:t>）</w:t>
      </w:r>
    </w:p>
    <w:p>
      <w:pPr>
        <w:spacing w:after="40" w:line="360" w:lineRule="auto"/>
        <w:ind w:left="420" w:hanging="210"/>
        <w:rPr>
          <w:rFonts w:hint="eastAsia" w:eastAsia="宋体"/>
          <w:lang w:eastAsia="zh-CN"/>
        </w:rPr>
      </w:pPr>
      <w:r>
        <w:rPr>
          <w:rFonts w:ascii="Times New Roman" w:hAnsi="Times New Roman" w:eastAsia="宋体" w:cs="Times New Roman"/>
          <w:b w:val="0"/>
          <w:sz w:val="24"/>
        </w:rPr>
        <w:t xml:space="preserve">• </w:t>
      </w:r>
      <w:r>
        <w:rPr>
          <w:rFonts w:ascii="Times New Roman" w:hAnsi="Times New Roman" w:eastAsia="宋体" w:cs="Times New Roman"/>
          <w:b/>
          <w:sz w:val="24"/>
        </w:rPr>
        <w:t>RPO $455B</w:t>
      </w:r>
      <w:r>
        <w:rPr>
          <w:rFonts w:ascii="Times New Roman" w:hAnsi="Times New Roman" w:eastAsia="宋体" w:cs="Times New Roman"/>
          <w:b w:val="0"/>
          <w:sz w:val="24"/>
        </w:rPr>
        <w:t>（FY2026 Q1，2025/8/31 止）：同比 +359%，绝大部分为 AI 算力合同（</w:t>
      </w:r>
      <w:r>
        <w:fldChar w:fldCharType="begin"/>
      </w:r>
      <w:r>
        <w:instrText xml:space="preserve"> HYPERLINK "https://www.datacenterdynamics.com/en/news/oracle-has-455bn-in-remaining-performance-obligations-at-end-of-q1-2026/"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4"/>
          <w:u w:val="single"/>
        </w:rPr>
        <w:t>DCD</w:t>
      </w:r>
      <w:r>
        <w:rPr>
          <w:rFonts w:ascii="Times New Roman" w:hAnsi="Times New Roman" w:eastAsia="宋体"/>
          <w:color w:val="0563C1"/>
          <w:sz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4"/>
        </w:rPr>
        <w:t>）</w:t>
      </w:r>
    </w:p>
    <w:p>
      <w:pPr>
        <w:spacing w:before="160" w:after="120" w:line="360" w:lineRule="auto"/>
        <w:outlineLvl w:val="1"/>
      </w:pPr>
      <w:bookmarkStart w:id="20" w:name="_Toc2028"/>
      <w:r>
        <w:rPr>
          <w:rFonts w:ascii="Times New Roman" w:hAnsi="Times New Roman" w:eastAsia="黑体" w:cs="Times New Roman"/>
          <w:b/>
          <w:sz w:val="28"/>
        </w:rPr>
        <w:t>6.2 Broadcom</w:t>
      </w:r>
      <w:bookmarkEnd w:id="20"/>
    </w:p>
    <w:p>
      <w:pPr>
        <w:spacing w:after="40" w:line="360" w:lineRule="auto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 xml:space="preserve">不运营超算，角色 = </w:t>
      </w:r>
      <w:r>
        <w:rPr>
          <w:rFonts w:ascii="Times New Roman" w:hAnsi="Times New Roman" w:eastAsia="宋体" w:cs="Times New Roman"/>
          <w:b/>
          <w:sz w:val="24"/>
        </w:rPr>
        <w:t>定制 AI 芯片（XPU）+ AI 网络</w:t>
      </w:r>
      <w:r>
        <w:rPr>
          <w:rFonts w:ascii="Times New Roman" w:hAnsi="Times New Roman" w:eastAsia="宋体" w:cs="Times New Roman"/>
          <w:b w:val="0"/>
          <w:sz w:val="24"/>
        </w:rPr>
        <w:t>供应商：</w:t>
      </w:r>
    </w:p>
    <w:p>
      <w:pPr>
        <w:spacing w:after="40" w:line="360" w:lineRule="auto"/>
        <w:ind w:left="420" w:hanging="210"/>
        <w:rPr>
          <w:rFonts w:hint="eastAsia" w:eastAsia="宋体"/>
          <w:lang w:eastAsia="zh-CN"/>
        </w:rPr>
      </w:pPr>
      <w:r>
        <w:rPr>
          <w:rFonts w:ascii="Times New Roman" w:hAnsi="Times New Roman" w:eastAsia="宋体" w:cs="Times New Roman"/>
          <w:b w:val="0"/>
          <w:sz w:val="24"/>
        </w:rPr>
        <w:t xml:space="preserve">• </w:t>
      </w:r>
      <w:r>
        <w:rPr>
          <w:rFonts w:ascii="Times New Roman" w:hAnsi="Times New Roman" w:eastAsia="宋体" w:cs="Times New Roman"/>
          <w:b/>
          <w:sz w:val="24"/>
        </w:rPr>
        <w:t>谷歌 TPU</w:t>
      </w:r>
      <w:r>
        <w:rPr>
          <w:rFonts w:ascii="Times New Roman" w:hAnsi="Times New Roman" w:eastAsia="宋体" w:cs="Times New Roman"/>
          <w:b w:val="0"/>
          <w:sz w:val="24"/>
        </w:rPr>
        <w:t>：2014 年起七代协同设计——"Google…the longest-standing partner, with seven generations of co-designed TPUs since 2014"（</w:t>
      </w:r>
      <w:r>
        <w:fldChar w:fldCharType="begin"/>
      </w:r>
      <w:r>
        <w:instrText xml:space="preserve"> HYPERLINK "https://www.tomshardware.com/tech-industry/semiconductors/custom-ai-asics-examined-from-broadcom-to-mtia"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4"/>
          <w:u w:val="single"/>
        </w:rPr>
        <w:t>Tom's Hardware</w:t>
      </w:r>
      <w:r>
        <w:rPr>
          <w:rFonts w:ascii="Times New Roman" w:hAnsi="Times New Roman" w:eastAsia="宋体"/>
          <w:color w:val="0563C1"/>
          <w:sz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4"/>
        </w:rPr>
        <w:t>）</w:t>
      </w:r>
    </w:p>
    <w:p>
      <w:pPr>
        <w:spacing w:after="40" w:line="360" w:lineRule="auto"/>
        <w:ind w:left="420" w:hanging="210"/>
        <w:rPr>
          <w:rFonts w:hint="eastAsia" w:eastAsia="宋体"/>
          <w:lang w:eastAsia="zh-CN"/>
        </w:rPr>
      </w:pPr>
      <w:r>
        <w:rPr>
          <w:rFonts w:ascii="Times New Roman" w:hAnsi="Times New Roman" w:eastAsia="宋体" w:cs="Times New Roman"/>
          <w:b w:val="0"/>
          <w:sz w:val="24"/>
        </w:rPr>
        <w:t xml:space="preserve">• </w:t>
      </w:r>
      <w:r>
        <w:rPr>
          <w:rFonts w:ascii="Times New Roman" w:hAnsi="Times New Roman" w:eastAsia="宋体" w:cs="Times New Roman"/>
          <w:b/>
          <w:sz w:val="24"/>
        </w:rPr>
        <w:t>OpenAI 10GW 自研加速器</w:t>
      </w:r>
      <w:r>
        <w:rPr>
          <w:rFonts w:ascii="Times New Roman" w:hAnsi="Times New Roman" w:eastAsia="宋体" w:cs="Times New Roman"/>
          <w:b w:val="0"/>
          <w:sz w:val="24"/>
        </w:rPr>
        <w:t>（2025/10/13）：OpenAI 设计、Broadcom 开发部署，2026 H2 起、2029 年底完成；首款推理芯片"Jalapeño"——（</w:t>
      </w:r>
      <w:r>
        <w:fldChar w:fldCharType="begin"/>
      </w:r>
      <w:r>
        <w:instrText xml:space="preserve"> HYPERLINK "https://investors.broadcom.com/news-releases/news-release-details/openai-and-broadcom-announce-strategic-collaboration-deploy-10"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4"/>
          <w:u w:val="single"/>
        </w:rPr>
        <w:t>Broadcom 新闻稿</w:t>
      </w:r>
      <w:r>
        <w:rPr>
          <w:rFonts w:ascii="Times New Roman" w:hAnsi="Times New Roman" w:eastAsia="宋体"/>
          <w:color w:val="0563C1"/>
          <w:sz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fldChar w:fldCharType="begin"/>
      </w:r>
      <w:r>
        <w:instrText xml:space="preserve"> HYPERLINK "https://openai.com/index/openai-broadcom-jalapeno-inference-chip/"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4"/>
          <w:u w:val="single"/>
        </w:rPr>
        <w:t>OpenAI</w:t>
      </w:r>
      <w:r>
        <w:rPr>
          <w:rFonts w:ascii="Times New Roman" w:hAnsi="Times New Roman" w:eastAsia="宋体"/>
          <w:color w:val="0563C1"/>
          <w:sz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4"/>
        </w:rPr>
        <w:t>）</w:t>
      </w:r>
    </w:p>
    <w:p>
      <w:pPr>
        <w:spacing w:after="40" w:line="360" w:lineRule="auto"/>
        <w:ind w:left="420" w:hanging="210"/>
        <w:rPr>
          <w:rFonts w:ascii="Times New Roman" w:hAnsi="Times New Roman" w:eastAsia="宋体" w:cs="Times New Roman"/>
          <w:b w:val="0"/>
          <w:sz w:val="24"/>
        </w:rPr>
      </w:pPr>
      <w:r>
        <w:rPr>
          <w:rFonts w:ascii="Times New Roman" w:hAnsi="Times New Roman" w:eastAsia="宋体" w:cs="Times New Roman"/>
          <w:b w:val="0"/>
          <w:sz w:val="24"/>
        </w:rPr>
        <w:t xml:space="preserve">• 确认 </w:t>
      </w:r>
      <w:r>
        <w:rPr>
          <w:rFonts w:ascii="Times New Roman" w:hAnsi="Times New Roman" w:eastAsia="宋体" w:cs="Times New Roman"/>
          <w:b/>
          <w:sz w:val="24"/>
        </w:rPr>
        <w:t>6 家 XPU 大客户</w:t>
      </w:r>
      <w:r>
        <w:rPr>
          <w:rFonts w:ascii="Times New Roman" w:hAnsi="Times New Roman" w:eastAsia="宋体" w:cs="Times New Roman"/>
          <w:b w:val="0"/>
          <w:sz w:val="24"/>
        </w:rPr>
        <w:t xml:space="preserve">（含谷歌、Meta MTIA 等）；AI 半导体收入：FY2025 逐季 $4.4B→$5.2B→$6.2B，FY2026 Q1 达 $8.4B（+106% YoY），公司指引 FY2026 全年约 </w:t>
      </w:r>
      <w:r>
        <w:rPr>
          <w:rFonts w:ascii="Times New Roman" w:hAnsi="Times New Roman" w:eastAsia="宋体" w:cs="Times New Roman"/>
          <w:b/>
          <w:sz w:val="24"/>
        </w:rPr>
        <w:t>$56B</w:t>
      </w:r>
      <w:r>
        <w:rPr>
          <w:rFonts w:ascii="Times New Roman" w:hAnsi="Times New Roman" w:eastAsia="宋体" w:cs="Times New Roman"/>
          <w:b w:val="0"/>
          <w:sz w:val="24"/>
        </w:rPr>
        <w:t>（窗口外）——（</w:t>
      </w:r>
      <w:r>
        <w:fldChar w:fldCharType="begin"/>
      </w:r>
      <w:r>
        <w:instrText xml:space="preserve"> HYPERLINK "https://www.techtimes.com/articles/317846/20260605/nvidia-not-only-ai-chip-winner-broadcom-forecasts-56-billion-custom-silicon-demand-surges.htm"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4"/>
          <w:u w:val="single"/>
        </w:rPr>
        <w:t>TechTimes</w:t>
      </w:r>
      <w:r>
        <w:rPr>
          <w:rFonts w:ascii="Times New Roman" w:hAnsi="Times New Roman" w:eastAsia="宋体"/>
          <w:color w:val="0563C1"/>
          <w:sz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4"/>
        </w:rPr>
        <w:t>）</w:t>
      </w:r>
    </w:p>
    <w:p>
      <w:pPr>
        <w:spacing w:after="40" w:line="36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• 网络侧：Tomahawk 5/6（51.2/102.4 Tbps）交换芯片、Jericho 系列——AI 集群互联事实标准之一。</w:t>
      </w:r>
    </w:p>
    <w:p>
      <w:pPr>
        <w:spacing w:before="160" w:after="120" w:line="360" w:lineRule="auto"/>
        <w:outlineLvl w:val="1"/>
      </w:pPr>
      <w:bookmarkStart w:id="21" w:name="_Toc14043"/>
      <w:r>
        <w:rPr>
          <w:rFonts w:ascii="Times New Roman" w:hAnsi="Times New Roman" w:eastAsia="黑体" w:cs="Times New Roman"/>
          <w:b/>
          <w:sz w:val="28"/>
        </w:rPr>
        <w:t>6.3 AMD</w:t>
      </w:r>
      <w:bookmarkEnd w:id="21"/>
    </w:p>
    <w:p>
      <w:pPr>
        <w:spacing w:after="40" w:line="360" w:lineRule="auto"/>
        <w:ind w:left="420" w:hanging="210"/>
        <w:rPr>
          <w:rFonts w:hint="eastAsia" w:eastAsia="宋体"/>
          <w:lang w:eastAsia="zh-CN"/>
        </w:rPr>
      </w:pPr>
      <w:r>
        <w:rPr>
          <w:rFonts w:ascii="Times New Roman" w:hAnsi="Times New Roman" w:eastAsia="宋体" w:cs="Times New Roman"/>
          <w:b w:val="0"/>
          <w:sz w:val="24"/>
        </w:rPr>
        <w:t xml:space="preserve">• </w:t>
      </w:r>
      <w:r>
        <w:rPr>
          <w:rFonts w:ascii="Times New Roman" w:hAnsi="Times New Roman" w:eastAsia="宋体" w:cs="Times New Roman"/>
          <w:b/>
          <w:sz w:val="24"/>
        </w:rPr>
        <w:t>El Capitan</w:t>
      </w:r>
      <w:r>
        <w:rPr>
          <w:rFonts w:ascii="Times New Roman" w:hAnsi="Times New Roman" w:eastAsia="宋体" w:cs="Times New Roman"/>
          <w:b w:val="0"/>
          <w:sz w:val="24"/>
        </w:rPr>
        <w:t>（LLNL）：</w:t>
      </w:r>
      <w:r>
        <w:rPr>
          <w:rFonts w:ascii="Times New Roman" w:hAnsi="Times New Roman" w:eastAsia="宋体" w:cs="Times New Roman"/>
          <w:b/>
          <w:sz w:val="24"/>
        </w:rPr>
        <w:t>43,808 颗 Instinct MI300A APU，HPL 1.742 EFLOPS，2024/11 起 Top500 全球第 1</w:t>
      </w:r>
      <w:r>
        <w:rPr>
          <w:rFonts w:ascii="Times New Roman" w:hAnsi="Times New Roman" w:eastAsia="宋体" w:cs="Times New Roman"/>
          <w:b w:val="0"/>
          <w:sz w:val="24"/>
        </w:rPr>
        <w:t>（至 2026/6 榜单仍居首）——"El Capitan was verified…achieving 1.742 exaFLOPs…worlds fastest supercomputer"（</w:t>
      </w:r>
      <w:r>
        <w:fldChar w:fldCharType="begin"/>
      </w:r>
      <w:r>
        <w:instrText xml:space="preserve"> HYPERLINK "https://www.llnl.gov/article/52061/lawrence-livermore-national-laboratorys-el-capitan-verified-worlds-fastest-supercomputer"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4"/>
          <w:u w:val="single"/>
        </w:rPr>
        <w:t>LLNL</w:t>
      </w:r>
      <w:r>
        <w:rPr>
          <w:rFonts w:ascii="Times New Roman" w:hAnsi="Times New Roman" w:eastAsia="宋体"/>
          <w:color w:val="0563C1"/>
          <w:sz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fldChar w:fldCharType="begin"/>
      </w:r>
      <w:r>
        <w:instrText xml:space="preserve"> HYPERLINK "https://top500.org/news/el-capitan-retains-1-as-jupiter-becomes-europes-first-exascale-system-in-the-66th-top500-list/"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4"/>
          <w:u w:val="single"/>
        </w:rPr>
        <w:t>Top500</w:t>
      </w:r>
      <w:r>
        <w:rPr>
          <w:rFonts w:ascii="Times New Roman" w:hAnsi="Times New Roman" w:eastAsia="宋体"/>
          <w:color w:val="0563C1"/>
          <w:sz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4"/>
        </w:rPr>
        <w:t>）</w:t>
      </w:r>
    </w:p>
    <w:p>
      <w:pPr>
        <w:spacing w:after="40" w:line="360" w:lineRule="auto"/>
        <w:ind w:left="420" w:hanging="210"/>
        <w:rPr>
          <w:rFonts w:hint="eastAsia" w:eastAsia="宋体"/>
          <w:lang w:eastAsia="zh-CN"/>
        </w:rPr>
      </w:pPr>
      <w:r>
        <w:rPr>
          <w:rFonts w:ascii="Times New Roman" w:hAnsi="Times New Roman" w:eastAsia="宋体" w:cs="Times New Roman"/>
          <w:b w:val="0"/>
          <w:sz w:val="24"/>
        </w:rPr>
        <w:t xml:space="preserve">• </w:t>
      </w:r>
      <w:r>
        <w:rPr>
          <w:rFonts w:ascii="Times New Roman" w:hAnsi="Times New Roman" w:eastAsia="宋体" w:cs="Times New Roman"/>
          <w:b/>
          <w:sz w:val="24"/>
        </w:rPr>
        <w:t>Frontier</w:t>
      </w:r>
      <w:r>
        <w:rPr>
          <w:rFonts w:ascii="Times New Roman" w:hAnsi="Times New Roman" w:eastAsia="宋体" w:cs="Times New Roman"/>
          <w:b w:val="0"/>
          <w:sz w:val="24"/>
        </w:rPr>
        <w:t>（ORNL）：37,888 颗 MI250X，全球首台 exascale（2022 年 Top500 第 1，现第 2/3）——（</w:t>
      </w:r>
      <w:r>
        <w:fldChar w:fldCharType="begin"/>
      </w:r>
      <w:r>
        <w:instrText xml:space="preserve"> HYPERLINK "https://top500.org/system/180047/"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4"/>
          <w:u w:val="single"/>
        </w:rPr>
        <w:t>Top500 系统页</w:t>
      </w:r>
      <w:r>
        <w:rPr>
          <w:rFonts w:ascii="Times New Roman" w:hAnsi="Times New Roman" w:eastAsia="宋体"/>
          <w:color w:val="0563C1"/>
          <w:sz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fldChar w:fldCharType="begin"/>
      </w:r>
      <w:r>
        <w:instrText xml:space="preserve"> HYPERLINK "https://en.wikipedia.org/wiki/Frontier_(supercomputer"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4"/>
          <w:u w:val="single"/>
        </w:rPr>
        <w:t>Wikipedia</w:t>
      </w:r>
      <w:r>
        <w:rPr>
          <w:rFonts w:ascii="Times New Roman" w:hAnsi="Times New Roman" w:eastAsia="宋体"/>
          <w:color w:val="0563C1"/>
          <w:sz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4"/>
        </w:rPr>
        <w:t>)）</w:t>
      </w:r>
    </w:p>
    <w:p>
      <w:pPr>
        <w:spacing w:after="40" w:line="360" w:lineRule="auto"/>
        <w:ind w:left="420" w:hanging="210"/>
        <w:rPr>
          <w:rFonts w:hint="eastAsia" w:eastAsia="宋体"/>
          <w:lang w:eastAsia="zh-CN"/>
        </w:rPr>
      </w:pPr>
      <w:r>
        <w:rPr>
          <w:rFonts w:ascii="Times New Roman" w:hAnsi="Times New Roman" w:eastAsia="宋体" w:cs="Times New Roman"/>
          <w:b w:val="0"/>
          <w:sz w:val="24"/>
        </w:rPr>
        <w:t xml:space="preserve">• </w:t>
      </w:r>
      <w:r>
        <w:rPr>
          <w:rFonts w:ascii="Times New Roman" w:hAnsi="Times New Roman" w:eastAsia="宋体" w:cs="Times New Roman"/>
          <w:b/>
          <w:sz w:val="24"/>
        </w:rPr>
        <w:t>Instinct GPU 路线</w:t>
      </w:r>
      <w:r>
        <w:rPr>
          <w:rFonts w:ascii="Times New Roman" w:hAnsi="Times New Roman" w:eastAsia="宋体" w:cs="Times New Roman"/>
          <w:b w:val="0"/>
          <w:sz w:val="24"/>
        </w:rPr>
        <w:t>：MI300X（2023）→ MI325X（2024）→ MI355X（2025）→ MI450（2026，Helios 整机架平台）；</w:t>
      </w:r>
      <w:r>
        <w:rPr>
          <w:rFonts w:ascii="Times New Roman" w:hAnsi="Times New Roman" w:eastAsia="宋体" w:cs="Times New Roman"/>
          <w:b/>
          <w:sz w:val="24"/>
        </w:rPr>
        <w:t>OpenAI 6GW 协议</w:t>
      </w:r>
      <w:r>
        <w:rPr>
          <w:rFonts w:ascii="Times New Roman" w:hAnsi="Times New Roman" w:eastAsia="宋体" w:cs="Times New Roman"/>
          <w:b w:val="0"/>
          <w:sz w:val="24"/>
        </w:rPr>
        <w:t>（2025/10/6）：首个 1GW MI450 于 2026 H2 部署——"The first 1 gigawatt deployment of AMD Instinct MI450 GPUs is set to begin in the second half of 2026"（</w:t>
      </w:r>
      <w:r>
        <w:fldChar w:fldCharType="begin"/>
      </w:r>
      <w:r>
        <w:instrText xml:space="preserve"> HYPERLINK "https://www.amd.com/en/newsroom/press-releases/2025-10-6-amd-and-openai-announce-strategic-partnership-to-d.html"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4"/>
          <w:u w:val="single"/>
        </w:rPr>
        <w:t>AMD 新闻稿</w:t>
      </w:r>
      <w:r>
        <w:rPr>
          <w:rFonts w:ascii="Times New Roman" w:hAnsi="Times New Roman" w:eastAsia="宋体"/>
          <w:color w:val="0563C1"/>
          <w:sz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4"/>
        </w:rPr>
        <w:t>）</w:t>
      </w:r>
    </w:p>
    <w:p>
      <w:pPr>
        <w:spacing w:before="160" w:after="120" w:line="360" w:lineRule="auto"/>
        <w:outlineLvl w:val="1"/>
      </w:pPr>
      <w:bookmarkStart w:id="22" w:name="_Toc21701"/>
      <w:r>
        <w:rPr>
          <w:rFonts w:ascii="Times New Roman" w:hAnsi="Times New Roman" w:eastAsia="黑体" w:cs="Times New Roman"/>
          <w:b/>
          <w:sz w:val="28"/>
        </w:rPr>
        <w:t>6.4 CoreWeave</w:t>
      </w:r>
      <w:bookmarkEnd w:id="22"/>
    </w:p>
    <w:p>
      <w:pPr>
        <w:spacing w:after="40" w:line="360" w:lineRule="auto"/>
        <w:ind w:left="420" w:hanging="210"/>
        <w:rPr>
          <w:rFonts w:hint="eastAsia" w:eastAsia="宋体"/>
          <w:lang w:eastAsia="zh-CN"/>
        </w:rPr>
      </w:pPr>
      <w:r>
        <w:rPr>
          <w:rFonts w:ascii="Times New Roman" w:hAnsi="Times New Roman" w:eastAsia="宋体" w:cs="Times New Roman"/>
          <w:b w:val="0"/>
          <w:sz w:val="24"/>
        </w:rPr>
        <w:t xml:space="preserve">• </w:t>
      </w:r>
      <w:r>
        <w:rPr>
          <w:rFonts w:ascii="Times New Roman" w:hAnsi="Times New Roman" w:eastAsia="宋体" w:cs="Times New Roman"/>
          <w:b/>
          <w:sz w:val="24"/>
        </w:rPr>
        <w:t>GPU 舰队</w:t>
      </w:r>
      <w:r>
        <w:rPr>
          <w:rFonts w:ascii="Times New Roman" w:hAnsi="Times New Roman" w:eastAsia="宋体" w:cs="Times New Roman"/>
          <w:b w:val="0"/>
          <w:sz w:val="24"/>
        </w:rPr>
        <w:t>：</w:t>
      </w:r>
      <w:r>
        <w:rPr>
          <w:rFonts w:ascii="Times New Roman" w:hAnsi="Times New Roman" w:eastAsia="宋体" w:cs="Times New Roman"/>
          <w:b/>
          <w:sz w:val="24"/>
        </w:rPr>
        <w:t>25 万+张英伟达</w:t>
      </w:r>
      <w:bookmarkStart w:id="23" w:name="_GoBack"/>
      <w:bookmarkEnd w:id="23"/>
      <w:r>
        <w:rPr>
          <w:rFonts w:ascii="Times New Roman" w:hAnsi="Times New Roman" w:eastAsia="宋体" w:cs="Times New Roman"/>
          <w:b/>
          <w:sz w:val="24"/>
        </w:rPr>
        <w:t xml:space="preserve"> GPU、32+ 数据中心</w:t>
      </w:r>
      <w:r>
        <w:rPr>
          <w:rFonts w:ascii="Times New Roman" w:hAnsi="Times New Roman" w:eastAsia="宋体" w:cs="Times New Roman"/>
          <w:b w:val="0"/>
          <w:sz w:val="24"/>
        </w:rPr>
        <w:t>（2025 初）；有效电力 470MW、签约电力 2.2GW（2025 中）——（</w:t>
      </w:r>
      <w:r>
        <w:fldChar w:fldCharType="begin"/>
      </w:r>
      <w:r>
        <w:instrText xml:space="preserve"> HYPERLINK "https://www.nextplatform.com/ai/2025/03/06/coreweaves-250000-strong-gpu-fleet-undercuts-the-big-clouds/1656232"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4"/>
          <w:u w:val="single"/>
        </w:rPr>
        <w:t>The Next Platform</w:t>
      </w:r>
      <w:r>
        <w:rPr>
          <w:rFonts w:ascii="Times New Roman" w:hAnsi="Times New Roman" w:eastAsia="宋体"/>
          <w:color w:val="0563C1"/>
          <w:sz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fldChar w:fldCharType="begin"/>
      </w:r>
      <w:r>
        <w:instrText xml:space="preserve"> HYPERLINK "https://introl.com/blog/coreweave-gpu-cloud-ai-infrastructure-deep-dive-2025"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4"/>
          <w:u w:val="single"/>
        </w:rPr>
        <w:t>Introl</w:t>
      </w:r>
      <w:r>
        <w:rPr>
          <w:rFonts w:ascii="Times New Roman" w:hAnsi="Times New Roman" w:eastAsia="宋体"/>
          <w:color w:val="0563C1"/>
          <w:sz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4"/>
        </w:rPr>
        <w:t>）</w:t>
      </w:r>
    </w:p>
    <w:p>
      <w:pPr>
        <w:spacing w:after="40" w:line="36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 xml:space="preserve">• </w:t>
      </w:r>
      <w:r>
        <w:rPr>
          <w:rFonts w:ascii="Times New Roman" w:hAnsi="Times New Roman" w:eastAsia="宋体" w:cs="Times New Roman"/>
          <w:b/>
          <w:sz w:val="24"/>
        </w:rPr>
        <w:t>首家规模化上线 GB200 NVL72</w:t>
      </w:r>
      <w:r>
        <w:rPr>
          <w:rFonts w:ascii="Times New Roman" w:hAnsi="Times New Roman" w:eastAsia="宋体" w:cs="Times New Roman"/>
          <w:b w:val="0"/>
          <w:sz w:val="24"/>
        </w:rPr>
        <w:t>（2025/2 GA）与 GB300；多次刷新 MLPerf Training 纪录【事件已核实】</w:t>
      </w:r>
    </w:p>
    <w:p>
      <w:pPr>
        <w:spacing w:after="40" w:line="360" w:lineRule="auto"/>
        <w:ind w:left="420" w:hanging="210"/>
        <w:rPr>
          <w:rFonts w:hint="eastAsia" w:eastAsia="宋体"/>
          <w:lang w:eastAsia="zh-CN"/>
        </w:rPr>
      </w:pPr>
      <w:r>
        <w:rPr>
          <w:rFonts w:ascii="Times New Roman" w:hAnsi="Times New Roman" w:eastAsia="宋体" w:cs="Times New Roman"/>
          <w:b w:val="0"/>
          <w:sz w:val="24"/>
        </w:rPr>
        <w:t xml:space="preserve">• </w:t>
      </w:r>
      <w:r>
        <w:rPr>
          <w:rFonts w:ascii="Times New Roman" w:hAnsi="Times New Roman" w:eastAsia="宋体" w:cs="Times New Roman"/>
          <w:b/>
          <w:sz w:val="24"/>
        </w:rPr>
        <w:t>客户集中</w:t>
      </w:r>
      <w:r>
        <w:rPr>
          <w:rFonts w:ascii="Times New Roman" w:hAnsi="Times New Roman" w:eastAsia="宋体" w:cs="Times New Roman"/>
          <w:b w:val="0"/>
          <w:sz w:val="24"/>
        </w:rPr>
        <w:t xml:space="preserve">：微软占 2024 收入 </w:t>
      </w:r>
      <w:r>
        <w:rPr>
          <w:rFonts w:ascii="Times New Roman" w:hAnsi="Times New Roman" w:eastAsia="宋体" w:cs="Times New Roman"/>
          <w:b/>
          <w:sz w:val="24"/>
        </w:rPr>
        <w:t>62%</w:t>
      </w:r>
      <w:r>
        <w:rPr>
          <w:rFonts w:ascii="Times New Roman" w:hAnsi="Times New Roman" w:eastAsia="宋体" w:cs="Times New Roman"/>
          <w:b w:val="0"/>
          <w:sz w:val="24"/>
        </w:rPr>
        <w:t xml:space="preserve">、2025 约 67%；OpenAI 2025/3 签 5 年 </w:t>
      </w:r>
      <w:r>
        <w:rPr>
          <w:rFonts w:ascii="Times New Roman" w:hAnsi="Times New Roman" w:eastAsia="宋体" w:cs="Times New Roman"/>
          <w:b/>
          <w:sz w:val="24"/>
        </w:rPr>
        <w:t>$11.9B</w:t>
      </w:r>
      <w:r>
        <w:rPr>
          <w:rFonts w:ascii="Times New Roman" w:hAnsi="Times New Roman" w:eastAsia="宋体" w:cs="Times New Roman"/>
          <w:b w:val="0"/>
          <w:sz w:val="24"/>
        </w:rPr>
        <w:t xml:space="preserve"> 合同并多次扩容；</w:t>
      </w:r>
      <w:r>
        <w:rPr>
          <w:rFonts w:ascii="Times New Roman" w:hAnsi="Times New Roman" w:eastAsia="宋体" w:cs="Times New Roman"/>
          <w:b/>
          <w:sz w:val="24"/>
        </w:rPr>
        <w:t>收入积压（backlog）2025 末 $66.8B</w:t>
      </w:r>
      <w:r>
        <w:rPr>
          <w:rFonts w:ascii="Times New Roman" w:hAnsi="Times New Roman" w:eastAsia="宋体" w:cs="Times New Roman"/>
          <w:b w:val="0"/>
          <w:sz w:val="24"/>
        </w:rPr>
        <w:t>——（</w:t>
      </w:r>
      <w:r>
        <w:fldChar w:fldCharType="begin"/>
      </w:r>
      <w:r>
        <w:instrText xml:space="preserve"> HYPERLINK "https://mlq.ai/research/coreweave/"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4"/>
          <w:u w:val="single"/>
        </w:rPr>
        <w:t>mlq.ai</w:t>
      </w:r>
      <w:r>
        <w:rPr>
          <w:rFonts w:ascii="Times New Roman" w:hAnsi="Times New Roman" w:eastAsia="宋体"/>
          <w:color w:val="0563C1"/>
          <w:sz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fldChar w:fldCharType="begin"/>
      </w:r>
      <w:r>
        <w:instrText xml:space="preserve"> HYPERLINK "https://investors.coreweave.com/news/news-details/2026/CoreWeave-Reports-Strong-Fourth-Quarter-and-Fiscal-Year-2025-Results/"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4"/>
          <w:u w:val="single"/>
        </w:rPr>
        <w:t>CoreWeave FY2025 业绩稿</w:t>
      </w:r>
      <w:r>
        <w:rPr>
          <w:rFonts w:ascii="Times New Roman" w:hAnsi="Times New Roman" w:eastAsia="宋体"/>
          <w:color w:val="0563C1"/>
          <w:sz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sz w:val="24"/>
        </w:rPr>
        <w:t>）</w:t>
      </w:r>
    </w:p>
    <w:p>
      <w:pPr>
        <w:spacing w:after="40" w:line="360" w:lineRule="auto"/>
        <w:ind w:left="420" w:hanging="210"/>
      </w:pPr>
      <w:r>
        <w:rPr>
          <w:rFonts w:ascii="Times New Roman" w:hAnsi="Times New Roman" w:eastAsia="宋体" w:cs="Times New Roman"/>
          <w:b w:val="0"/>
          <w:sz w:val="24"/>
        </w:rPr>
        <w:t>• 无 Top500 送测（商业云不参与 HPL 榜单）。</w:t>
      </w:r>
    </w:p>
    <w:p>
      <w:pPr>
        <w:spacing w:after="40" w:line="360" w:lineRule="auto"/>
      </w:pPr>
    </w:p>
    <w:sectPr>
      <w:footerReference r:id="rId5" w:type="default"/>
      <w:pgSz w:w="11906" w:h="16838"/>
      <w:pgMar w:top="1440" w:right="1701" w:bottom="1440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5"/>
      <w:jc w:val="center"/>
    </w:pPr>
    <w:r>
      <w:rPr>
        <w:rFonts w:ascii="Times New Roman" w:hAnsi="Times New Roman" w:eastAsia="宋体" w:cs="Times New Roman"/>
        <w:b w:val="0"/>
        <w:sz w:val="21"/>
      </w:rPr>
      <w:fldChar w:fldCharType="begin"/>
    </w:r>
    <w:r>
      <w:rPr>
        <w:rFonts w:ascii="Times New Roman" w:hAnsi="Times New Roman" w:eastAsia="宋体" w:cs="Times New Roman"/>
        <w:b w:val="0"/>
        <w:sz w:val="21"/>
      </w:rPr>
      <w:instrText xml:space="preserve">PAGE</w:instrText>
    </w:r>
    <w:r>
      <w:rPr>
        <w:rFonts w:ascii="Times New Roman" w:hAnsi="Times New Roman" w:eastAsia="宋体" w:cs="Times New Roman"/>
        <w:b w:val="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48231A8F"/>
    <w:multiLevelType w:val="singleLevel"/>
    <w:tmpl w:val="48231A8F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D000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uiPriority w:val="99"/>
  </w:style>
  <w:style w:type="character" w:customStyle="1" w:styleId="148">
    <w:name w:val="Body Text 2 Char"/>
    <w:basedOn w:val="135"/>
    <w:link w:val="31"/>
    <w:uiPriority w:val="99"/>
  </w:style>
  <w:style w:type="character" w:customStyle="1" w:styleId="149">
    <w:name w:val="Body Text 3 Char"/>
    <w:basedOn w:val="135"/>
    <w:link w:val="17"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mengqingxuan</cp:lastModifiedBy>
  <dcterms:modified xsi:type="dcterms:W3CDTF">2026-07-02T09:10:24Z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EEA2354F96244C83A7B51E9B583B7C04</vt:lpwstr>
  </property>
</Properties>
</file>