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320" w:line="360" w:lineRule="auto"/>
        <w:jc w:val="center"/>
      </w:pPr>
      <w:r>
        <w:rPr>
          <w:rFonts w:ascii="Times New Roman" w:hAnsi="Times New Roman" w:eastAsia="黑体" w:cs="Times New Roman"/>
          <w:b/>
          <w:sz w:val="36"/>
        </w:rPr>
        <w:t>美股七巨头财务与算力研究（2020–2025）</w:t>
      </w:r>
    </w:p>
    <w:p>
      <w:pPr>
        <w:spacing w:before="240" w:after="120" w:line="360" w:lineRule="auto"/>
        <w:rPr>
          <w:rFonts w:hint="default" w:ascii="Times New Roman" w:hAnsi="Times New Roman" w:eastAsia="黑体" w:cs="Times New Roman"/>
          <w:b/>
          <w:sz w:val="32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sz w:val="32"/>
          <w:lang w:val="en-US" w:eastAsia="zh-CN"/>
        </w:rPr>
        <w:t>一、</w:t>
      </w:r>
      <w:r>
        <w:rPr>
          <w:rFonts w:hint="eastAsia" w:eastAsia="黑体" w:cs="Times New Roman"/>
          <w:b/>
          <w:sz w:val="32"/>
          <w:lang w:val="en-US" w:eastAsia="zh-CN"/>
        </w:rPr>
        <w:t>说明</w:t>
      </w:r>
    </w:p>
    <w:p>
      <w:pPr>
        <w:spacing w:after="40" w:line="360" w:lineRule="auto"/>
        <w:ind w:left="420"/>
        <w:rPr>
          <w:rFonts w:ascii="Times New Roman" w:hAnsi="Times New Roman" w:eastAsia="宋体" w:cs="Times New Roman"/>
          <w:b w:val="0"/>
          <w:sz w:val="24"/>
        </w:rPr>
      </w:pPr>
      <w:r>
        <w:rPr>
          <w:rFonts w:hint="eastAsia" w:cs="Times New Roman"/>
          <w:b/>
          <w:sz w:val="24"/>
          <w:lang w:val="en-US" w:eastAsia="zh-CN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研究对象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spacing w:after="40" w:line="360" w:lineRule="auto"/>
        <w:ind w:firstLine="720" w:firstLineChars="0"/>
      </w:pPr>
      <w:r>
        <w:rPr>
          <w:rFonts w:ascii="Times New Roman" w:hAnsi="Times New Roman" w:eastAsia="宋体" w:cs="Times New Roman"/>
          <w:b w:val="0"/>
          <w:sz w:val="24"/>
        </w:rPr>
        <w:t>美股"七巨头"（Magnificent Seven）——微软（MSFT）、苹果（AAPL）、英伟达（NVDA）、Alphabet/谷歌（GOOGL）、亚马逊（AMZN）、Meta（META）、特斯拉（TSLA）。</w:t>
      </w:r>
    </w:p>
    <w:p>
      <w:pPr>
        <w:numPr>
          <w:ilvl w:val="0"/>
          <w:numId w:val="7"/>
        </w:numPr>
        <w:spacing w:after="40" w:line="360" w:lineRule="auto"/>
        <w:ind w:left="420"/>
      </w:pPr>
      <w:r>
        <w:rPr>
          <w:rFonts w:hint="eastAsia" w:cs="Times New Roman"/>
          <w:b/>
          <w:sz w:val="24"/>
          <w:lang w:val="en-US" w:eastAsia="zh-CN"/>
        </w:rPr>
        <w:t xml:space="preserve"> 样本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numPr>
          <w:numId w:val="0"/>
        </w:numPr>
        <w:spacing w:after="40" w:line="360" w:lineRule="auto"/>
        <w:ind w:firstLine="720" w:firstLineChars="0"/>
        <w:rPr>
          <w:b w:val="0"/>
          <w:bCs w:val="0"/>
        </w:rPr>
      </w:pPr>
      <w:r>
        <w:rPr>
          <w:rFonts w:hint="eastAsia" w:cs="Times New Roman"/>
          <w:b w:val="0"/>
          <w:bCs w:val="0"/>
          <w:sz w:val="24"/>
          <w:lang w:val="en-US" w:eastAsia="zh-CN"/>
        </w:rPr>
        <w:t>本文</w:t>
      </w:r>
      <w:r>
        <w:rPr>
          <w:rFonts w:ascii="Times New Roman" w:hAnsi="Times New Roman" w:eastAsia="宋体" w:cs="Times New Roman"/>
          <w:b w:val="0"/>
          <w:bCs w:val="0"/>
          <w:sz w:val="24"/>
        </w:rPr>
        <w:t xml:space="preserve">按市值选取Magnificent Seven，并非按"AI 投入/算力"选取。故苹果、特斯拉虽入选、其 AI </w:t>
      </w:r>
      <w:r>
        <w:rPr>
          <w:rFonts w:hint="eastAsia" w:cs="Times New Roman"/>
          <w:b w:val="0"/>
          <w:bCs w:val="0"/>
          <w:sz w:val="24"/>
          <w:lang w:val="en-US" w:eastAsia="zh-CN"/>
        </w:rPr>
        <w:t>资本支出</w:t>
      </w:r>
      <w:r>
        <w:rPr>
          <w:rFonts w:ascii="Times New Roman" w:hAnsi="Times New Roman" w:eastAsia="宋体" w:cs="Times New Roman"/>
          <w:b w:val="0"/>
          <w:bCs w:val="0"/>
          <w:sz w:val="24"/>
        </w:rPr>
        <w:t xml:space="preserve"> 却很小； 2025 数据中心军备竞赛中的重要非上市</w:t>
      </w:r>
      <w:r>
        <w:rPr>
          <w:rFonts w:hint="eastAsia" w:cs="Times New Roman"/>
          <w:b w:val="0"/>
          <w:bCs w:val="0"/>
          <w:sz w:val="24"/>
          <w:lang w:val="en-US" w:eastAsia="zh-CN"/>
        </w:rPr>
        <w:t>公司</w:t>
      </w:r>
      <w:r>
        <w:rPr>
          <w:rFonts w:ascii="Times New Roman" w:hAnsi="Times New Roman" w:eastAsia="宋体" w:cs="Times New Roman"/>
          <w:b w:val="0"/>
          <w:bCs w:val="0"/>
          <w:sz w:val="24"/>
        </w:rPr>
        <w:t>（OpenAI、Oracle/OCI、CoreWeave、xAI等）不在本样本内。</w:t>
      </w:r>
    </w:p>
    <w:p>
      <w:pPr>
        <w:numPr>
          <w:ilvl w:val="0"/>
          <w:numId w:val="7"/>
        </w:numPr>
        <w:spacing w:after="40" w:line="360" w:lineRule="auto"/>
        <w:ind w:left="420" w:leftChars="0" w:firstLine="0" w:firstLineChars="0"/>
        <w:rPr>
          <w:rFonts w:ascii="Times New Roman" w:hAnsi="Times New Roman" w:eastAsia="宋体" w:cs="Times New Roman"/>
          <w:b w:val="0"/>
          <w:sz w:val="24"/>
        </w:rPr>
      </w:pPr>
      <w:r>
        <w:rPr>
          <w:rFonts w:ascii="Times New Roman" w:hAnsi="Times New Roman" w:eastAsia="宋体" w:cs="Times New Roman"/>
          <w:b/>
          <w:sz w:val="24"/>
        </w:rPr>
        <w:t>覆盖维度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numPr>
          <w:ilvl w:val="0"/>
          <w:numId w:val="0"/>
        </w:numPr>
        <w:spacing w:after="40" w:line="360" w:lineRule="auto"/>
        <w:ind w:firstLine="720" w:firstLineChars="0"/>
        <w:rPr>
          <w:rFonts w:ascii="Times New Roman" w:hAnsi="Times New Roman" w:eastAsia="宋体" w:cs="Times New Roman"/>
          <w:b w:val="0"/>
          <w:sz w:val="24"/>
        </w:rPr>
      </w:pPr>
      <w:r>
        <w:rPr>
          <w:rFonts w:ascii="Times New Roman" w:hAnsi="Times New Roman" w:eastAsia="宋体" w:cs="Times New Roman"/>
          <w:b w:val="0"/>
          <w:sz w:val="24"/>
        </w:rPr>
        <w:t>①市值变化</w:t>
      </w:r>
    </w:p>
    <w:p>
      <w:pPr>
        <w:numPr>
          <w:ilvl w:val="0"/>
          <w:numId w:val="0"/>
        </w:numPr>
        <w:spacing w:after="40" w:line="360" w:lineRule="auto"/>
        <w:ind w:firstLine="720" w:firstLineChars="0"/>
        <w:rPr>
          <w:rFonts w:ascii="Times New Roman" w:hAnsi="Times New Roman" w:eastAsia="宋体" w:cs="Times New Roman"/>
          <w:b w:val="0"/>
          <w:sz w:val="24"/>
        </w:rPr>
      </w:pPr>
      <w:r>
        <w:rPr>
          <w:rFonts w:ascii="Times New Roman" w:hAnsi="Times New Roman" w:eastAsia="宋体" w:cs="Times New Roman"/>
          <w:b w:val="0"/>
          <w:sz w:val="24"/>
        </w:rPr>
        <w:t xml:space="preserve"> ②资本性开支（CapEx）</w:t>
      </w:r>
    </w:p>
    <w:p>
      <w:pPr>
        <w:numPr>
          <w:ilvl w:val="0"/>
          <w:numId w:val="0"/>
        </w:numPr>
        <w:spacing w:after="40" w:line="360" w:lineRule="auto"/>
        <w:ind w:firstLine="720" w:firstLineChars="0"/>
        <w:rPr>
          <w:rFonts w:ascii="Times New Roman" w:hAnsi="Times New Roman" w:eastAsia="宋体" w:cs="Times New Roman"/>
          <w:b w:val="0"/>
          <w:sz w:val="24"/>
        </w:rPr>
      </w:pPr>
      <w:r>
        <w:rPr>
          <w:rFonts w:ascii="Times New Roman" w:hAnsi="Times New Roman" w:eastAsia="宋体" w:cs="Times New Roman"/>
          <w:b w:val="0"/>
          <w:sz w:val="24"/>
        </w:rPr>
        <w:t xml:space="preserve">③用于数据中心建设的资本性开支 </w:t>
      </w:r>
    </w:p>
    <w:p>
      <w:pPr>
        <w:numPr>
          <w:ilvl w:val="0"/>
          <w:numId w:val="0"/>
        </w:numPr>
        <w:spacing w:after="40" w:line="360" w:lineRule="auto"/>
        <w:ind w:firstLine="720" w:firstLineChars="0"/>
        <w:rPr>
          <w:rFonts w:ascii="Times New Roman" w:hAnsi="Times New Roman" w:eastAsia="宋体" w:cs="Times New Roman"/>
          <w:b w:val="0"/>
          <w:sz w:val="24"/>
        </w:rPr>
      </w:pPr>
      <w:r>
        <w:rPr>
          <w:rFonts w:ascii="Times New Roman" w:hAnsi="Times New Roman" w:eastAsia="宋体" w:cs="Times New Roman"/>
          <w:b w:val="0"/>
          <w:sz w:val="24"/>
        </w:rPr>
        <w:t>④融资额（债/股）</w:t>
      </w:r>
    </w:p>
    <w:p>
      <w:pPr>
        <w:numPr>
          <w:ilvl w:val="0"/>
          <w:numId w:val="0"/>
        </w:numPr>
        <w:spacing w:after="40" w:line="360" w:lineRule="auto"/>
        <w:ind w:firstLine="720" w:firstLineChars="0"/>
        <w:rPr>
          <w:rFonts w:ascii="Times New Roman" w:hAnsi="Times New Roman" w:eastAsia="宋体" w:cs="Times New Roman"/>
          <w:b w:val="0"/>
          <w:sz w:val="24"/>
        </w:rPr>
      </w:pPr>
      <w:r>
        <w:rPr>
          <w:rFonts w:ascii="Times New Roman" w:hAnsi="Times New Roman" w:eastAsia="宋体" w:cs="Times New Roman"/>
          <w:b w:val="0"/>
          <w:sz w:val="24"/>
        </w:rPr>
        <w:t>⑤超算/算力能力</w:t>
      </w:r>
    </w:p>
    <w:p>
      <w:pPr>
        <w:numPr>
          <w:ilvl w:val="0"/>
          <w:numId w:val="7"/>
        </w:numPr>
        <w:spacing w:after="40" w:line="360" w:lineRule="auto"/>
        <w:ind w:left="420" w:leftChars="0" w:firstLine="0" w:firstLineChars="0"/>
        <w:rPr>
          <w:rFonts w:ascii="Times New Roman" w:hAnsi="Times New Roman" w:eastAsia="宋体" w:cs="Times New Roman"/>
          <w:b w:val="0"/>
          <w:sz w:val="24"/>
        </w:rPr>
      </w:pPr>
      <w:r>
        <w:rPr>
          <w:rFonts w:ascii="Times New Roman" w:hAnsi="Times New Roman" w:eastAsia="宋体" w:cs="Times New Roman"/>
          <w:b/>
          <w:sz w:val="24"/>
        </w:rPr>
        <w:t>口径统一说明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numPr>
          <w:numId w:val="0"/>
        </w:numPr>
        <w:spacing w:after="40" w:line="360" w:lineRule="auto"/>
        <w:ind w:firstLine="720" w:firstLineChars="0"/>
      </w:pPr>
      <w:r>
        <w:rPr>
          <w:rFonts w:ascii="Times New Roman" w:hAnsi="Times New Roman" w:eastAsia="宋体" w:cs="Times New Roman"/>
          <w:b w:val="0"/>
          <w:sz w:val="24"/>
        </w:rPr>
        <w:t>各公司财年不同（微软财年</w:t>
      </w:r>
      <w:r>
        <w:rPr>
          <w:rFonts w:hint="eastAsia" w:ascii="Times New Roman" w:hAnsi="Times New Roman" w:eastAsia="宋体" w:cs="Times New Roman"/>
          <w:b w:val="0"/>
          <w:sz w:val="24"/>
          <w:lang w:val="en-US" w:eastAsia="zh-CN"/>
        </w:rPr>
        <w:t>7/1~次年</w:t>
      </w:r>
      <w:r>
        <w:rPr>
          <w:rFonts w:ascii="Times New Roman" w:hAnsi="Times New Roman" w:eastAsia="宋体" w:cs="Times New Roman"/>
          <w:b w:val="0"/>
          <w:sz w:val="24"/>
        </w:rPr>
        <w:t>6/30，苹果</w:t>
      </w:r>
      <w:r>
        <w:rPr>
          <w:rFonts w:hint="eastAsia" w:ascii="Times New Roman" w:hAnsi="Times New Roman" w:eastAsia="宋体" w:cs="Times New Roman"/>
          <w:b w:val="0"/>
          <w:sz w:val="24"/>
          <w:lang w:val="en-US" w:eastAsia="zh-CN"/>
        </w:rPr>
        <w:t>财年10月初~次年</w:t>
      </w:r>
      <w:r>
        <w:rPr>
          <w:rFonts w:ascii="Times New Roman" w:hAnsi="Times New Roman" w:eastAsia="宋体" w:cs="Times New Roman"/>
          <w:b w:val="0"/>
          <w:sz w:val="24"/>
        </w:rPr>
        <w:t>9月最后一个周六，英伟达</w:t>
      </w:r>
      <w:r>
        <w:rPr>
          <w:rFonts w:hint="eastAsia" w:ascii="Times New Roman" w:hAnsi="Times New Roman" w:eastAsia="宋体" w:cs="Times New Roman"/>
          <w:b w:val="0"/>
          <w:sz w:val="24"/>
          <w:lang w:val="en-US" w:eastAsia="zh-CN"/>
        </w:rPr>
        <w:t>财年2月初~次年</w:t>
      </w:r>
      <w:r>
        <w:rPr>
          <w:rFonts w:ascii="Times New Roman" w:hAnsi="Times New Roman" w:eastAsia="宋体" w:cs="Times New Roman"/>
          <w:b w:val="0"/>
          <w:sz w:val="24"/>
        </w:rPr>
        <w:t>1月最后一个周日）其余为日历年。</w:t>
      </w:r>
    </w:p>
    <w:p>
      <w:pPr>
        <w:pBdr>
          <w:bottom w:val="single" w:color="AAAAAA" w:sz="6" w:space="1"/>
        </w:pBdr>
        <w:spacing w:after="80"/>
      </w:pPr>
    </w:p>
    <w:p>
      <w:pPr>
        <w:spacing w:before="240" w:after="120" w:line="360" w:lineRule="auto"/>
      </w:pPr>
      <w:r>
        <w:rPr>
          <w:rFonts w:hint="eastAsia" w:eastAsia="黑体" w:cs="Times New Roman"/>
          <w:b/>
          <w:sz w:val="32"/>
          <w:lang w:val="en-US" w:eastAsia="zh-CN"/>
        </w:rPr>
        <w:t>二</w:t>
      </w:r>
      <w:r>
        <w:rPr>
          <w:rFonts w:ascii="Times New Roman" w:hAnsi="Times New Roman" w:eastAsia="黑体" w:cs="Times New Roman"/>
          <w:b/>
          <w:sz w:val="32"/>
        </w:rPr>
        <w:t>、市值变化</w:t>
      </w:r>
    </w:p>
    <w:p>
      <w:pPr>
        <w:spacing w:after="40" w:line="360" w:lineRule="auto"/>
        <w:ind w:left="420"/>
        <w:rPr>
          <w:rFonts w:ascii="Times New Roman" w:hAnsi="Times New Roman" w:eastAsia="宋体" w:cs="Times New Roman"/>
          <w:b w:val="0"/>
          <w:sz w:val="24"/>
        </w:rPr>
      </w:pPr>
      <w:r>
        <w:rPr>
          <w:rFonts w:hint="eastAsia" w:cs="Times New Roman"/>
          <w:b/>
          <w:sz w:val="24"/>
          <w:lang w:val="en-US" w:eastAsia="zh-CN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口径与来源说明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spacing w:after="40" w:line="360" w:lineRule="auto"/>
        <w:ind w:firstLine="720" w:firstLineChars="0"/>
        <w:rPr>
          <w:b w:val="0"/>
          <w:bCs w:val="0"/>
        </w:rPr>
      </w:pPr>
      <w:r>
        <w:rPr>
          <w:rFonts w:ascii="Times New Roman" w:hAnsi="Times New Roman" w:eastAsia="宋体" w:cs="Times New Roman"/>
          <w:b w:val="0"/>
          <w:bCs w:val="0"/>
          <w:sz w:val="24"/>
        </w:rPr>
        <w:t>各年 12月31日（或当年最后交易日）收盘市值，含全部股类，单位万亿美元。</w:t>
      </w:r>
    </w:p>
    <w:p>
      <w:pPr>
        <w:spacing w:after="40" w:line="360" w:lineRule="auto"/>
        <w:ind w:firstLine="720" w:firstLineChars="0"/>
        <w:rPr>
          <w:rFonts w:hint="eastAsia" w:eastAsia="宋体"/>
          <w:b w:val="0"/>
          <w:bCs/>
          <w:lang w:eastAsia="zh-CN"/>
        </w:rPr>
      </w:pPr>
      <w:r>
        <w:rPr>
          <w:rFonts w:ascii="Times New Roman" w:hAnsi="Times New Roman" w:eastAsia="宋体" w:cs="Times New Roman"/>
          <w:b w:val="0"/>
          <w:bCs/>
          <w:sz w:val="24"/>
        </w:rPr>
        <w:t>市值不是 SEC 申报项。 市值 = 股价 × 股数，而股价是市场数据、非公司申报数据，公司 10-K 中并无"市值"（10-K 封面的"non-affiliates 持股市值"仅为某一特定日的非关联方部分，不能用作年末市值）。因此本节采用市场数据源</w:t>
      </w:r>
      <w:r>
        <w:rPr>
          <w:rFonts w:hint="eastAsia" w:cs="Times New Roman"/>
          <w:b w:val="0"/>
          <w:bCs/>
          <w:sz w:val="24"/>
          <w:lang w:eastAsia="zh-CN"/>
        </w:rPr>
        <w:t>。</w:t>
      </w:r>
    </w:p>
    <w:p>
      <w:pPr>
        <w:spacing w:after="40" w:line="360" w:lineRule="auto"/>
        <w:ind w:firstLine="720" w:firstLineChars="0"/>
        <w:rPr>
          <w:rFonts w:hint="eastAsia" w:ascii="Times New Roman" w:hAnsi="Times New Roman" w:eastAsia="宋体" w:cs="Times New Roman"/>
          <w:b w:val="0"/>
          <w:bCs/>
          <w:sz w:val="24"/>
          <w:lang w:eastAsia="zh-CN"/>
        </w:rPr>
      </w:pPr>
      <w:r>
        <w:rPr>
          <w:rFonts w:hint="eastAsia" w:cs="Times New Roman"/>
          <w:b w:val="0"/>
          <w:bCs/>
          <w:sz w:val="24"/>
          <w:lang w:val="en-US" w:eastAsia="zh-CN"/>
        </w:rPr>
        <w:t>数据</w:t>
      </w:r>
      <w:r>
        <w:rPr>
          <w:rFonts w:ascii="Times New Roman" w:hAnsi="Times New Roman" w:eastAsia="宋体" w:cs="Times New Roman"/>
          <w:b w:val="0"/>
          <w:bCs/>
          <w:sz w:val="24"/>
        </w:rPr>
        <w:t>口径为总市值（Market Capitalization = 全部已发行股份 × 股价，含全部股类；Alphabet 含 A+B+C 三类、Meta 含 A+B 两类），并非流通市值（自由流通市值）。市值</w:t>
      </w:r>
      <w:r>
        <w:rPr>
          <w:rFonts w:hint="eastAsia" w:cs="Times New Roman"/>
          <w:b w:val="0"/>
          <w:bCs/>
          <w:sz w:val="24"/>
          <w:lang w:val="en-US" w:eastAsia="zh-CN"/>
        </w:rPr>
        <w:t>数字经过</w:t>
      </w:r>
      <w:r>
        <w:rPr>
          <w:rFonts w:ascii="Times New Roman" w:hAnsi="Times New Roman" w:eastAsia="宋体" w:cs="Times New Roman"/>
          <w:b w:val="0"/>
          <w:bCs/>
          <w:sz w:val="24"/>
        </w:rPr>
        <w:t>四舍五入</w:t>
      </w:r>
      <w:r>
        <w:rPr>
          <w:rFonts w:hint="eastAsia" w:cs="Times New Roman"/>
          <w:b w:val="0"/>
          <w:bCs/>
          <w:sz w:val="24"/>
          <w:lang w:eastAsia="zh-CN"/>
        </w:rPr>
        <w:t>。</w:t>
      </w:r>
    </w:p>
    <w:p>
      <w:pPr>
        <w:spacing w:after="40"/>
        <w:jc w:val="center"/>
        <w:rPr>
          <w:rFonts w:ascii="Times New Roman" w:hAnsi="Times New Roman" w:eastAsia="宋体" w:cs="Times New Roman"/>
          <w:b/>
          <w:bCs/>
          <w:sz w:val="21"/>
          <w:szCs w:val="20"/>
        </w:rPr>
      </w:pPr>
      <w:r>
        <w:rPr>
          <w:rFonts w:hint="eastAsia"/>
          <w:b/>
          <w:bCs/>
          <w:sz w:val="21"/>
          <w:szCs w:val="20"/>
          <w:lang w:val="en-US" w:eastAsia="zh-CN"/>
        </w:rPr>
        <w:t>表1：七巨头市值2020~2025，单位：万亿美元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6"/>
        <w:gridCol w:w="1134"/>
        <w:gridCol w:w="1215"/>
        <w:gridCol w:w="1215"/>
        <w:gridCol w:w="1215"/>
        <w:gridCol w:w="1215"/>
        <w:gridCol w:w="121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6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公司</w:t>
            </w:r>
          </w:p>
        </w:tc>
        <w:tc>
          <w:tcPr>
            <w:tcW w:w="1134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2020末</w:t>
            </w:r>
          </w:p>
        </w:tc>
        <w:tc>
          <w:tcPr>
            <w:tcW w:w="1215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2021末</w:t>
            </w:r>
          </w:p>
        </w:tc>
        <w:tc>
          <w:tcPr>
            <w:tcW w:w="1215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2022末</w:t>
            </w:r>
          </w:p>
        </w:tc>
        <w:tc>
          <w:tcPr>
            <w:tcW w:w="1215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2023末</w:t>
            </w:r>
          </w:p>
        </w:tc>
        <w:tc>
          <w:tcPr>
            <w:tcW w:w="1215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2024末</w:t>
            </w:r>
          </w:p>
        </w:tc>
        <w:tc>
          <w:tcPr>
            <w:tcW w:w="1215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2025末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6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苹果 AAPL</w:t>
            </w:r>
          </w:p>
        </w:tc>
        <w:tc>
          <w:tcPr>
            <w:tcW w:w="113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2.26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2.91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2.07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2.99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3.79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3.99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6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微软 MSFT</w:t>
            </w:r>
          </w:p>
        </w:tc>
        <w:tc>
          <w:tcPr>
            <w:tcW w:w="113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1.68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2.52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1.79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2.79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3.20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3.62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6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英伟达 NVDA</w:t>
            </w:r>
          </w:p>
        </w:tc>
        <w:tc>
          <w:tcPr>
            <w:tcW w:w="113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0.32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0.73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0.36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1.22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3.29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4.63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6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Alphabet GOOGL</w:t>
            </w:r>
          </w:p>
        </w:tc>
        <w:tc>
          <w:tcPr>
            <w:tcW w:w="113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1.19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1.92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1.15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1.76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2.37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3.80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6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亚马逊 AMZN</w:t>
            </w:r>
          </w:p>
        </w:tc>
        <w:tc>
          <w:tcPr>
            <w:tcW w:w="113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1.63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1.69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0.86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1.57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2.35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2.49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6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Meta META</w:t>
            </w:r>
          </w:p>
        </w:tc>
        <w:tc>
          <w:tcPr>
            <w:tcW w:w="113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0.78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0.94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0.31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0.91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1.49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1.55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6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特斯拉 TSLA</w:t>
            </w:r>
          </w:p>
        </w:tc>
        <w:tc>
          <w:tcPr>
            <w:tcW w:w="113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0.69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1.06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0.39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0.79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1.39</w:t>
            </w:r>
          </w:p>
        </w:tc>
        <w:tc>
          <w:tcPr>
            <w:tcW w:w="12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1.58</w:t>
            </w:r>
          </w:p>
        </w:tc>
      </w:tr>
    </w:tbl>
    <w:p>
      <w:pPr>
        <w:spacing w:after="40" w:line="360" w:lineRule="auto"/>
        <w:jc w:val="both"/>
      </w:pPr>
      <w:r>
        <w:rPr>
          <w:rFonts w:hint="eastAsia" w:cs="Times New Roman"/>
          <w:b/>
          <w:bCs w:val="0"/>
          <w:sz w:val="22"/>
          <w:szCs w:val="21"/>
          <w:lang w:val="en-US" w:eastAsia="zh-CN"/>
        </w:rPr>
        <w:t>资料来源：</w:t>
      </w:r>
      <w:r>
        <w:rPr>
          <w:rFonts w:hint="eastAsia" w:cs="Times New Roman"/>
          <w:b/>
          <w:bCs w:val="0"/>
          <w:sz w:val="22"/>
          <w:szCs w:val="21"/>
          <w:lang w:val="en-US" w:eastAsia="zh-CN"/>
        </w:rPr>
        <w:fldChar w:fldCharType="begin"/>
      </w:r>
      <w:r>
        <w:rPr>
          <w:rFonts w:hint="eastAsia" w:cs="Times New Roman"/>
          <w:b/>
          <w:bCs w:val="0"/>
          <w:sz w:val="22"/>
          <w:szCs w:val="21"/>
          <w:lang w:val="en-US" w:eastAsia="zh-CN"/>
        </w:rPr>
        <w:instrText xml:space="preserve"> HYPERLINK "https://companiesmarketcap.com/" </w:instrText>
      </w:r>
      <w:r>
        <w:rPr>
          <w:rFonts w:hint="eastAsia" w:cs="Times New Roman"/>
          <w:b/>
          <w:bCs w:val="0"/>
          <w:sz w:val="22"/>
          <w:szCs w:val="21"/>
          <w:lang w:val="en-US" w:eastAsia="zh-CN"/>
        </w:rPr>
        <w:fldChar w:fldCharType="separate"/>
      </w:r>
      <w:r>
        <w:rPr>
          <w:rStyle w:val="136"/>
          <w:rFonts w:hint="eastAsia" w:cs="Times New Roman"/>
          <w:b/>
          <w:bCs w:val="0"/>
          <w:sz w:val="22"/>
          <w:szCs w:val="21"/>
          <w:lang w:val="en-US" w:eastAsia="zh-CN"/>
        </w:rPr>
        <w:t>https://companiesmarketcap.com/</w:t>
      </w:r>
      <w:r>
        <w:rPr>
          <w:rFonts w:hint="eastAsia" w:cs="Times New Roman"/>
          <w:b/>
          <w:bCs w:val="0"/>
          <w:sz w:val="22"/>
          <w:szCs w:val="21"/>
          <w:lang w:val="en-US" w:eastAsia="zh-CN"/>
        </w:rPr>
        <w:fldChar w:fldCharType="end"/>
      </w:r>
      <w:r>
        <w:rPr>
          <w:rFonts w:hint="eastAsia" w:cs="Times New Roman"/>
          <w:b/>
          <w:bCs w:val="0"/>
          <w:sz w:val="22"/>
          <w:szCs w:val="21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b/>
          <w:bCs w:val="0"/>
          <w:sz w:val="22"/>
          <w:szCs w:val="21"/>
        </w:rPr>
        <w:t>，此处为</w:t>
      </w:r>
      <w:r>
        <w:rPr>
          <w:rFonts w:hint="eastAsia" w:cs="Times New Roman"/>
          <w:b/>
          <w:bCs w:val="0"/>
          <w:sz w:val="22"/>
          <w:szCs w:val="21"/>
          <w:lang w:val="en-US" w:eastAsia="zh-CN"/>
        </w:rPr>
        <w:t>2026/6/30记录的</w:t>
      </w:r>
      <w:r>
        <w:rPr>
          <w:rFonts w:ascii="Times New Roman" w:hAnsi="Times New Roman" w:eastAsia="宋体" w:cs="Times New Roman"/>
          <w:b/>
          <w:bCs w:val="0"/>
          <w:sz w:val="22"/>
          <w:szCs w:val="21"/>
        </w:rPr>
        <w:t>各年末静态</w:t>
      </w:r>
      <w:r>
        <w:rPr>
          <w:rFonts w:hint="eastAsia" w:cs="Times New Roman"/>
          <w:b/>
          <w:bCs w:val="0"/>
          <w:sz w:val="22"/>
          <w:szCs w:val="21"/>
          <w:lang w:val="en-US" w:eastAsia="zh-CN"/>
        </w:rPr>
        <w:t>数值</w:t>
      </w:r>
    </w:p>
    <w:p>
      <w:pPr>
        <w:spacing w:before="24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二、资本性开支 CapEx</w:t>
      </w:r>
    </w:p>
    <w:p>
      <w:pPr>
        <w:numPr>
          <w:ilvl w:val="0"/>
          <w:numId w:val="8"/>
        </w:numPr>
        <w:spacing w:after="40" w:line="360" w:lineRule="auto"/>
        <w:ind w:left="420" w:leftChars="0" w:firstLine="0" w:firstLineChars="0"/>
        <w:rPr>
          <w:rFonts w:ascii="Times New Roman" w:hAnsi="Times New Roman" w:eastAsia="宋体" w:cs="Times New Roman"/>
          <w:b/>
          <w:bCs/>
          <w:sz w:val="24"/>
        </w:rPr>
      </w:pPr>
      <w:r>
        <w:rPr>
          <w:rFonts w:hint="eastAsia" w:cs="Times New Roman"/>
          <w:b/>
          <w:bCs/>
          <w:sz w:val="24"/>
          <w:lang w:val="en-US" w:eastAsia="zh-CN"/>
        </w:rPr>
        <w:t xml:space="preserve">  </w:t>
      </w:r>
      <w:r>
        <w:rPr>
          <w:rFonts w:ascii="Times New Roman" w:hAnsi="Times New Roman" w:eastAsia="宋体" w:cs="Times New Roman"/>
          <w:b/>
          <w:bCs/>
          <w:sz w:val="24"/>
        </w:rPr>
        <w:t>口径：</w:t>
      </w:r>
    </w:p>
    <w:p>
      <w:pPr>
        <w:spacing w:after="40" w:line="360" w:lineRule="auto"/>
        <w:ind w:firstLine="720" w:firstLineChars="0"/>
        <w:rPr>
          <w:rFonts w:hint="eastAsia" w:cs="Times New Roman"/>
          <w:b w:val="0"/>
          <w:bCs w:val="0"/>
          <w:sz w:val="24"/>
          <w:lang w:eastAsia="zh-CN"/>
        </w:rPr>
      </w:pPr>
      <w:r>
        <w:rPr>
          <w:rFonts w:hint="eastAsia" w:cs="Times New Roman"/>
          <w:b w:val="0"/>
          <w:bCs w:val="0"/>
          <w:sz w:val="24"/>
          <w:lang w:val="en-US" w:eastAsia="zh-CN"/>
        </w:rPr>
        <w:t>由于资本性开支在各大公司财报中数据口径不一，并无统一的</w:t>
      </w:r>
      <w:r>
        <w:rPr>
          <w:rFonts w:ascii="Times New Roman" w:hAnsi="Times New Roman" w:eastAsia="宋体" w:cs="Times New Roman"/>
          <w:b w:val="0"/>
          <w:bCs w:val="0"/>
          <w:sz w:val="24"/>
        </w:rPr>
        <w:t>"Capital Expenditures"</w:t>
      </w:r>
      <w:r>
        <w:rPr>
          <w:rFonts w:hint="eastAsia" w:cs="Times New Roman"/>
          <w:b w:val="0"/>
          <w:bCs w:val="0"/>
          <w:sz w:val="24"/>
          <w:lang w:val="en-US" w:eastAsia="zh-CN"/>
        </w:rPr>
        <w:t>披露科目，</w:t>
      </w:r>
      <w:r>
        <w:rPr>
          <w:rFonts w:ascii="Times New Roman" w:hAnsi="Times New Roman" w:eastAsia="宋体" w:cs="Times New Roman"/>
          <w:b w:val="0"/>
          <w:bCs w:val="0"/>
          <w:sz w:val="24"/>
        </w:rPr>
        <w:t>各财经网站（stockanalysis、fiscal.ai、macrotrends 等）所显示的"Capital Expenditures"，实为对现金流量表 "投资活动"段中"购置不动产、厂房及设备的支出"那一行的重命名</w:t>
      </w:r>
      <w:r>
        <w:rPr>
          <w:rFonts w:hint="eastAsia" w:cs="Times New Roman"/>
          <w:b w:val="0"/>
          <w:bCs w:val="0"/>
          <w:sz w:val="24"/>
          <w:lang w:eastAsia="zh-CN"/>
        </w:rPr>
        <w:t>。</w:t>
      </w:r>
    </w:p>
    <w:p>
      <w:pPr>
        <w:spacing w:after="40" w:line="360" w:lineRule="auto"/>
        <w:ind w:firstLine="720" w:firstLineChars="0"/>
        <w:rPr>
          <w:rFonts w:hint="eastAsia" w:cs="Times New Roman"/>
          <w:b w:val="0"/>
          <w:bCs w:val="0"/>
          <w:sz w:val="24"/>
          <w:lang w:val="en-US" w:eastAsia="zh-CN"/>
        </w:rPr>
      </w:pPr>
      <w:r>
        <w:rPr>
          <w:rFonts w:hint="eastAsia" w:cs="Times New Roman"/>
          <w:b w:val="0"/>
          <w:bCs w:val="0"/>
          <w:sz w:val="24"/>
          <w:lang w:val="en-US" w:eastAsia="zh-CN"/>
        </w:rPr>
        <w:t>因此本文将Capex等价于</w:t>
      </w:r>
      <w:r>
        <w:rPr>
          <w:rFonts w:ascii="Times New Roman" w:hAnsi="Times New Roman" w:eastAsia="宋体" w:cs="Times New Roman"/>
          <w:b w:val="0"/>
          <w:bCs w:val="0"/>
          <w:sz w:val="24"/>
        </w:rPr>
        <w:t>"购置不动产与设备"。</w:t>
      </w:r>
      <w:r>
        <w:rPr>
          <w:rFonts w:hint="eastAsia" w:cs="Times New Roman"/>
          <w:b w:val="0"/>
          <w:bCs w:val="0"/>
          <w:sz w:val="24"/>
          <w:lang w:val="en-US" w:eastAsia="zh-CN"/>
        </w:rPr>
        <w:t>具体查找的口径见表2。</w:t>
      </w:r>
    </w:p>
    <w:p>
      <w:pPr>
        <w:numPr>
          <w:ilvl w:val="0"/>
          <w:numId w:val="8"/>
        </w:numPr>
        <w:spacing w:after="40" w:line="360" w:lineRule="auto"/>
        <w:ind w:left="42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4"/>
          <w:lang w:val="en-US" w:eastAsia="zh-CN"/>
        </w:rPr>
        <w:t>备注：</w:t>
      </w:r>
    </w:p>
    <w:p>
      <w:pPr>
        <w:numPr>
          <w:ilvl w:val="0"/>
          <w:numId w:val="9"/>
        </w:numPr>
        <w:spacing w:after="40" w:line="360" w:lineRule="auto"/>
        <w:ind w:left="420" w:leftChars="0" w:hanging="420" w:firstLineChars="0"/>
        <w:rPr>
          <w:rFonts w:hint="default" w:ascii="Times New Roman" w:hAnsi="Times New Roman" w:eastAsia="宋体" w:cs="Times New Roman"/>
          <w:b w:val="0"/>
          <w:bCs w:val="0"/>
          <w:sz w:val="24"/>
          <w:lang w:val="en-US" w:eastAsia="zh-CN"/>
        </w:rPr>
      </w:pPr>
      <w:r>
        <w:rPr>
          <w:rFonts w:hint="eastAsia" w:cs="Times New Roman"/>
          <w:b w:val="0"/>
          <w:bCs w:val="0"/>
          <w:sz w:val="24"/>
          <w:lang w:val="en-US" w:eastAsia="zh-CN"/>
        </w:rPr>
        <w:t>表2展示各家公司10-k中按本公司财年披露的原始数据，不包含融资租赁，只计算现金购置。</w:t>
      </w:r>
    </w:p>
    <w:p>
      <w:pPr>
        <w:numPr>
          <w:ilvl w:val="0"/>
          <w:numId w:val="9"/>
        </w:numPr>
        <w:spacing w:after="40" w:line="360" w:lineRule="auto"/>
        <w:ind w:left="420" w:leftChars="0" w:hanging="420" w:firstLineChars="0"/>
        <w:rPr>
          <w:rFonts w:hint="default" w:ascii="Times New Roman" w:hAnsi="Times New Roman" w:eastAsia="宋体" w:cs="Times New Roman"/>
          <w:b w:val="0"/>
          <w:bCs w:val="0"/>
          <w:sz w:val="24"/>
          <w:lang w:val="en-US" w:eastAsia="zh-CN"/>
        </w:rPr>
      </w:pPr>
      <w:r>
        <w:rPr>
          <w:rFonts w:hint="eastAsia" w:cs="Times New Roman"/>
          <w:b w:val="0"/>
          <w:bCs w:val="0"/>
          <w:sz w:val="24"/>
          <w:lang w:val="en-US" w:eastAsia="zh-CN"/>
        </w:rPr>
        <w:t>为了更好对比，本文加入表3, 从第三方数据中提炼4家被称为“HyperCapex”的高资本支出巨头，</w:t>
      </w:r>
      <w:r>
        <w:rPr>
          <w:rFonts w:hint="eastAsia" w:cs="Times New Roman"/>
          <w:b w:val="0"/>
          <w:bCs w:val="0"/>
          <w:sz w:val="24"/>
          <w:lang w:val="en-US" w:eastAsia="zh-CN"/>
        </w:rPr>
        <w:t xml:space="preserve"> 数据口径部分（</w:t>
      </w:r>
      <w:r>
        <w:rPr>
          <w:rFonts w:ascii="Times New Roman" w:hAnsi="Times New Roman" w:eastAsia="宋体" w:cs="Times New Roman"/>
          <w:b w:val="0"/>
          <w:sz w:val="24"/>
        </w:rPr>
        <w:t>亚马逊/微软/Meta 含融资租赁；</w:t>
      </w:r>
      <w:r>
        <w:rPr>
          <w:rFonts w:ascii="Times New Roman" w:hAnsi="Times New Roman" w:eastAsia="宋体" w:cs="Times New Roman"/>
          <w:b w:val="0"/>
          <w:bCs/>
          <w:sz w:val="24"/>
        </w:rPr>
        <w:t>谷歌不使用融资租赁</w:t>
      </w:r>
      <w:r>
        <w:rPr>
          <w:rFonts w:hint="eastAsia" w:cs="Times New Roman"/>
          <w:b w:val="0"/>
          <w:bCs/>
          <w:sz w:val="24"/>
          <w:lang w:eastAsia="zh-CN"/>
        </w:rPr>
        <w:t>）</w:t>
      </w:r>
      <w:r>
        <w:rPr>
          <w:rFonts w:hint="eastAsia" w:cs="Times New Roman"/>
          <w:b w:val="0"/>
          <w:bCs w:val="0"/>
          <w:sz w:val="24"/>
          <w:lang w:val="en-US" w:eastAsia="zh-CN"/>
        </w:rPr>
        <w:t>；且</w:t>
      </w:r>
      <w:r>
        <w:rPr>
          <w:rFonts w:hint="eastAsia" w:cs="Times New Roman"/>
          <w:b w:val="0"/>
          <w:bCs w:val="0"/>
          <w:sz w:val="24"/>
          <w:lang w:val="en-US" w:eastAsia="zh-CN"/>
        </w:rPr>
        <w:t>均采用日历年计量方便进行横向对比，故与表2数据有所差异。</w:t>
      </w:r>
    </w:p>
    <w:p>
      <w:pPr>
        <w:spacing w:after="40"/>
        <w:jc w:val="center"/>
        <w:rPr>
          <w:rFonts w:hint="eastAsia"/>
          <w:b/>
          <w:bCs/>
          <w:sz w:val="21"/>
          <w:szCs w:val="20"/>
          <w:lang w:val="en-US" w:eastAsia="zh-CN"/>
        </w:rPr>
      </w:pPr>
      <w:r>
        <w:rPr>
          <w:rFonts w:hint="eastAsia"/>
          <w:b/>
          <w:bCs/>
          <w:sz w:val="21"/>
          <w:szCs w:val="20"/>
          <w:lang w:val="en-US" w:eastAsia="zh-CN"/>
        </w:rPr>
        <w:t>表2七巨头资本性开支2020–2025，单位：百万美元</w:t>
      </w:r>
    </w:p>
    <w:tbl>
      <w:tblPr>
        <w:tblStyle w:val="33"/>
        <w:tblW w:w="90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2"/>
        <w:gridCol w:w="981"/>
        <w:gridCol w:w="954"/>
        <w:gridCol w:w="825"/>
        <w:gridCol w:w="795"/>
        <w:gridCol w:w="870"/>
        <w:gridCol w:w="915"/>
        <w:gridCol w:w="231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8" w:hRule="atLeast"/>
          <w:jc w:val="center"/>
        </w:trPr>
        <w:tc>
          <w:tcPr>
            <w:tcW w:w="1372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公司</w:t>
            </w:r>
          </w:p>
        </w:tc>
        <w:tc>
          <w:tcPr>
            <w:tcW w:w="981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2020</w:t>
            </w:r>
          </w:p>
        </w:tc>
        <w:tc>
          <w:tcPr>
            <w:tcW w:w="954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2021</w:t>
            </w:r>
          </w:p>
        </w:tc>
        <w:tc>
          <w:tcPr>
            <w:tcW w:w="825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2022</w:t>
            </w:r>
          </w:p>
        </w:tc>
        <w:tc>
          <w:tcPr>
            <w:tcW w:w="795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2023</w:t>
            </w:r>
          </w:p>
        </w:tc>
        <w:tc>
          <w:tcPr>
            <w:tcW w:w="870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2024</w:t>
            </w:r>
          </w:p>
        </w:tc>
        <w:tc>
          <w:tcPr>
            <w:tcW w:w="915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2025</w:t>
            </w:r>
          </w:p>
        </w:tc>
        <w:tc>
          <w:tcPr>
            <w:tcW w:w="2310" w:type="dxa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现金流量表对应行项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2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微软（FY6/30）</w:t>
            </w:r>
          </w:p>
        </w:tc>
        <w:tc>
          <w:tcPr>
            <w:tcW w:w="981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15,441</w:t>
            </w:r>
          </w:p>
        </w:tc>
        <w:tc>
          <w:tcPr>
            <w:tcW w:w="95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20,622</w:t>
            </w:r>
          </w:p>
        </w:tc>
        <w:tc>
          <w:tcPr>
            <w:tcW w:w="82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23,886</w:t>
            </w:r>
          </w:p>
        </w:tc>
        <w:tc>
          <w:tcPr>
            <w:tcW w:w="79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28,107</w:t>
            </w:r>
          </w:p>
        </w:tc>
        <w:tc>
          <w:tcPr>
            <w:tcW w:w="87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44,477</w:t>
            </w:r>
          </w:p>
        </w:tc>
        <w:tc>
          <w:tcPr>
            <w:tcW w:w="9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64,551</w:t>
            </w:r>
          </w:p>
        </w:tc>
        <w:tc>
          <w:tcPr>
            <w:tcW w:w="231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Additions to property and equipment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2" w:type="dxa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亚马逊</w:t>
            </w:r>
          </w:p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（日历年）</w:t>
            </w:r>
          </w:p>
        </w:tc>
        <w:tc>
          <w:tcPr>
            <w:tcW w:w="981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40,140</w:t>
            </w:r>
          </w:p>
        </w:tc>
        <w:tc>
          <w:tcPr>
            <w:tcW w:w="95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61,053</w:t>
            </w:r>
          </w:p>
        </w:tc>
        <w:tc>
          <w:tcPr>
            <w:tcW w:w="82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63,645</w:t>
            </w:r>
          </w:p>
        </w:tc>
        <w:tc>
          <w:tcPr>
            <w:tcW w:w="79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52,729</w:t>
            </w:r>
          </w:p>
        </w:tc>
        <w:tc>
          <w:tcPr>
            <w:tcW w:w="87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82,999</w:t>
            </w:r>
          </w:p>
        </w:tc>
        <w:tc>
          <w:tcPr>
            <w:tcW w:w="9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131,819</w:t>
            </w:r>
          </w:p>
        </w:tc>
        <w:tc>
          <w:tcPr>
            <w:tcW w:w="231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Purchases of property and equipment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2" w:type="dxa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Alphabet</w:t>
            </w:r>
          </w:p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（日历年）</w:t>
            </w:r>
          </w:p>
        </w:tc>
        <w:tc>
          <w:tcPr>
            <w:tcW w:w="981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22,281</w:t>
            </w:r>
          </w:p>
        </w:tc>
        <w:tc>
          <w:tcPr>
            <w:tcW w:w="95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24,640</w:t>
            </w:r>
          </w:p>
        </w:tc>
        <w:tc>
          <w:tcPr>
            <w:tcW w:w="82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31,485</w:t>
            </w:r>
          </w:p>
        </w:tc>
        <w:tc>
          <w:tcPr>
            <w:tcW w:w="79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32,251</w:t>
            </w:r>
          </w:p>
        </w:tc>
        <w:tc>
          <w:tcPr>
            <w:tcW w:w="87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52,535</w:t>
            </w:r>
          </w:p>
        </w:tc>
        <w:tc>
          <w:tcPr>
            <w:tcW w:w="9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91,447</w:t>
            </w:r>
          </w:p>
        </w:tc>
        <w:tc>
          <w:tcPr>
            <w:tcW w:w="231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Purchases of property and equipment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2" w:type="dxa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Meta</w:t>
            </w:r>
          </w:p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（日历年）</w:t>
            </w:r>
          </w:p>
        </w:tc>
        <w:tc>
          <w:tcPr>
            <w:tcW w:w="981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15,163</w:t>
            </w:r>
          </w:p>
        </w:tc>
        <w:tc>
          <w:tcPr>
            <w:tcW w:w="95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18,690</w:t>
            </w:r>
          </w:p>
        </w:tc>
        <w:tc>
          <w:tcPr>
            <w:tcW w:w="82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31,431</w:t>
            </w:r>
          </w:p>
        </w:tc>
        <w:tc>
          <w:tcPr>
            <w:tcW w:w="79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27,045</w:t>
            </w:r>
          </w:p>
        </w:tc>
        <w:tc>
          <w:tcPr>
            <w:tcW w:w="87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37,256</w:t>
            </w:r>
          </w:p>
        </w:tc>
        <w:tc>
          <w:tcPr>
            <w:tcW w:w="9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69,691</w:t>
            </w:r>
          </w:p>
        </w:tc>
        <w:tc>
          <w:tcPr>
            <w:tcW w:w="231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Purchases of property and equipment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2" w:type="dxa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英伟达</w:t>
            </w:r>
          </w:p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（FY止1月）</w:t>
            </w:r>
          </w:p>
        </w:tc>
        <w:tc>
          <w:tcPr>
            <w:tcW w:w="981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489</w:t>
            </w:r>
          </w:p>
        </w:tc>
        <w:tc>
          <w:tcPr>
            <w:tcW w:w="95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1,128</w:t>
            </w:r>
          </w:p>
        </w:tc>
        <w:tc>
          <w:tcPr>
            <w:tcW w:w="82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976</w:t>
            </w:r>
          </w:p>
        </w:tc>
        <w:tc>
          <w:tcPr>
            <w:tcW w:w="79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1,833</w:t>
            </w:r>
          </w:p>
        </w:tc>
        <w:tc>
          <w:tcPr>
            <w:tcW w:w="87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1,069</w:t>
            </w:r>
          </w:p>
        </w:tc>
        <w:tc>
          <w:tcPr>
            <w:tcW w:w="9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3,236</w:t>
            </w:r>
          </w:p>
        </w:tc>
        <w:tc>
          <w:tcPr>
            <w:tcW w:w="231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Purchases related to property and equipment and intangible assets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2" w:type="dxa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苹果</w:t>
            </w:r>
          </w:p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（FY9月）</w:t>
            </w:r>
          </w:p>
        </w:tc>
        <w:tc>
          <w:tcPr>
            <w:tcW w:w="981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7,309</w:t>
            </w:r>
          </w:p>
        </w:tc>
        <w:tc>
          <w:tcPr>
            <w:tcW w:w="95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11,085</w:t>
            </w:r>
          </w:p>
        </w:tc>
        <w:tc>
          <w:tcPr>
            <w:tcW w:w="82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10,708</w:t>
            </w:r>
          </w:p>
        </w:tc>
        <w:tc>
          <w:tcPr>
            <w:tcW w:w="79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10,959</w:t>
            </w:r>
          </w:p>
        </w:tc>
        <w:tc>
          <w:tcPr>
            <w:tcW w:w="87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9,447</w:t>
            </w:r>
          </w:p>
        </w:tc>
        <w:tc>
          <w:tcPr>
            <w:tcW w:w="9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12,715</w:t>
            </w:r>
          </w:p>
        </w:tc>
        <w:tc>
          <w:tcPr>
            <w:tcW w:w="231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Payments for acquisition of property, plant and equipment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2" w:type="dxa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特斯拉</w:t>
            </w:r>
          </w:p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（日历年）</w:t>
            </w:r>
          </w:p>
        </w:tc>
        <w:tc>
          <w:tcPr>
            <w:tcW w:w="981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3,157</w:t>
            </w:r>
          </w:p>
        </w:tc>
        <w:tc>
          <w:tcPr>
            <w:tcW w:w="954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6,482</w:t>
            </w:r>
          </w:p>
        </w:tc>
        <w:tc>
          <w:tcPr>
            <w:tcW w:w="82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7,158</w:t>
            </w:r>
          </w:p>
        </w:tc>
        <w:tc>
          <w:tcPr>
            <w:tcW w:w="79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8,899</w:t>
            </w:r>
          </w:p>
        </w:tc>
        <w:tc>
          <w:tcPr>
            <w:tcW w:w="87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11,342</w:t>
            </w:r>
          </w:p>
        </w:tc>
        <w:tc>
          <w:tcPr>
            <w:tcW w:w="915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8,527</w:t>
            </w:r>
          </w:p>
        </w:tc>
        <w:tc>
          <w:tcPr>
            <w:tcW w:w="2310" w:type="dxa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Purchases of property and equipment excluding finance leases, net of sales</w:t>
            </w:r>
          </w:p>
        </w:tc>
      </w:tr>
    </w:tbl>
    <w:p>
      <w:pPr>
        <w:spacing w:after="40" w:line="360" w:lineRule="auto"/>
        <w:jc w:val="left"/>
        <w:rPr>
          <w:rFonts w:hint="eastAsia" w:cs="Times New Roman"/>
          <w:b/>
          <w:bCs w:val="0"/>
          <w:sz w:val="22"/>
          <w:szCs w:val="21"/>
          <w:lang w:val="en-US" w:eastAsia="zh-CN"/>
        </w:rPr>
      </w:pPr>
      <w:r>
        <w:rPr>
          <w:rFonts w:hint="eastAsia" w:cs="Times New Roman"/>
          <w:b/>
          <w:bCs w:val="0"/>
          <w:sz w:val="22"/>
          <w:szCs w:val="21"/>
          <w:lang w:val="en-US" w:eastAsia="zh-CN"/>
        </w:rPr>
        <w:t>资料来源：SEC官方公布的各年财报</w:t>
      </w:r>
    </w:p>
    <w:p>
      <w:pPr>
        <w:spacing w:after="40" w:line="360" w:lineRule="auto"/>
        <w:jc w:val="left"/>
        <w:rPr>
          <w:rFonts w:hint="eastAsia" w:cs="Times New Roman"/>
          <w:b/>
          <w:bCs w:val="0"/>
          <w:sz w:val="22"/>
          <w:szCs w:val="21"/>
          <w:lang w:val="en-US" w:eastAsia="zh-CN"/>
        </w:rPr>
      </w:pPr>
    </w:p>
    <w:p>
      <w:pPr>
        <w:spacing w:after="40"/>
        <w:jc w:val="center"/>
        <w:rPr>
          <w:rFonts w:hint="default"/>
          <w:b/>
          <w:bCs/>
          <w:sz w:val="21"/>
          <w:szCs w:val="20"/>
          <w:lang w:val="en-US" w:eastAsia="zh-CN"/>
        </w:rPr>
      </w:pPr>
      <w:r>
        <w:rPr>
          <w:rFonts w:hint="eastAsia"/>
          <w:b/>
          <w:bCs/>
          <w:sz w:val="21"/>
          <w:szCs w:val="20"/>
          <w:lang w:val="en-US" w:eastAsia="zh-CN"/>
        </w:rPr>
        <w:t>表3  四家 hyperCAPEX 公司整体资本开支（日历年，含融资租赁口径），单位：十亿美元</w:t>
      </w:r>
    </w:p>
    <w:tbl>
      <w:tblPr>
        <w:tblStyle w:val="33"/>
        <w:tblW w:w="4998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"/>
        <w:gridCol w:w="1373"/>
        <w:gridCol w:w="1031"/>
        <w:gridCol w:w="1031"/>
        <w:gridCol w:w="1591"/>
        <w:gridCol w:w="26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1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年份</w:t>
            </w:r>
          </w:p>
        </w:tc>
        <w:tc>
          <w:tcPr>
            <w:tcW w:w="787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亚马逊</w:t>
            </w:r>
          </w:p>
        </w:tc>
        <w:tc>
          <w:tcPr>
            <w:tcW w:w="591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谷歌</w:t>
            </w:r>
          </w:p>
        </w:tc>
        <w:tc>
          <w:tcPr>
            <w:tcW w:w="591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微软</w:t>
            </w:r>
          </w:p>
        </w:tc>
        <w:tc>
          <w:tcPr>
            <w:tcW w:w="912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Meta</w:t>
            </w:r>
          </w:p>
        </w:tc>
        <w:tc>
          <w:tcPr>
            <w:tcW w:w="1525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四家合计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2020</w:t>
            </w:r>
          </w:p>
        </w:tc>
        <w:tc>
          <w:tcPr>
            <w:tcW w:w="787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~54</w:t>
            </w:r>
          </w:p>
        </w:tc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22.3</w:t>
            </w:r>
          </w:p>
        </w:tc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20.6</w:t>
            </w:r>
          </w:p>
        </w:tc>
        <w:tc>
          <w:tcPr>
            <w:tcW w:w="91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~15.7</w:t>
            </w:r>
          </w:p>
        </w:tc>
        <w:tc>
          <w:tcPr>
            <w:tcW w:w="152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~113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2021</w:t>
            </w:r>
          </w:p>
        </w:tc>
        <w:tc>
          <w:tcPr>
            <w:tcW w:w="787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73.7</w:t>
            </w:r>
          </w:p>
        </w:tc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24.6</w:t>
            </w:r>
          </w:p>
        </w:tc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25.9</w:t>
            </w:r>
          </w:p>
        </w:tc>
        <w:tc>
          <w:tcPr>
            <w:tcW w:w="91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~19</w:t>
            </w:r>
          </w:p>
        </w:tc>
        <w:tc>
          <w:tcPr>
            <w:tcW w:w="152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~143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2022</w:t>
            </w:r>
          </w:p>
        </w:tc>
        <w:tc>
          <w:tcPr>
            <w:tcW w:w="787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67.5</w:t>
            </w:r>
          </w:p>
        </w:tc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31.5</w:t>
            </w:r>
          </w:p>
        </w:tc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28.4</w:t>
            </w:r>
          </w:p>
        </w:tc>
        <w:tc>
          <w:tcPr>
            <w:tcW w:w="91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32.0</w:t>
            </w:r>
          </w:p>
        </w:tc>
        <w:tc>
          <w:tcPr>
            <w:tcW w:w="152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159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2023</w:t>
            </w:r>
          </w:p>
        </w:tc>
        <w:tc>
          <w:tcPr>
            <w:tcW w:w="787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53.7</w:t>
            </w:r>
          </w:p>
        </w:tc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32.3</w:t>
            </w:r>
          </w:p>
        </w:tc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41.2</w:t>
            </w:r>
          </w:p>
        </w:tc>
        <w:tc>
          <w:tcPr>
            <w:tcW w:w="91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28.1</w:t>
            </w:r>
          </w:p>
        </w:tc>
        <w:tc>
          <w:tcPr>
            <w:tcW w:w="152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155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2024</w:t>
            </w:r>
          </w:p>
        </w:tc>
        <w:tc>
          <w:tcPr>
            <w:tcW w:w="787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83.9</w:t>
            </w:r>
          </w:p>
        </w:tc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52.5</w:t>
            </w:r>
          </w:p>
        </w:tc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75.6</w:t>
            </w:r>
          </w:p>
        </w:tc>
        <w:tc>
          <w:tcPr>
            <w:tcW w:w="91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39.23</w:t>
            </w:r>
          </w:p>
        </w:tc>
        <w:tc>
          <w:tcPr>
            <w:tcW w:w="152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251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2025</w:t>
            </w:r>
          </w:p>
        </w:tc>
        <w:tc>
          <w:tcPr>
            <w:tcW w:w="787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134.7</w:t>
            </w:r>
          </w:p>
        </w:tc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91.5</w:t>
            </w:r>
          </w:p>
        </w:tc>
        <w:tc>
          <w:tcPr>
            <w:tcW w:w="591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118</w:t>
            </w:r>
          </w:p>
        </w:tc>
        <w:tc>
          <w:tcPr>
            <w:tcW w:w="91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72.2</w:t>
            </w:r>
          </w:p>
        </w:tc>
        <w:tc>
          <w:tcPr>
            <w:tcW w:w="152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416</w:t>
            </w:r>
          </w:p>
        </w:tc>
      </w:tr>
    </w:tbl>
    <w:p>
      <w:pPr>
        <w:spacing w:after="40" w:line="360" w:lineRule="auto"/>
        <w:jc w:val="left"/>
        <w:rPr>
          <w:rFonts w:hint="eastAsia"/>
          <w:b/>
          <w:bCs/>
          <w:sz w:val="21"/>
          <w:szCs w:val="20"/>
          <w:lang w:val="en-US" w:eastAsia="zh-CN"/>
        </w:rPr>
      </w:pPr>
      <w:r>
        <w:rPr>
          <w:rFonts w:hint="eastAsia"/>
          <w:b/>
          <w:bCs/>
          <w:sz w:val="22"/>
          <w:szCs w:val="22"/>
          <w:lang w:val="en-US" w:eastAsia="zh-CN"/>
        </w:rPr>
        <w:t>资料来源：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（Platformonomics</w:t>
      </w:r>
      <w:r>
        <w:rPr>
          <w:rFonts w:hint="eastAsia" w:cs="Times New Roman"/>
          <w:b/>
          <w:bCs/>
          <w:sz w:val="22"/>
          <w:szCs w:val="22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《Follow the CAPEX》年度回顾，作者 Charles Fitzgerald）：</w:t>
      </w:r>
      <w:r>
        <w:rPr>
          <w:b/>
          <w:bCs/>
          <w:sz w:val="22"/>
          <w:szCs w:val="22"/>
        </w:rPr>
        <w:fldChar w:fldCharType="begin"/>
      </w:r>
      <w:r>
        <w:rPr>
          <w:b/>
          <w:bCs/>
          <w:sz w:val="22"/>
          <w:szCs w:val="22"/>
        </w:rPr>
        <w:instrText xml:space="preserve"> HYPERLINK "https://platformonomics.com/2021/02/follow-the-capex-cloud-table-stakes-2020-retrospective/" \h </w:instrText>
      </w:r>
      <w:r>
        <w:rPr>
          <w:b/>
          <w:bCs/>
          <w:sz w:val="22"/>
          <w:szCs w:val="22"/>
        </w:rPr>
        <w:fldChar w:fldCharType="separate"/>
      </w:r>
      <w:r>
        <w:rPr>
          <w:rFonts w:ascii="Times New Roman" w:hAnsi="Times New Roman" w:eastAsia="宋体"/>
          <w:b/>
          <w:bCs/>
          <w:color w:val="0563C1"/>
          <w:sz w:val="22"/>
          <w:szCs w:val="22"/>
          <w:u w:val="single"/>
        </w:rPr>
        <w:t>2020 回顾</w:t>
      </w:r>
      <w:r>
        <w:rPr>
          <w:rFonts w:ascii="Times New Roman" w:hAnsi="Times New Roman" w:eastAsia="宋体"/>
          <w:b/>
          <w:bCs/>
          <w:color w:val="0563C1"/>
          <w:sz w:val="22"/>
          <w:szCs w:val="22"/>
          <w:u w:val="single"/>
        </w:rPr>
        <w:fldChar w:fldCharType="end"/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、</w:t>
      </w:r>
      <w:r>
        <w:rPr>
          <w:b/>
          <w:bCs/>
          <w:sz w:val="22"/>
          <w:szCs w:val="22"/>
        </w:rPr>
        <w:fldChar w:fldCharType="begin"/>
      </w:r>
      <w:r>
        <w:rPr>
          <w:b/>
          <w:bCs/>
          <w:sz w:val="22"/>
          <w:szCs w:val="22"/>
        </w:rPr>
        <w:instrText xml:space="preserve"> HYPERLINK "https://platformonomics.com/2022/02/follow-the-capex-cloud-table-stakes-2021-retrospective/" \h </w:instrText>
      </w:r>
      <w:r>
        <w:rPr>
          <w:b/>
          <w:bCs/>
          <w:sz w:val="22"/>
          <w:szCs w:val="22"/>
        </w:rPr>
        <w:fldChar w:fldCharType="separate"/>
      </w:r>
      <w:r>
        <w:rPr>
          <w:rFonts w:ascii="Times New Roman" w:hAnsi="Times New Roman" w:eastAsia="宋体"/>
          <w:b/>
          <w:bCs/>
          <w:color w:val="0563C1"/>
          <w:sz w:val="22"/>
          <w:szCs w:val="22"/>
          <w:u w:val="single"/>
        </w:rPr>
        <w:t>2021 回顾</w:t>
      </w:r>
      <w:r>
        <w:rPr>
          <w:rFonts w:ascii="Times New Roman" w:hAnsi="Times New Roman" w:eastAsia="宋体"/>
          <w:b/>
          <w:bCs/>
          <w:color w:val="0563C1"/>
          <w:sz w:val="22"/>
          <w:szCs w:val="22"/>
          <w:u w:val="single"/>
        </w:rPr>
        <w:fldChar w:fldCharType="end"/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、</w:t>
      </w:r>
      <w:r>
        <w:rPr>
          <w:b/>
          <w:bCs/>
          <w:sz w:val="22"/>
          <w:szCs w:val="22"/>
        </w:rPr>
        <w:fldChar w:fldCharType="begin"/>
      </w:r>
      <w:r>
        <w:rPr>
          <w:b/>
          <w:bCs/>
          <w:sz w:val="22"/>
          <w:szCs w:val="22"/>
        </w:rPr>
        <w:instrText xml:space="preserve"> HYPERLINK "https://platformonomics.com/2023/02/follow-the-capex-cloud-table-stakes-2022-retrospective/" \h </w:instrText>
      </w:r>
      <w:r>
        <w:rPr>
          <w:b/>
          <w:bCs/>
          <w:sz w:val="22"/>
          <w:szCs w:val="22"/>
        </w:rPr>
        <w:fldChar w:fldCharType="separate"/>
      </w:r>
      <w:r>
        <w:rPr>
          <w:rFonts w:ascii="Times New Roman" w:hAnsi="Times New Roman" w:eastAsia="宋体"/>
          <w:b/>
          <w:bCs/>
          <w:color w:val="0563C1"/>
          <w:sz w:val="22"/>
          <w:szCs w:val="22"/>
          <w:u w:val="single"/>
        </w:rPr>
        <w:t>2022 回顾</w:t>
      </w:r>
      <w:r>
        <w:rPr>
          <w:rFonts w:ascii="Times New Roman" w:hAnsi="Times New Roman" w:eastAsia="宋体"/>
          <w:b/>
          <w:bCs/>
          <w:color w:val="0563C1"/>
          <w:sz w:val="22"/>
          <w:szCs w:val="22"/>
          <w:u w:val="single"/>
        </w:rPr>
        <w:fldChar w:fldCharType="end"/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、</w:t>
      </w:r>
      <w:r>
        <w:rPr>
          <w:b/>
          <w:bCs/>
          <w:sz w:val="22"/>
          <w:szCs w:val="22"/>
        </w:rPr>
        <w:fldChar w:fldCharType="begin"/>
      </w:r>
      <w:r>
        <w:rPr>
          <w:b/>
          <w:bCs/>
          <w:sz w:val="22"/>
          <w:szCs w:val="22"/>
        </w:rPr>
        <w:instrText xml:space="preserve"> HYPERLINK "https://platformonomics.com/2024/02/follow-the-capex-cloud-table-stakes-2023-retrospective/" \h </w:instrText>
      </w:r>
      <w:r>
        <w:rPr>
          <w:b/>
          <w:bCs/>
          <w:sz w:val="22"/>
          <w:szCs w:val="22"/>
        </w:rPr>
        <w:fldChar w:fldCharType="separate"/>
      </w:r>
      <w:r>
        <w:rPr>
          <w:rFonts w:ascii="Times New Roman" w:hAnsi="Times New Roman" w:eastAsia="宋体"/>
          <w:b/>
          <w:bCs/>
          <w:color w:val="0563C1"/>
          <w:sz w:val="22"/>
          <w:szCs w:val="22"/>
          <w:u w:val="single"/>
        </w:rPr>
        <w:t>2023 回顾</w:t>
      </w:r>
      <w:r>
        <w:rPr>
          <w:rFonts w:ascii="Times New Roman" w:hAnsi="Times New Roman" w:eastAsia="宋体"/>
          <w:b/>
          <w:bCs/>
          <w:color w:val="0563C1"/>
          <w:sz w:val="22"/>
          <w:szCs w:val="22"/>
          <w:u w:val="single"/>
        </w:rPr>
        <w:fldChar w:fldCharType="end"/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、</w:t>
      </w:r>
      <w:r>
        <w:rPr>
          <w:b/>
          <w:bCs/>
          <w:sz w:val="22"/>
          <w:szCs w:val="22"/>
        </w:rPr>
        <w:fldChar w:fldCharType="begin"/>
      </w:r>
      <w:r>
        <w:rPr>
          <w:b/>
          <w:bCs/>
          <w:sz w:val="22"/>
          <w:szCs w:val="22"/>
        </w:rPr>
        <w:instrText xml:space="preserve"> HYPERLINK "https://platformonomics.com/2025/02/follow-the-capex-cloud-table-stakes-2024-retrospective/" \h </w:instrText>
      </w:r>
      <w:r>
        <w:rPr>
          <w:b/>
          <w:bCs/>
          <w:sz w:val="22"/>
          <w:szCs w:val="22"/>
        </w:rPr>
        <w:fldChar w:fldCharType="separate"/>
      </w:r>
      <w:r>
        <w:rPr>
          <w:rFonts w:ascii="Times New Roman" w:hAnsi="Times New Roman" w:eastAsia="宋体"/>
          <w:b/>
          <w:bCs/>
          <w:color w:val="0563C1"/>
          <w:sz w:val="22"/>
          <w:szCs w:val="22"/>
          <w:u w:val="single"/>
        </w:rPr>
        <w:t>2024 回顾</w:t>
      </w:r>
      <w:r>
        <w:rPr>
          <w:rFonts w:ascii="Times New Roman" w:hAnsi="Times New Roman" w:eastAsia="宋体"/>
          <w:b/>
          <w:bCs/>
          <w:color w:val="0563C1"/>
          <w:sz w:val="22"/>
          <w:szCs w:val="22"/>
          <w:u w:val="single"/>
        </w:rPr>
        <w:fldChar w:fldCharType="end"/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、</w:t>
      </w:r>
      <w:r>
        <w:rPr>
          <w:b/>
          <w:bCs/>
          <w:sz w:val="22"/>
          <w:szCs w:val="22"/>
        </w:rPr>
        <w:fldChar w:fldCharType="begin"/>
      </w:r>
      <w:r>
        <w:rPr>
          <w:b/>
          <w:bCs/>
          <w:sz w:val="22"/>
          <w:szCs w:val="22"/>
        </w:rPr>
        <w:instrText xml:space="preserve"> HYPERLINK "https://platformonomics.com/2026/02/follow-the-capex-2025-retrospective/" \h </w:instrText>
      </w:r>
      <w:r>
        <w:rPr>
          <w:b/>
          <w:bCs/>
          <w:sz w:val="22"/>
          <w:szCs w:val="22"/>
        </w:rPr>
        <w:fldChar w:fldCharType="separate"/>
      </w:r>
      <w:r>
        <w:rPr>
          <w:rFonts w:ascii="Times New Roman" w:hAnsi="Times New Roman" w:eastAsia="宋体"/>
          <w:b/>
          <w:bCs/>
          <w:color w:val="0563C1"/>
          <w:sz w:val="22"/>
          <w:szCs w:val="22"/>
          <w:u w:val="single"/>
        </w:rPr>
        <w:t>2025 回顾</w:t>
      </w:r>
      <w:r>
        <w:rPr>
          <w:rFonts w:ascii="Times New Roman" w:hAnsi="Times New Roman" w:eastAsia="宋体"/>
          <w:b/>
          <w:bCs/>
          <w:color w:val="0563C1"/>
          <w:sz w:val="22"/>
          <w:szCs w:val="22"/>
          <w:u w:val="single"/>
        </w:rPr>
        <w:fldChar w:fldCharType="end"/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。</w:t>
      </w:r>
    </w:p>
    <w:p>
      <w:pPr>
        <w:spacing w:after="40" w:line="360" w:lineRule="auto"/>
        <w:jc w:val="left"/>
        <w:rPr>
          <w:rFonts w:hint="eastAsia" w:cs="Times New Roman"/>
          <w:b/>
          <w:bCs w:val="0"/>
          <w:sz w:val="22"/>
          <w:szCs w:val="21"/>
          <w:lang w:val="en-US" w:eastAsia="zh-CN"/>
        </w:rPr>
      </w:pPr>
    </w:p>
    <w:p>
      <w:pPr>
        <w:spacing w:after="40" w:line="360" w:lineRule="auto"/>
        <w:jc w:val="left"/>
        <w:rPr>
          <w:rFonts w:hint="eastAsia" w:cs="Times New Roman"/>
          <w:b/>
          <w:bCs w:val="0"/>
          <w:sz w:val="22"/>
          <w:szCs w:val="21"/>
          <w:lang w:val="en-US" w:eastAsia="zh-CN"/>
        </w:rPr>
      </w:pPr>
    </w:p>
    <w:p>
      <w:pPr>
        <w:spacing w:after="40" w:line="360" w:lineRule="auto"/>
        <w:jc w:val="left"/>
        <w:rPr>
          <w:rFonts w:hint="eastAsia" w:cs="Times New Roman"/>
          <w:b/>
          <w:bCs w:val="0"/>
          <w:sz w:val="22"/>
          <w:szCs w:val="21"/>
          <w:lang w:val="en-US" w:eastAsia="zh-CN"/>
        </w:rPr>
      </w:pPr>
    </w:p>
    <w:p>
      <w:pPr>
        <w:spacing w:after="40" w:line="360" w:lineRule="auto"/>
        <w:jc w:val="left"/>
        <w:rPr>
          <w:rFonts w:hint="eastAsia" w:cs="Times New Roman"/>
          <w:b/>
          <w:bCs w:val="0"/>
          <w:sz w:val="22"/>
          <w:szCs w:val="21"/>
          <w:lang w:val="en-US" w:eastAsia="zh-CN"/>
        </w:rPr>
      </w:pPr>
    </w:p>
    <w:p>
      <w:pPr>
        <w:spacing w:before="24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三、用于数据中心建设的资本性开支</w:t>
      </w:r>
    </w:p>
    <w:p>
      <w:pPr>
        <w:numPr>
          <w:ilvl w:val="0"/>
          <w:numId w:val="10"/>
        </w:numPr>
        <w:spacing w:after="40" w:line="360" w:lineRule="auto"/>
        <w:ind w:left="845" w:leftChars="0" w:hanging="425" w:firstLineChars="0"/>
        <w:rPr>
          <w:rFonts w:ascii="Times New Roman" w:hAnsi="Times New Roman" w:eastAsia="宋体" w:cs="Times New Roman"/>
          <w:b w:val="0"/>
          <w:sz w:val="24"/>
        </w:rPr>
      </w:pPr>
      <w:r>
        <w:rPr>
          <w:rFonts w:hint="eastAsia" w:cs="Times New Roman"/>
          <w:b/>
          <w:sz w:val="24"/>
          <w:lang w:val="en-US" w:eastAsia="zh-CN"/>
        </w:rPr>
        <w:t>说明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spacing w:after="40" w:line="360" w:lineRule="auto"/>
        <w:ind w:firstLine="720" w:firstLineChars="0"/>
        <w:rPr>
          <w:rFonts w:hint="eastAsia" w:cs="Times New Roman"/>
          <w:b w:val="0"/>
          <w:bCs w:val="0"/>
          <w:sz w:val="24"/>
          <w:lang w:eastAsia="zh-CN"/>
        </w:rPr>
      </w:pPr>
      <w:r>
        <w:rPr>
          <w:rFonts w:ascii="Times New Roman" w:hAnsi="Times New Roman" w:eastAsia="宋体" w:cs="Times New Roman"/>
          <w:b w:val="0"/>
          <w:bCs w:val="0"/>
          <w:sz w:val="24"/>
        </w:rPr>
        <w:t>七家中只有亚马逊在 10-K 里单独披露 AWS 资本开支（</w:t>
      </w:r>
      <w:r>
        <w:rPr>
          <w:rFonts w:hint="eastAsia" w:cs="Times New Roman"/>
          <w:b w:val="0"/>
          <w:bCs w:val="0"/>
          <w:sz w:val="24"/>
          <w:lang w:val="en-US" w:eastAsia="zh-CN"/>
        </w:rPr>
        <w:t>亚马逊 云业务主体，</w:t>
      </w:r>
      <w:r>
        <w:rPr>
          <w:rFonts w:ascii="Times New Roman" w:hAnsi="Times New Roman" w:eastAsia="宋体" w:cs="Times New Roman"/>
          <w:b w:val="0"/>
          <w:bCs w:val="0"/>
          <w:sz w:val="24"/>
        </w:rPr>
        <w:t>最接近"数据中心</w:t>
      </w:r>
      <w:r>
        <w:rPr>
          <w:rFonts w:hint="eastAsia" w:cs="Times New Roman"/>
          <w:b w:val="0"/>
          <w:bCs w:val="0"/>
          <w:sz w:val="24"/>
          <w:lang w:val="en-US" w:eastAsia="zh-CN"/>
        </w:rPr>
        <w:t>资本开支</w:t>
      </w:r>
      <w:r>
        <w:rPr>
          <w:rFonts w:ascii="Times New Roman" w:hAnsi="Times New Roman" w:eastAsia="宋体" w:cs="Times New Roman"/>
          <w:b w:val="0"/>
          <w:bCs w:val="0"/>
          <w:sz w:val="24"/>
        </w:rPr>
        <w:t>"的官方数字）</w:t>
      </w:r>
      <w:r>
        <w:rPr>
          <w:rFonts w:hint="eastAsia" w:cs="Times New Roman"/>
          <w:b w:val="0"/>
          <w:bCs w:val="0"/>
          <w:sz w:val="24"/>
          <w:lang w:eastAsia="zh-CN"/>
        </w:rPr>
        <w:t>，</w:t>
      </w:r>
      <w:r>
        <w:rPr>
          <w:rFonts w:ascii="Times New Roman" w:hAnsi="Times New Roman" w:eastAsia="宋体" w:cs="Times New Roman"/>
          <w:b w:val="0"/>
          <w:bCs w:val="0"/>
          <w:sz w:val="24"/>
        </w:rPr>
        <w:t>其余公司不单列</w:t>
      </w:r>
      <w:r>
        <w:rPr>
          <w:rFonts w:hint="eastAsia" w:cs="Times New Roman"/>
          <w:b w:val="0"/>
          <w:bCs w:val="0"/>
          <w:sz w:val="24"/>
          <w:lang w:eastAsia="zh-CN"/>
        </w:rPr>
        <w:t>。</w:t>
      </w:r>
    </w:p>
    <w:p>
      <w:pPr>
        <w:numPr>
          <w:ilvl w:val="0"/>
          <w:numId w:val="10"/>
        </w:numPr>
        <w:spacing w:after="40" w:line="360" w:lineRule="auto"/>
        <w:ind w:left="845" w:leftChars="0" w:hanging="425" w:firstLineChars="0"/>
        <w:rPr>
          <w:rFonts w:hint="eastAsia" w:cs="Times New Roman"/>
          <w:b/>
          <w:bCs/>
          <w:sz w:val="24"/>
          <w:lang w:val="en-US" w:eastAsia="zh-CN"/>
        </w:rPr>
      </w:pPr>
      <w:r>
        <w:rPr>
          <w:rFonts w:hint="eastAsia" w:cs="Times New Roman"/>
          <w:b/>
          <w:bCs/>
          <w:sz w:val="24"/>
          <w:lang w:val="en-US" w:eastAsia="zh-CN"/>
        </w:rPr>
        <w:t>信息 ：</w:t>
      </w:r>
    </w:p>
    <w:p>
      <w:pPr>
        <w:numPr>
          <w:ilvl w:val="0"/>
          <w:numId w:val="11"/>
        </w:numPr>
        <w:spacing w:after="40" w:line="360" w:lineRule="auto"/>
        <w:ind w:left="420" w:leftChars="0" w:hanging="420" w:firstLineChars="0"/>
      </w:pPr>
      <w:r>
        <w:fldChar w:fldCharType="begin"/>
      </w:r>
      <w:r>
        <w:instrText xml:space="preserve"> HYPERLINK "https://platformonomics.com/2026/02/follow-the-capex-2025-retrospective/"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Platformonomics 2025 回顾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 w:val="0"/>
          <w:bCs w:val="0"/>
          <w:sz w:val="24"/>
        </w:rPr>
        <w:t>"overwhelmingly data center infrastructure with one exception: Amazon"——即除亚马逊外，谷歌/微软/Meta 的 capex 绝大部分就是数据中心。</w:t>
      </w:r>
      <w:r>
        <w:rPr>
          <w:rFonts w:hint="eastAsia" w:cs="Times New Roman"/>
          <w:b w:val="0"/>
          <w:bCs w:val="0"/>
          <w:sz w:val="24"/>
          <w:lang w:val="en-US" w:eastAsia="zh-CN"/>
        </w:rPr>
        <w:t>而亚马逊的Capex还包含零售业。</w:t>
      </w:r>
    </w:p>
    <w:p>
      <w:pPr>
        <w:numPr>
          <w:ilvl w:val="0"/>
          <w:numId w:val="11"/>
        </w:numPr>
        <w:spacing w:after="40" w:line="360" w:lineRule="auto"/>
        <w:ind w:left="420" w:leftChars="0" w:hanging="420" w:firstLineChars="0"/>
        <w:rPr>
          <w:rFonts w:hint="eastAsia" w:cs="Times New Roman"/>
          <w:b w:val="0"/>
          <w:sz w:val="24"/>
          <w:lang w:val="en-US" w:eastAsia="zh-CN"/>
        </w:rPr>
      </w:pPr>
      <w:r>
        <w:rPr>
          <w:rFonts w:ascii="Times New Roman" w:hAnsi="Times New Roman" w:eastAsia="宋体" w:cs="Times New Roman"/>
          <w:b w:val="0"/>
          <w:bCs/>
          <w:sz w:val="24"/>
        </w:rPr>
        <w:t>微软 2025 年 CAPEX 中约 $29B（约 1/4）经融资租赁取得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fldChar w:fldCharType="begin"/>
      </w:r>
      <w:r>
        <w:instrText xml:space="preserve"> HYPERLINK "https://platformonomics.com/2026/02/follow-the-capex-2025-retrospective/"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Platformonomics 2025 回顾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："*about a quarter of their spend, $29 billion, was via finance lease*"）。</w:t>
      </w:r>
    </w:p>
    <w:p>
      <w:pPr>
        <w:spacing w:after="40"/>
        <w:jc w:val="center"/>
        <w:rPr>
          <w:rFonts w:hint="eastAsia"/>
          <w:b/>
          <w:bCs/>
          <w:sz w:val="21"/>
          <w:szCs w:val="20"/>
          <w:lang w:val="en-US" w:eastAsia="zh-CN"/>
        </w:rPr>
      </w:pPr>
      <w:r>
        <w:rPr>
          <w:rFonts w:hint="eastAsia"/>
          <w:b/>
          <w:bCs/>
          <w:sz w:val="21"/>
          <w:szCs w:val="20"/>
          <w:lang w:val="en-US" w:eastAsia="zh-CN"/>
        </w:rPr>
        <w:t>表4 亚马逊 AWS Capex（单位：十亿美元）</w:t>
      </w:r>
    </w:p>
    <w:tbl>
      <w:tblPr>
        <w:tblStyle w:val="33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64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2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年份</w:t>
            </w:r>
          </w:p>
        </w:tc>
        <w:tc>
          <w:tcPr>
            <w:tcW w:w="3697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AWS capex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2021</w:t>
            </w:r>
          </w:p>
        </w:tc>
        <w:tc>
          <w:tcPr>
            <w:tcW w:w="3697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2022</w:t>
            </w:r>
          </w:p>
        </w:tc>
        <w:tc>
          <w:tcPr>
            <w:tcW w:w="3697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27.6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2023</w:t>
            </w:r>
          </w:p>
        </w:tc>
        <w:tc>
          <w:tcPr>
            <w:tcW w:w="3697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24.8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2024</w:t>
            </w:r>
          </w:p>
        </w:tc>
        <w:tc>
          <w:tcPr>
            <w:tcW w:w="3697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53.27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2025</w:t>
            </w:r>
          </w:p>
        </w:tc>
        <w:tc>
          <w:tcPr>
            <w:tcW w:w="3697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96.5</w:t>
            </w:r>
          </w:p>
        </w:tc>
      </w:tr>
    </w:tbl>
    <w:p>
      <w:pPr>
        <w:spacing w:after="40" w:line="360" w:lineRule="auto"/>
        <w:jc w:val="left"/>
        <w:rPr>
          <w:rFonts w:hint="default" w:ascii="Times New Roman" w:hAnsi="Times New Roman" w:eastAsia="宋体" w:cs="Times New Roman"/>
          <w:b/>
          <w:bCs/>
          <w:sz w:val="22"/>
          <w:szCs w:val="22"/>
        </w:rPr>
      </w:pPr>
      <w:r>
        <w:rPr>
          <w:rFonts w:hint="eastAsia" w:ascii="Times New Roman" w:hAnsi="Times New Roman" w:eastAsia="宋体" w:cs="Times New Roman"/>
          <w:b/>
          <w:bCs/>
          <w:sz w:val="22"/>
          <w:szCs w:val="22"/>
          <w:lang w:val="en-US" w:eastAsia="zh-CN"/>
        </w:rPr>
        <w:t>资料来源：</w:t>
      </w:r>
      <w:r>
        <w:rPr>
          <w:rFonts w:hint="eastAsia" w:cs="Times New Roman"/>
          <w:b/>
          <w:bCs/>
          <w:sz w:val="22"/>
          <w:szCs w:val="22"/>
          <w:lang w:val="en-US" w:eastAsia="zh-CN"/>
        </w:rPr>
        <w:t xml:space="preserve">Amazon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  <w:lang w:val="en-US" w:eastAsia="zh-CN"/>
        </w:rPr>
        <w:t xml:space="preserve">10-k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分部附注</w:t>
      </w:r>
      <w:r>
        <w:rPr>
          <w:rFonts w:hint="default" w:ascii="Times New Roman" w:hAnsi="Times New Roman" w:eastAsia="宋体" w:cs="Times New Roman"/>
          <w:b/>
          <w:bCs/>
          <w:sz w:val="22"/>
          <w:szCs w:val="22"/>
        </w:rPr>
        <w:t>"additions to property and equipment"</w:t>
      </w:r>
    </w:p>
    <w:p>
      <w:pPr>
        <w:spacing w:after="40" w:line="360" w:lineRule="auto"/>
        <w:jc w:val="center"/>
        <w:rPr>
          <w:rFonts w:hint="default" w:ascii="Times New Roman" w:hAnsi="Times New Roman" w:eastAsia="宋体" w:cs="Times New Roman"/>
          <w:b/>
          <w:bCs/>
          <w:sz w:val="22"/>
          <w:szCs w:val="22"/>
          <w:lang w:val="en-US" w:eastAsia="zh-CN"/>
        </w:rPr>
      </w:pPr>
      <w:r>
        <w:rPr>
          <w:rFonts w:hint="eastAsia" w:cs="Times New Roman"/>
          <w:b/>
          <w:bCs/>
          <w:sz w:val="22"/>
          <w:szCs w:val="22"/>
          <w:lang w:val="en-US" w:eastAsia="zh-CN"/>
        </w:rPr>
        <w:t>表5  各大公司用于数据中心的资本开支来源、用途以及说明</w:t>
      </w:r>
    </w:p>
    <w:tbl>
      <w:tblPr>
        <w:tblStyle w:val="33"/>
        <w:tblW w:w="515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1"/>
        <w:gridCol w:w="2289"/>
        <w:gridCol w:w="3836"/>
        <w:gridCol w:w="18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06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 w:cs="Times New Roman"/>
                <w:b/>
                <w:sz w:val="21"/>
                <w:lang w:val="en-US" w:eastAsia="zh-CN"/>
              </w:rPr>
              <w:t>公司</w:t>
            </w:r>
          </w:p>
        </w:tc>
        <w:tc>
          <w:tcPr>
            <w:tcW w:w="1328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cs="Times New Roman"/>
                <w:b/>
                <w:sz w:val="21"/>
                <w:lang w:val="en-US" w:eastAsia="zh-CN"/>
              </w:rPr>
              <w:t>数据中心 Capex</w:t>
            </w:r>
          </w:p>
        </w:tc>
        <w:tc>
          <w:tcPr>
            <w:tcW w:w="2189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  <w:rPr>
                <w:rFonts w:hint="default" w:cs="Times New Roman"/>
                <w:b/>
                <w:sz w:val="21"/>
                <w:lang w:val="en-US" w:eastAsia="zh-CN"/>
              </w:rPr>
            </w:pPr>
            <w:r>
              <w:rPr>
                <w:rFonts w:hint="eastAsia" w:cs="Times New Roman"/>
                <w:b/>
                <w:sz w:val="21"/>
                <w:lang w:val="en-US" w:eastAsia="zh-CN"/>
              </w:rPr>
              <w:t>原文对照</w:t>
            </w:r>
          </w:p>
        </w:tc>
        <w:tc>
          <w:tcPr>
            <w:tcW w:w="875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  <w:rPr>
                <w:rFonts w:hint="default" w:cs="Times New Roman"/>
                <w:b/>
                <w:sz w:val="21"/>
                <w:lang w:val="en-US" w:eastAsia="zh-CN"/>
              </w:rPr>
            </w:pPr>
            <w:r>
              <w:rPr>
                <w:rFonts w:hint="eastAsia" w:cs="Times New Roman"/>
                <w:b/>
                <w:sz w:val="21"/>
                <w:lang w:val="en-US" w:eastAsia="zh-CN"/>
              </w:rPr>
              <w:t>资料来源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06" w:type="pct"/>
            <w:shd w:val="clear" w:color="auto" w:fill="auto"/>
            <w:vAlign w:val="center"/>
          </w:tcPr>
          <w:p>
            <w:pPr>
              <w:spacing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  <w:t>英伟达</w:t>
            </w:r>
          </w:p>
        </w:tc>
        <w:tc>
          <w:tcPr>
            <w:tcW w:w="1328" w:type="pct"/>
            <w:shd w:val="clear" w:color="auto" w:fill="auto"/>
            <w:vAlign w:val="center"/>
          </w:tcPr>
          <w:p>
            <w:pPr>
              <w:spacing w:after="0" w:line="264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英伟达自建数据中心规模小，几乎不自己建而是租赁</w:t>
            </w:r>
          </w:p>
        </w:tc>
        <w:tc>
          <w:tcPr>
            <w:tcW w:w="2189" w:type="pct"/>
            <w:shd w:val="clear" w:color="auto" w:fill="auto"/>
            <w:vAlign w:val="center"/>
          </w:tcPr>
          <w:p>
            <w:pPr>
              <w:numPr>
                <w:ilvl w:val="0"/>
                <w:numId w:val="12"/>
              </w:numPr>
              <w:spacing w:after="0" w:line="264" w:lineRule="auto"/>
              <w:jc w:val="left"/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  <w:t>NVIDIA is a fabless semiconductor … The company doesn't build and operate data centers but instead sells the technology that hyperscalers use to build theirs"</w:t>
            </w:r>
          </w:p>
          <w:p>
            <w:pPr>
              <w:numPr>
                <w:ilvl w:val="0"/>
                <w:numId w:val="12"/>
              </w:numPr>
              <w:spacing w:after="0" w:line="264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  <w:t>Because NVIDIA does not operate fabrication plants, it avoids enormous capital costs.</w:t>
            </w:r>
          </w:p>
        </w:tc>
        <w:tc>
          <w:tcPr>
            <w:tcW w:w="875" w:type="pct"/>
            <w:shd w:val="clear" w:color="auto" w:fill="auto"/>
            <w:vAlign w:val="center"/>
          </w:tcPr>
          <w:p>
            <w:pPr>
              <w:spacing w:after="0" w:line="264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begin"/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instrText xml:space="preserve"> HYPERLINK "https://finovian.com/category/stocks/nvidia-business-model-explained/" </w:instrTex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separate"/>
            </w:r>
            <w:r>
              <w:rPr>
                <w:rStyle w:val="134"/>
                <w:rFonts w:hint="eastAsia" w:ascii="寰蒋闆呴粦" w:hAnsi="寰蒋闆呴粦" w:eastAsia="寰蒋闆呴粦"/>
                <w:sz w:val="22"/>
                <w:szCs w:val="24"/>
              </w:rPr>
              <w:t>Finovian</w: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06" w:type="pct"/>
            <w:vAlign w:val="center"/>
          </w:tcPr>
          <w:p>
            <w:pPr>
              <w:spacing w:after="0" w:line="264" w:lineRule="auto"/>
              <w:jc w:val="center"/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  <w:t>微软</w:t>
            </w:r>
          </w:p>
        </w:tc>
        <w:tc>
          <w:tcPr>
            <w:tcW w:w="1328" w:type="pct"/>
            <w:vAlign w:val="center"/>
          </w:tcPr>
          <w:p>
            <w:pPr>
              <w:spacing w:after="0" w:line="264" w:lineRule="auto"/>
              <w:jc w:val="center"/>
              <w:rPr>
                <w:rFonts w:hint="eastAsia" w:ascii="Times New Roman" w:hAnsi="Times New Roman" w:eastAsia="宋体" w:cs="Times New Roman"/>
                <w:b w:val="0"/>
                <w:sz w:val="21"/>
              </w:rPr>
            </w:pPr>
            <w:r>
              <w:rPr>
                <w:rFonts w:hint="eastAsia" w:cs="Times New Roman"/>
                <w:b w:val="0"/>
                <w:sz w:val="21"/>
                <w:lang w:val="en-US" w:eastAsia="zh-CN"/>
              </w:rPr>
              <w:t>整体Capex约等于</w:t>
            </w:r>
            <w:r>
              <w:rPr>
                <w:rFonts w:hint="eastAsia" w:ascii="Times New Roman" w:hAnsi="Times New Roman" w:eastAsia="宋体" w:cs="Times New Roman"/>
                <w:b w:val="0"/>
                <w:sz w:val="21"/>
              </w:rPr>
              <w:t>GPU/CPU + 数据中心楼宇/土地</w:t>
            </w:r>
          </w:p>
          <w:p>
            <w:pPr>
              <w:spacing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eastAsia" w:cs="Times New Roman"/>
                <w:b w:val="0"/>
                <w:sz w:val="21"/>
                <w:lang w:val="en-US" w:eastAsia="zh-CN"/>
              </w:rPr>
              <w:t>=投入数据中心</w:t>
            </w:r>
          </w:p>
        </w:tc>
        <w:tc>
          <w:tcPr>
            <w:tcW w:w="2189" w:type="pct"/>
            <w:vAlign w:val="center"/>
          </w:tcPr>
          <w:p>
            <w:pPr>
              <w:numPr>
                <w:ilvl w:val="0"/>
                <w:numId w:val="12"/>
              </w:numPr>
              <w:spacing w:after="0" w:line="264" w:lineRule="auto"/>
              <w:jc w:val="left"/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</w:rPr>
              <w:t>"roughly half of our… spend continues to be on short-lived assets, primarily GPUs and CPUs… The remaining spend was for long-lived assets… including $11.1 billion of finance leases that are primarily for large data</w:t>
            </w:r>
            <w:r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 w:val="0"/>
                <w:sz w:val="21"/>
              </w:rPr>
              <w:t>center sites"</w:t>
            </w:r>
          </w:p>
        </w:tc>
        <w:tc>
          <w:tcPr>
            <w:tcW w:w="875" w:type="pct"/>
            <w:vAlign w:val="center"/>
          </w:tcPr>
          <w:p>
            <w:pPr>
              <w:spacing w:after="0" w:line="264" w:lineRule="auto"/>
              <w:jc w:val="center"/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lang w:eastAsia="zh-CN"/>
              </w:rPr>
            </w:pP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begin"/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instrText xml:space="preserve"> HYPERLINK "https://www.fool.com/earnings/call-transcripts/2025/10/29/microsoft-msft-q1-2026-earnings-call-transcript/" </w:instrTex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separate"/>
            </w:r>
            <w:r>
              <w:rPr>
                <w:rStyle w:val="136"/>
                <w:rFonts w:hint="eastAsia" w:ascii="寰蒋闆呴粦" w:hAnsi="寰蒋闆呴粦" w:eastAsia="寰蒋闆呴粦"/>
                <w:sz w:val="22"/>
                <w:szCs w:val="24"/>
              </w:rPr>
              <w:t>Motley Fool 转录</w: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end"/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  <w:lang w:eastAsia="zh-CN"/>
              </w:rPr>
              <w:t>、</w: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begin"/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instrText xml:space="preserve"> HYPERLINK "https://www.directionsonmicrosoft.com/microsoft-q1-fy26-earnings-cloud-supply-constraints-to-last-through-at-least-june-2026/" </w:instrTex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separate"/>
            </w:r>
            <w:r>
              <w:rPr>
                <w:rStyle w:val="136"/>
                <w:rFonts w:hint="eastAsia" w:ascii="寰蒋闆呴粦" w:hAnsi="寰蒋闆呴粦" w:eastAsia="寰蒋闆呴粦"/>
                <w:sz w:val="22"/>
                <w:szCs w:val="24"/>
              </w:rPr>
              <w:t>Directions on Microsoft</w: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06" w:type="pct"/>
            <w:vAlign w:val="center"/>
          </w:tcPr>
          <w:p>
            <w:pPr>
              <w:spacing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  <w:t>谷歌</w:t>
            </w:r>
          </w:p>
        </w:tc>
        <w:tc>
          <w:tcPr>
            <w:tcW w:w="1328" w:type="pct"/>
            <w:vAlign w:val="center"/>
          </w:tcPr>
          <w:p>
            <w:pPr>
              <w:spacing w:after="0" w:line="264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整体Capex约等于</w:t>
            </w:r>
          </w:p>
          <w:p>
            <w:pPr>
              <w:spacing w:after="0" w:line="264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2/3 芯片服务器 + 1/3 数据中心园区 = 全部数据中心</w:t>
            </w:r>
          </w:p>
        </w:tc>
        <w:tc>
          <w:tcPr>
            <w:tcW w:w="2189" w:type="pct"/>
            <w:vAlign w:val="center"/>
          </w:tcPr>
          <w:p>
            <w:pPr>
              <w:numPr>
                <w:ilvl w:val="0"/>
                <w:numId w:val="13"/>
              </w:numPr>
              <w:spacing w:after="0" w:line="264" w:lineRule="auto"/>
              <w:jc w:val="left"/>
              <w:rPr>
                <w:rFonts w:hint="eastAsia" w:ascii="Times New Roman" w:hAnsi="Times New Roman" w:eastAsia="宋体" w:cs="Times New Roman"/>
                <w:b w:val="0"/>
                <w:sz w:val="21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</w:rPr>
              <w:t>Google has told us that 60-70% of their CAPEX goes to data center infrastructure"</w:t>
            </w:r>
          </w:p>
          <w:p>
            <w:pPr>
              <w:numPr>
                <w:ilvl w:val="0"/>
                <w:numId w:val="13"/>
              </w:numPr>
              <w:spacing w:after="0" w:line="264" w:lineRule="auto"/>
              <w:ind w:left="0" w:leftChars="0" w:firstLine="0" w:firstLineChars="0"/>
              <w:jc w:val="left"/>
              <w:rPr>
                <w:rFonts w:hint="eastAsia" w:ascii="Times New Roman" w:hAnsi="Times New Roman" w:eastAsia="宋体" w:cs="Times New Roman"/>
                <w:b w:val="0"/>
                <w:sz w:val="21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</w:rPr>
              <w:t>"two-thirds of that spend went toward GPUs, TPUs, and servers, with the balance directed to new data-center campuses, high-voltage substations, and optical-fiber networks"</w:t>
            </w:r>
          </w:p>
        </w:tc>
        <w:tc>
          <w:tcPr>
            <w:tcW w:w="875" w:type="pct"/>
            <w:vAlign w:val="center"/>
          </w:tcPr>
          <w:p>
            <w:pPr>
              <w:spacing w:after="0" w:line="264" w:lineRule="auto"/>
              <w:jc w:val="center"/>
              <w:rPr>
                <w:rFonts w:hint="eastAsia" w:ascii="Times New Roman" w:hAnsi="Times New Roman" w:eastAsia="寰蒋闆呴粦" w:cs="Times New Roman"/>
                <w:b w:val="0"/>
                <w:sz w:val="21"/>
                <w:lang w:eastAsia="zh-CN"/>
              </w:rPr>
            </w:pP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begin"/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instrText xml:space="preserve"> HYPERLINK "https://platformonomics.com/2022/02/follow-the-capex-cloud-table-stakes-2021-retrospective/" </w:instrTex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separate"/>
            </w:r>
            <w:r>
              <w:rPr>
                <w:rStyle w:val="136"/>
                <w:rFonts w:hint="eastAsia" w:ascii="寰蒋闆呴粦" w:hAnsi="寰蒋闆呴粦" w:eastAsia="寰蒋闆呴粦"/>
                <w:sz w:val="22"/>
                <w:szCs w:val="24"/>
              </w:rPr>
              <w:t>Platformonomics 2021 回顾</w: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end"/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  <w:lang w:eastAsia="zh-CN"/>
              </w:rPr>
              <w:t>、</w: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begin"/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instrText xml:space="preserve"> HYPERLINK "https://www.globaldatacenterhub.com/p/google-q3-2025-93-billion-capex-marks" </w:instrTex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separate"/>
            </w:r>
            <w:r>
              <w:rPr>
                <w:rStyle w:val="134"/>
                <w:rFonts w:hint="eastAsia" w:ascii="寰蒋闆呴粦" w:hAnsi="寰蒋闆呴粦" w:eastAsia="寰蒋闆呴粦"/>
                <w:sz w:val="22"/>
                <w:szCs w:val="24"/>
              </w:rPr>
              <w:t>Global Data Center Hub</w: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06" w:type="pct"/>
            <w:vAlign w:val="center"/>
          </w:tcPr>
          <w:p>
            <w:pPr>
              <w:spacing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  <w:t>亚马逊</w:t>
            </w:r>
          </w:p>
        </w:tc>
        <w:tc>
          <w:tcPr>
            <w:tcW w:w="132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hint="eastAsia"/>
                <w:lang w:val="en-US" w:eastAsia="zh-CN"/>
              </w:rPr>
              <w:t>公司整体Capex =</w:t>
            </w:r>
            <w:r>
              <w:rPr>
                <w:rFonts w:hint="default"/>
                <w:lang w:val="en-US" w:eastAsia="zh-CN"/>
              </w:rPr>
              <w:t>技术基础设施（大部分为 AWS） ＋ 履约网络（仓储）</w:t>
            </w:r>
          </w:p>
        </w:tc>
        <w:tc>
          <w:tcPr>
            <w:tcW w:w="2189" w:type="pct"/>
            <w:vAlign w:val="center"/>
          </w:tcPr>
          <w:p>
            <w:pPr>
              <w:numPr>
                <w:ilvl w:val="0"/>
                <w:numId w:val="14"/>
              </w:numPr>
              <w:spacing w:after="0" w:line="264" w:lineRule="auto"/>
              <w:jc w:val="left"/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  <w:t>Cash capital expenditures were … $128.3 billion in 2025, which primarily reflect investments in technology infrastructure (the majority of which is to support AWS business growth) and in additional capacity to support our fulfillment network."</w:t>
            </w:r>
          </w:p>
          <w:p>
            <w:pPr>
              <w:numPr>
                <w:ilvl w:val="0"/>
                <w:numId w:val="14"/>
              </w:numPr>
              <w:spacing w:after="0" w:line="264" w:lineRule="auto"/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  <w:t xml:space="preserve"> "…the majority of infrastructure costs recorded in 'Technology and infrastructure' are allocated to the AWS segment based on usage."</w:t>
            </w:r>
          </w:p>
        </w:tc>
        <w:tc>
          <w:tcPr>
            <w:tcW w:w="875" w:type="pct"/>
            <w:vAlign w:val="center"/>
          </w:tcPr>
          <w:p>
            <w:pPr>
              <w:spacing w:after="0" w:line="264" w:lineRule="auto"/>
              <w:jc w:val="center"/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</w:rPr>
            </w:pP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fldChar w:fldCharType="begin"/>
            </w: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instrText xml:space="preserve"> HYPERLINK "https://www.sec.gov/cgi-bin/browse-edgar?action=getcompany&amp;CIK=0001018724&amp;type=10-K" \t "_blank" </w:instrText>
            </w: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fldChar w:fldCharType="separate"/>
            </w: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</w:rPr>
              <w:t>Amazon 2025 10-K（SEC EDGAR，CIK 1018724）</w:t>
            </w: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fldChar w:fldCharType="end"/>
            </w: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t xml:space="preserve"> </w:t>
            </w:r>
          </w:p>
          <w:p>
            <w:pPr>
              <w:spacing w:after="0" w:line="264" w:lineRule="auto"/>
              <w:jc w:val="center"/>
            </w:pP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fldChar w:fldCharType="begin"/>
            </w: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instrText xml:space="preserve"> HYPERLINK "https://platformonomics.com/2022/02/follow-the-capex-cloud-table-stakes-2021-retrospective/" \t "_blank" </w:instrText>
            </w: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fldChar w:fldCharType="separate"/>
            </w: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</w:rPr>
              <w:t>Platformonomics 2021 回顾（Olsavsky 引文）</w:t>
            </w: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fldChar w:fldCharType="end"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</w:p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06" w:type="pct"/>
            <w:vAlign w:val="center"/>
          </w:tcPr>
          <w:p>
            <w:pPr>
              <w:spacing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  <w:t>META</w:t>
            </w:r>
          </w:p>
        </w:tc>
        <w:tc>
          <w:tcPr>
            <w:tcW w:w="1328" w:type="pct"/>
            <w:vAlign w:val="center"/>
          </w:tcPr>
          <w:p>
            <w:pPr>
              <w:spacing w:after="0" w:line="264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Meta整体 Capex约等于 其数据中心Capex</w:t>
            </w:r>
          </w:p>
        </w:tc>
        <w:tc>
          <w:tcPr>
            <w:tcW w:w="2189" w:type="pct"/>
            <w:vAlign w:val="center"/>
          </w:tcPr>
          <w:p>
            <w:pPr>
              <w:numPr>
                <w:ilvl w:val="0"/>
                <w:numId w:val="15"/>
              </w:numPr>
              <w:spacing w:after="0" w:line="264" w:lineRule="auto"/>
              <w:jc w:val="left"/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  <w:t>"Capital expenditures, including principal payments on finance leases, were $19.8 billion in Q1 2026, driven by investments in servers, data centers, and network infrastructure."</w:t>
            </w:r>
          </w:p>
        </w:tc>
        <w:tc>
          <w:tcPr>
            <w:tcW w:w="875" w:type="pct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sz w:val="21"/>
              </w:rPr>
            </w:pP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fldChar w:fldCharType="begin"/>
            </w: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instrText xml:space="preserve"> HYPERLINK "https://s21.q4cdn.com/399680738/files/doc_financials/2026/q1/META-Q1-2026-Earnings-Call-Transcript.pdf" \t "https://claude.ai/code/_blank" </w:instrText>
            </w:r>
            <w:r>
              <w:rPr>
                <w:rStyle w:val="136"/>
                <w:rFonts w:hint="eastAsia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fldChar w:fldCharType="separate"/>
            </w:r>
            <w:r>
              <w:rPr>
                <w:rStyle w:val="136"/>
                <w:rFonts w:hint="default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t>Meta Q1 2026 业绩电话会/新闻稿</w:t>
            </w:r>
            <w:r>
              <w:rPr>
                <w:rStyle w:val="136"/>
                <w:rFonts w:hint="default" w:ascii="寰蒋闆呴粦" w:hAnsi="寰蒋闆呴粦" w:eastAsia="寰蒋闆呴粦" w:cs="Times New Roman"/>
                <w:color w:val="0000FF"/>
                <w:sz w:val="22"/>
                <w:szCs w:val="24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06" w:type="pct"/>
            <w:vAlign w:val="center"/>
          </w:tcPr>
          <w:p>
            <w:pPr>
              <w:spacing w:after="0" w:line="264" w:lineRule="auto"/>
              <w:jc w:val="center"/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  <w:t>苹果</w:t>
            </w:r>
          </w:p>
        </w:tc>
        <w:tc>
          <w:tcPr>
            <w:tcW w:w="132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</w:rPr>
              <w:t>租第三方云训练 AI，不自建 AI 数据中心</w:t>
            </w:r>
          </w:p>
        </w:tc>
        <w:tc>
          <w:tcPr>
            <w:tcW w:w="2189" w:type="pct"/>
            <w:vAlign w:val="center"/>
          </w:tcPr>
          <w:p>
            <w:pPr>
              <w:numPr>
                <w:ilvl w:val="0"/>
                <w:numId w:val="16"/>
              </w:numPr>
              <w:spacing w:after="0" w:line="264" w:lineRule="auto"/>
              <w:jc w:val="left"/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  <w:t>"Apple Using Google Cloud Infrastructure to Train and Serve AI"</w:t>
            </w:r>
          </w:p>
        </w:tc>
        <w:tc>
          <w:tcPr>
            <w:tcW w:w="875" w:type="pct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sz w:val="21"/>
              </w:rPr>
            </w:pP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begin"/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instrText xml:space="preserve"> HYPERLINK "https://www.cnbc.com/2024/08/23/how-google-makes-custom-cloud-chips-that-power-apple-ai-and-gemini.html" </w:instrTex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separate"/>
            </w:r>
            <w:r>
              <w:rPr>
                <w:rStyle w:val="136"/>
                <w:rFonts w:hint="eastAsia" w:ascii="寰蒋闆呴粦" w:hAnsi="寰蒋闆呴粦" w:eastAsia="寰蒋闆呴粦"/>
                <w:sz w:val="22"/>
                <w:szCs w:val="24"/>
              </w:rPr>
              <w:t>CNBC</w: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end"/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  <w:lang w:eastAsia="zh-CN"/>
              </w:rPr>
              <w:t>、</w: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begin"/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instrText xml:space="preserve"> HYPERLINK "https://www.hpcwire.com/2024/06/18/apple-using-google-cloud-infrastructure-to-train-and-serve-ai/" </w:instrTex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separate"/>
            </w:r>
            <w:r>
              <w:rPr>
                <w:rStyle w:val="136"/>
                <w:rFonts w:hint="eastAsia" w:ascii="寰蒋闆呴粦" w:hAnsi="寰蒋闆呴粦" w:eastAsia="寰蒋闆呴粦"/>
                <w:sz w:val="22"/>
                <w:szCs w:val="24"/>
              </w:rPr>
              <w:t>HPCwire</w: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06" w:type="pct"/>
            <w:vAlign w:val="center"/>
          </w:tcPr>
          <w:p>
            <w:pPr>
              <w:spacing w:after="0" w:line="264" w:lineRule="auto"/>
              <w:jc w:val="center"/>
              <w:rPr>
                <w:rFonts w:hint="eastAsia" w:ascii="Times New Roman" w:hAnsi="Times New Roman" w:eastAsia="宋体" w:cs="Times New Roman"/>
                <w:b w:val="0"/>
                <w:sz w:val="21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1"/>
                <w:lang w:val="en-US" w:eastAsia="zh-CN"/>
              </w:rPr>
              <w:t>特斯拉</w:t>
            </w:r>
          </w:p>
        </w:tc>
        <w:tc>
          <w:tcPr>
            <w:tcW w:w="1328" w:type="pct"/>
            <w:vAlign w:val="center"/>
          </w:tcPr>
          <w:p>
            <w:pPr>
              <w:spacing w:after="0" w:line="264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数据中心Capex约等于上海数据中心（2021）+AI超算集群（2024）；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前者数据未披露，后者超算约30亿美元</w:t>
            </w:r>
          </w:p>
        </w:tc>
        <w:tc>
          <w:tcPr>
            <w:tcW w:w="2189" w:type="pct"/>
            <w:vAlign w:val="center"/>
          </w:tcPr>
          <w:p>
            <w:pPr>
              <w:numPr>
                <w:ilvl w:val="0"/>
                <w:numId w:val="17"/>
              </w:numPr>
              <w:spacing w:after="0" w:line="264" w:lineRule="auto"/>
              <w:jc w:val="left"/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</w:pPr>
            <w:r>
              <w:rPr>
                <w:rFonts w:hint="default" w:cs="Times New Roman"/>
                <w:b w:val="0"/>
                <w:sz w:val="21"/>
                <w:lang w:val="en-US" w:eastAsia="zh-CN"/>
              </w:rPr>
              <w:t>“</w:t>
            </w:r>
            <w:r>
              <w:rPr>
                <w:rFonts w:hint="eastAsia" w:cs="Times New Roman"/>
                <w:b w:val="0"/>
                <w:sz w:val="21"/>
                <w:lang w:val="en-US" w:eastAsia="zh-CN"/>
              </w:rPr>
              <w:t>..</w:t>
            </w:r>
            <w:r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  <w:t>appear to be supplementary to manufacturing expansion rather than the primary focus of capital spending in 2023-2024"</w:t>
            </w:r>
            <w:r>
              <w:rPr>
                <w:rFonts w:hint="default" w:ascii="Times New Roman" w:hAnsi="Times New Roman" w:eastAsia="宋体" w:cs="Times New Roman"/>
                <w:b w:val="0"/>
                <w:sz w:val="21"/>
                <w:lang w:val="en-US" w:eastAsia="zh-CN"/>
              </w:rPr>
              <w:br w:type="textWrapping"/>
            </w:r>
            <w:r>
              <w:rPr>
                <w:rFonts w:hint="eastAsia" w:cs="Times New Roman"/>
                <w:b w:val="0"/>
                <w:sz w:val="21"/>
                <w:lang w:val="en-US" w:eastAsia="zh-CN"/>
              </w:rPr>
              <w:t xml:space="preserve">2. Tesla also continues to invest billions in computing power to support its AI initiatives. The company recently disclosed a new $500 million Dojo computer cluster coming to New York. </w:t>
            </w:r>
          </w:p>
        </w:tc>
        <w:tc>
          <w:tcPr>
            <w:tcW w:w="875" w:type="pct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begin"/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instrText xml:space="preserve"> HYPERLINK "https://electrek.co/2024/01/29/tesla-tsla-plans-spend-10-billion-year-next-growth-phase/" </w:instrTex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separate"/>
            </w:r>
            <w:r>
              <w:rPr>
                <w:rStyle w:val="134"/>
                <w:rFonts w:hint="eastAsia" w:ascii="寰蒋闆呴粦" w:hAnsi="寰蒋闆呴粦" w:eastAsia="寰蒋闆呴粦"/>
                <w:sz w:val="22"/>
                <w:szCs w:val="24"/>
              </w:rPr>
              <w:t>Electrek</w:t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</w:rPr>
              <w:fldChar w:fldCharType="end"/>
            </w:r>
            <w:r>
              <w:rPr>
                <w:rFonts w:hint="eastAsia" w:ascii="寰蒋闆呴粦" w:hAnsi="寰蒋闆呴粦" w:eastAsia="寰蒋闆呴粦"/>
                <w:color w:val="000000"/>
                <w:sz w:val="22"/>
                <w:szCs w:val="24"/>
                <w:u w:val="none"/>
                <w:lang w:eastAsia="zh-CN"/>
              </w:rPr>
              <w:t>、</w:t>
            </w:r>
            <w:r>
              <w:rPr>
                <w:rFonts w:ascii="宋体" w:hAnsi="宋体" w:eastAsia="宋体" w:cs="宋体"/>
                <w:kern w:val="0"/>
                <w:sz w:val="22"/>
                <w:szCs w:val="22"/>
                <w:lang w:val="en-US" w:eastAsia="zh-CN" w:bidi="ar"/>
              </w:rPr>
              <w:fldChar w:fldCharType="begin"/>
            </w:r>
            <w:r>
              <w:rPr>
                <w:rFonts w:ascii="宋体" w:hAnsi="宋体" w:eastAsia="宋体" w:cs="宋体"/>
                <w:kern w:val="0"/>
                <w:sz w:val="22"/>
                <w:szCs w:val="22"/>
                <w:lang w:val="en-US" w:eastAsia="zh-CN" w:bidi="ar"/>
              </w:rPr>
              <w:instrText xml:space="preserve"> HYPERLINK "https://www.tomshardware.com/tech-industry/artificial-intelligence/elon-musk-spent-roughly-usd10-billion-on-ai-training-hardware-in-2024" \t "_blank" </w:instrText>
            </w:r>
            <w:r>
              <w:rPr>
                <w:rFonts w:ascii="宋体" w:hAnsi="宋体" w:eastAsia="宋体" w:cs="宋体"/>
                <w:kern w:val="0"/>
                <w:sz w:val="22"/>
                <w:szCs w:val="22"/>
                <w:lang w:val="en-US" w:eastAsia="zh-CN" w:bidi="ar"/>
              </w:rPr>
              <w:fldChar w:fldCharType="separate"/>
            </w:r>
            <w:r>
              <w:rPr>
                <w:rStyle w:val="134"/>
                <w:rFonts w:ascii="宋体" w:hAnsi="宋体" w:eastAsia="宋体" w:cs="宋体"/>
                <w:sz w:val="22"/>
                <w:szCs w:val="22"/>
              </w:rPr>
              <w:t>Tom's Hardware</w:t>
            </w:r>
            <w:r>
              <w:rPr>
                <w:rFonts w:ascii="宋体" w:hAnsi="宋体" w:eastAsia="宋体" w:cs="宋体"/>
                <w:kern w:val="0"/>
                <w:sz w:val="22"/>
                <w:szCs w:val="22"/>
                <w:lang w:val="en-US" w:eastAsia="zh-CN" w:bidi="ar"/>
              </w:rPr>
              <w:fldChar w:fldCharType="end"/>
            </w:r>
            <w:r>
              <w:rPr>
                <w:rFonts w:ascii="宋体" w:hAnsi="宋体" w:eastAsia="宋体" w:cs="宋体"/>
                <w:kern w:val="0"/>
                <w:sz w:val="22"/>
                <w:szCs w:val="22"/>
                <w:lang w:val="en-US" w:eastAsia="zh-CN" w:bidi="ar"/>
              </w:rPr>
              <w:t xml:space="preserve"> </w:t>
            </w:r>
            <w:r>
              <w:rPr>
                <w:rFonts w:hint="eastAsia" w:ascii="宋体" w:hAnsi="宋体" w:cs="宋体"/>
                <w:kern w:val="0"/>
                <w:sz w:val="22"/>
                <w:szCs w:val="22"/>
                <w:lang w:val="en-US" w:eastAsia="zh-CN" w:bidi="ar"/>
              </w:rPr>
              <w:t>、</w:t>
            </w:r>
            <w:r>
              <w:rPr>
                <w:rFonts w:ascii="宋体" w:hAnsi="宋体" w:eastAsia="宋体" w:cs="宋体"/>
                <w:kern w:val="0"/>
                <w:sz w:val="22"/>
                <w:szCs w:val="22"/>
                <w:lang w:val="en-US" w:eastAsia="zh-CN" w:bidi="ar"/>
              </w:rPr>
              <w:fldChar w:fldCharType="begin"/>
            </w:r>
            <w:r>
              <w:rPr>
                <w:rFonts w:ascii="宋体" w:hAnsi="宋体" w:eastAsia="宋体" w:cs="宋体"/>
                <w:kern w:val="0"/>
                <w:sz w:val="22"/>
                <w:szCs w:val="22"/>
                <w:lang w:val="en-US" w:eastAsia="zh-CN" w:bidi="ar"/>
              </w:rPr>
              <w:instrText xml:space="preserve"> HYPERLINK "https://techcrunch.com/2025/09/02/teslas-dojo-a-timeline/" \t "_blank" </w:instrText>
            </w:r>
            <w:r>
              <w:rPr>
                <w:rFonts w:ascii="宋体" w:hAnsi="宋体" w:eastAsia="宋体" w:cs="宋体"/>
                <w:kern w:val="0"/>
                <w:sz w:val="22"/>
                <w:szCs w:val="22"/>
                <w:lang w:val="en-US" w:eastAsia="zh-CN" w:bidi="ar"/>
              </w:rPr>
              <w:fldChar w:fldCharType="separate"/>
            </w:r>
            <w:r>
              <w:rPr>
                <w:rStyle w:val="134"/>
                <w:rFonts w:ascii="宋体" w:hAnsi="宋体" w:eastAsia="宋体" w:cs="宋体"/>
                <w:sz w:val="22"/>
                <w:szCs w:val="22"/>
              </w:rPr>
              <w:t>TechCrunch（Dojo 时间线）</w:t>
            </w:r>
            <w:r>
              <w:rPr>
                <w:rFonts w:ascii="宋体" w:hAnsi="宋体" w:eastAsia="宋体" w:cs="宋体"/>
                <w:kern w:val="0"/>
                <w:sz w:val="22"/>
                <w:szCs w:val="22"/>
                <w:lang w:val="en-US" w:eastAsia="zh-CN" w:bidi="ar"/>
              </w:rPr>
              <w:fldChar w:fldCharType="end"/>
            </w:r>
            <w:r>
              <w:rPr>
                <w:rFonts w:ascii="宋体" w:hAnsi="宋体" w:eastAsia="宋体" w:cs="宋体"/>
                <w:kern w:val="0"/>
                <w:sz w:val="22"/>
                <w:szCs w:val="22"/>
                <w:lang w:val="en-US" w:eastAsia="zh-CN" w:bidi="ar"/>
              </w:rPr>
              <w:t xml:space="preserve">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spacing w:after="0" w:line="264" w:lineRule="auto"/>
              <w:jc w:val="center"/>
              <w:rPr>
                <w:rFonts w:hint="eastAsia" w:ascii="Times New Roman" w:hAnsi="Times New Roman" w:eastAsia="寰蒋闆呴粦" w:cs="Times New Roman"/>
                <w:b w:val="0"/>
                <w:bCs/>
                <w:sz w:val="21"/>
                <w:lang w:eastAsia="zh-CN"/>
              </w:rPr>
            </w:pPr>
          </w:p>
        </w:tc>
      </w:tr>
    </w:tbl>
    <w:p>
      <w:pPr>
        <w:spacing w:after="40" w:line="360" w:lineRule="auto"/>
        <w:jc w:val="left"/>
        <w:rPr>
          <w:rFonts w:hint="default" w:ascii="Times New Roman" w:hAnsi="Times New Roman" w:eastAsia="宋体" w:cs="Times New Roman"/>
          <w:b/>
          <w:bCs/>
          <w:sz w:val="22"/>
          <w:szCs w:val="22"/>
          <w:lang w:val="en-US" w:eastAsia="zh-CN"/>
        </w:rPr>
      </w:pPr>
    </w:p>
    <w:p>
      <w:pPr>
        <w:spacing w:before="24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四、融资额：债 / 股细分（2020–2025）</w:t>
      </w:r>
    </w:p>
    <w:p>
      <w:pPr>
        <w:numPr>
          <w:ilvl w:val="0"/>
          <w:numId w:val="18"/>
        </w:numPr>
        <w:spacing w:after="40" w:line="360" w:lineRule="auto"/>
        <w:ind w:left="420" w:leftChars="0" w:firstLine="0" w:firstLineChars="0"/>
        <w:rPr>
          <w:rFonts w:hint="eastAsia" w:cs="Times New Roman"/>
          <w:b/>
          <w:bCs/>
          <w:sz w:val="24"/>
          <w:lang w:val="en-US" w:eastAsia="zh-CN"/>
        </w:rPr>
      </w:pPr>
      <w:r>
        <w:rPr>
          <w:rFonts w:hint="eastAsia" w:cs="Times New Roman"/>
          <w:b/>
          <w:bCs/>
          <w:sz w:val="24"/>
          <w:lang w:val="en-US" w:eastAsia="zh-CN"/>
        </w:rPr>
        <w:t>分类：</w:t>
      </w:r>
    </w:p>
    <w:p>
      <w:pPr>
        <w:spacing w:after="40" w:line="360" w:lineRule="auto"/>
        <w:ind w:firstLine="720" w:firstLineChars="0"/>
        <w:rPr>
          <w:rFonts w:ascii="Times New Roman" w:hAnsi="Times New Roman" w:eastAsia="宋体" w:cs="Times New Roman"/>
          <w:b w:val="0"/>
          <w:bCs w:val="0"/>
          <w:sz w:val="24"/>
        </w:rPr>
      </w:pPr>
      <w:r>
        <w:rPr>
          <w:rFonts w:ascii="Times New Roman" w:hAnsi="Times New Roman" w:eastAsia="宋体" w:cs="Times New Roman"/>
          <w:b w:val="0"/>
          <w:sz w:val="24"/>
        </w:rPr>
        <w:t>七巨头总体分两类：</w:t>
      </w:r>
      <w:r>
        <w:rPr>
          <w:rFonts w:ascii="Times New Roman" w:hAnsi="Times New Roman" w:eastAsia="宋体" w:cs="Times New Roman"/>
          <w:b w:val="0"/>
          <w:bCs w:val="0"/>
          <w:sz w:val="24"/>
        </w:rPr>
        <w:t>①自筹型（微软/英伟达/Alphabet多年靠经营现金流，近期才发债）；②外部融资活跃型（Meta、亚马逊2025集中发债；特斯拉历史靠增发股票）。</w:t>
      </w:r>
    </w:p>
    <w:p>
      <w:pPr>
        <w:numPr>
          <w:ilvl w:val="0"/>
          <w:numId w:val="18"/>
        </w:numPr>
        <w:spacing w:after="40" w:line="360" w:lineRule="auto"/>
        <w:ind w:left="420" w:leftChars="0" w:firstLine="0" w:firstLineChars="0"/>
        <w:rPr>
          <w:b/>
          <w:bCs w:val="0"/>
        </w:rPr>
      </w:pPr>
      <w:r>
        <w:rPr>
          <w:rFonts w:ascii="Times New Roman" w:hAnsi="Times New Roman" w:eastAsia="宋体" w:cs="Times New Roman"/>
          <w:b/>
          <w:bCs w:val="0"/>
          <w:sz w:val="24"/>
        </w:rPr>
        <w:t>各项对应的财报行项</w:t>
      </w:r>
      <w:r>
        <w:rPr>
          <w:rFonts w:hint="eastAsia" w:cs="Times New Roman"/>
          <w:b/>
          <w:bCs w:val="0"/>
          <w:sz w:val="24"/>
          <w:lang w:eastAsia="zh-CN"/>
        </w:rPr>
        <w:t>：</w:t>
      </w:r>
    </w:p>
    <w:p>
      <w:pPr>
        <w:numPr>
          <w:ilvl w:val="0"/>
          <w:numId w:val="19"/>
        </w:numPr>
        <w:spacing w:after="40" w:line="360" w:lineRule="auto"/>
        <w:ind w:left="420" w:leftChars="0" w:hanging="420" w:firstLineChars="0"/>
        <w:rPr>
          <w:b w:val="0"/>
          <w:bCs/>
        </w:rPr>
      </w:pPr>
      <w:r>
        <w:rPr>
          <w:rFonts w:ascii="Times New Roman" w:hAnsi="Times New Roman" w:eastAsia="宋体" w:cs="Times New Roman"/>
          <w:b w:val="0"/>
          <w:bCs/>
          <w:sz w:val="24"/>
        </w:rPr>
        <w:t>当年新增了债（流量）→ 现金流量表·融资活动 "Proceeds from issuance of (term/long-term) debt"</w:t>
      </w:r>
    </w:p>
    <w:p>
      <w:pPr>
        <w:numPr>
          <w:ilvl w:val="0"/>
          <w:numId w:val="19"/>
        </w:numPr>
        <w:spacing w:after="40" w:line="360" w:lineRule="auto"/>
        <w:ind w:left="420" w:leftChars="0" w:hanging="420" w:firstLineChars="0"/>
        <w:rPr>
          <w:rFonts w:ascii="Times New Roman" w:hAnsi="Times New Roman" w:eastAsia="宋体" w:cs="Times New Roman"/>
          <w:b w:val="0"/>
          <w:bCs/>
          <w:sz w:val="24"/>
        </w:rPr>
      </w:pPr>
      <w:r>
        <w:rPr>
          <w:rFonts w:ascii="Times New Roman" w:hAnsi="Times New Roman" w:eastAsia="宋体" w:cs="Times New Roman"/>
          <w:b w:val="0"/>
          <w:bCs/>
          <w:sz w:val="24"/>
        </w:rPr>
        <w:t>账上还欠多少债（存量）→ 资产负债表 "Long-term debt"（另加流动负债里的 *current portion of long-term debt* 为当年到期部分）</w:t>
      </w:r>
    </w:p>
    <w:p>
      <w:pPr>
        <w:numPr>
          <w:ilvl w:val="0"/>
          <w:numId w:val="19"/>
        </w:numPr>
        <w:spacing w:after="40" w:line="360" w:lineRule="auto"/>
        <w:ind w:left="420" w:leftChars="0" w:hanging="420" w:firstLineChars="0"/>
        <w:rPr>
          <w:rFonts w:ascii="Times New Roman" w:hAnsi="Times New Roman" w:eastAsia="宋体" w:cs="Times New Roman"/>
          <w:b w:val="0"/>
          <w:bCs/>
          <w:sz w:val="24"/>
        </w:rPr>
      </w:pPr>
      <w:r>
        <w:rPr>
          <w:rFonts w:ascii="Times New Roman" w:hAnsi="Times New Roman" w:eastAsia="宋体" w:cs="Times New Roman"/>
          <w:b w:val="0"/>
          <w:bCs/>
          <w:sz w:val="24"/>
        </w:rPr>
        <w:t>当年增发了多少股（流量）→ 现金流量表·融资活动 "Proceeds from issuance of common stock"</w:t>
      </w:r>
    </w:p>
    <w:p>
      <w:pPr>
        <w:numPr>
          <w:ilvl w:val="0"/>
          <w:numId w:val="19"/>
        </w:numPr>
        <w:spacing w:after="40" w:line="360" w:lineRule="auto"/>
        <w:ind w:left="420" w:leftChars="0" w:hanging="420" w:firstLineChars="0"/>
        <w:rPr>
          <w:rFonts w:ascii="Times New Roman" w:hAnsi="Times New Roman" w:eastAsia="宋体" w:cs="Times New Roman"/>
          <w:b w:val="0"/>
          <w:bCs/>
          <w:sz w:val="24"/>
        </w:rPr>
      </w:pPr>
      <w:r>
        <w:rPr>
          <w:rFonts w:ascii="Times New Roman" w:hAnsi="Times New Roman" w:eastAsia="宋体" w:cs="Times New Roman"/>
          <w:b w:val="0"/>
          <w:bCs/>
          <w:sz w:val="24"/>
        </w:rPr>
        <w:t xml:space="preserve"> 回购 → 现金流量表 "Repurchases of common stock"</w:t>
      </w:r>
    </w:p>
    <w:p>
      <w:pPr>
        <w:spacing w:before="160" w:after="120" w:line="360" w:lineRule="auto"/>
        <w:rPr>
          <w:rFonts w:ascii="Times New Roman" w:hAnsi="Times New Roman" w:eastAsia="黑体" w:cs="Times New Roman"/>
          <w:b/>
          <w:sz w:val="28"/>
        </w:rPr>
      </w:pPr>
      <w:r>
        <w:rPr>
          <w:rFonts w:ascii="Times New Roman" w:hAnsi="Times New Roman" w:eastAsia="黑体" w:cs="Times New Roman"/>
          <w:b/>
          <w:sz w:val="28"/>
        </w:rPr>
        <w:t xml:space="preserve">4.1 Meta </w:t>
      </w:r>
    </w:p>
    <w:p>
      <w:pPr>
        <w:spacing w:before="160" w:after="120" w:line="360" w:lineRule="auto"/>
        <w:rPr>
          <w:rFonts w:hint="default" w:ascii="Times New Roman" w:hAnsi="Times New Roman" w:eastAsia="黑体" w:cs="Times New Roman"/>
          <w:b/>
          <w:sz w:val="28"/>
          <w:lang w:val="en-US" w:eastAsia="zh-CN"/>
        </w:rPr>
      </w:pPr>
      <w:r>
        <w:rPr>
          <w:rFonts w:hint="eastAsia" w:eastAsia="黑体" w:cs="Times New Roman"/>
          <w:b/>
          <w:sz w:val="28"/>
          <w:lang w:val="en-US" w:eastAsia="zh-CN"/>
        </w:rPr>
        <w:t>4.1.1 债券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  <w:rPr>
          <w:rFonts w:ascii="Times New Roman" w:hAnsi="Times New Roman" w:eastAsia="宋体"/>
          <w:color w:val="0563C1"/>
          <w:sz w:val="24"/>
          <w:u w:val="single"/>
        </w:rPr>
      </w:pPr>
      <w:r>
        <w:rPr>
          <w:rFonts w:ascii="Times New Roman" w:hAnsi="Times New Roman" w:eastAsia="宋体" w:cs="Times New Roman"/>
          <w:b/>
          <w:sz w:val="24"/>
        </w:rPr>
        <w:t xml:space="preserve"> 逐年发债额（Meta 首次发债于 2022，此前长期债务为 0；按各笔完成年计，$M）：2020 = 0 / 2021 = 0 / 2022 ≈ 10,000 / 2023 = 0 / 2024 ≈ 10,500 / 2025 ≈ 30,000——属"机会型发债"，仅 2022、2024、2025 三年发行(明细见下)。来源：各笔 8-K / 424B。</w:t>
      </w:r>
      <w:r>
        <w:rPr>
          <w:rFonts w:ascii="Times New Roman" w:hAnsi="Times New Roman" w:eastAsia="宋体" w:cs="Times New Roman"/>
          <w:b w:val="0"/>
          <w:sz w:val="24"/>
        </w:rPr>
      </w:r>
      <w:r>
        <w:rPr>
          <w:rFonts w:ascii="Times New Roman" w:hAnsi="Times New Roman" w:eastAsia="宋体" w:cs="Times New Roman"/>
          <w:b/>
          <w:sz w:val="24"/>
        </w:rPr>
      </w:r>
      <w:r>
        <w:rPr>
          <w:rFonts w:ascii="Times New Roman" w:hAnsi="Times New Roman" w:eastAsia="宋体" w:cs="Times New Roman"/>
          <w:b w:val="0"/>
          <w:sz w:val="24"/>
        </w:rPr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  <w:rPr>
          <w:rFonts w:ascii="Times New Roman" w:hAnsi="Times New Roman" w:eastAsia="宋体"/>
          <w:color w:val="0563C1"/>
          <w:sz w:val="24"/>
          <w:u w:val="single"/>
        </w:rPr>
      </w:pPr>
      <w:r>
        <w:rPr>
          <w:rFonts w:ascii="Times New Roman" w:hAnsi="Times New Roman" w:eastAsia="宋体" w:cs="Times New Roman"/>
          <w:b/>
          <w:sz w:val="24"/>
        </w:rPr>
        <w:t>$300亿美元高级无担保债券（2025/10/30）</w:t>
      </w:r>
      <w:r>
        <w:rPr>
          <w:rFonts w:ascii="Times New Roman" w:hAnsi="Times New Roman" w:eastAsia="宋体" w:cs="Times New Roman"/>
          <w:b w:val="0"/>
          <w:sz w:val="24"/>
        </w:rPr>
        <w:t>：六档（5/7/10/20/30/40年期），为</w:t>
      </w:r>
      <w:r>
        <w:rPr>
          <w:rFonts w:ascii="Times New Roman" w:hAnsi="Times New Roman" w:eastAsia="宋体" w:cs="Times New Roman"/>
          <w:b/>
          <w:sz w:val="24"/>
        </w:rPr>
        <w:t>当年全球最大投资级债券发行</w:t>
      </w:r>
      <w:r>
        <w:rPr>
          <w:rFonts w:ascii="Times New Roman" w:hAnsi="Times New Roman" w:eastAsia="宋体" w:cs="Times New Roman"/>
          <w:b w:val="0"/>
          <w:sz w:val="24"/>
        </w:rPr>
        <w:t>，认购峰值订单达$1250亿。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  <w:rPr>
          <w:rFonts w:ascii="Times New Roman" w:hAnsi="Times New Roman" w:eastAsia="宋体"/>
          <w:color w:val="0563C1"/>
          <w:sz w:val="24"/>
          <w:u w:val="single"/>
        </w:rPr>
      </w:pPr>
      <w:r>
        <w:rPr>
          <w:rFonts w:ascii="Times New Roman" w:hAnsi="Times New Roman" w:eastAsia="宋体" w:cs="Times New Roman"/>
          <w:b w:val="0"/>
          <w:sz w:val="24"/>
        </w:rPr>
        <w:t>来源：</w:t>
      </w:r>
      <w:r>
        <w:fldChar w:fldCharType="begin"/>
      </w:r>
      <w:r>
        <w:instrText xml:space="preserve"> HYPERLINK "https://www.bloomberg.com/news/articles/2025-10-30/meta-platforms-offers-six-part-bond-amid-ai-spending-rush"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Bloomberg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"https://www.investing.com/news/sec-filings/meta-platforms-completes-30-billion-senior-notes-offering-across-multiple-maturities-93CH-4328562"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Investing.com（完成发行/含SEC文件）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/>
          <w:sz w:val="24"/>
        </w:rPr>
        <w:t>$105亿美元高级无担保债券（2024/8/9 完成，5 档）</w:t>
      </w:r>
      <w:r>
        <w:rPr>
          <w:rFonts w:ascii="Times New Roman" w:hAnsi="Times New Roman" w:eastAsia="宋体" w:cs="Times New Roman"/>
          <w:b w:val="0"/>
          <w:sz w:val="24"/>
        </w:rPr>
        <w:t xml:space="preserve">：$10亿 </w:t>
      </w:r>
      <w:r>
        <w:rPr>
          <w:rFonts w:ascii="Times New Roman" w:hAnsi="Times New Roman" w:eastAsia="宋体" w:cs="Times New Roman"/>
          <w:b/>
          <w:sz w:val="24"/>
        </w:rPr>
        <w:t>4.300%/2029</w:t>
      </w:r>
      <w:r>
        <w:rPr>
          <w:rFonts w:ascii="Times New Roman" w:hAnsi="Times New Roman" w:eastAsia="宋体" w:cs="Times New Roman"/>
          <w:b w:val="0"/>
          <w:sz w:val="24"/>
        </w:rPr>
        <w:t xml:space="preserve">、$10亿 </w:t>
      </w:r>
      <w:r>
        <w:rPr>
          <w:rFonts w:ascii="Times New Roman" w:hAnsi="Times New Roman" w:eastAsia="宋体" w:cs="Times New Roman"/>
          <w:b/>
          <w:sz w:val="24"/>
        </w:rPr>
        <w:t>4.550%/2031</w:t>
      </w:r>
      <w:r>
        <w:rPr>
          <w:rFonts w:ascii="Times New Roman" w:hAnsi="Times New Roman" w:eastAsia="宋体" w:cs="Times New Roman"/>
          <w:b w:val="0"/>
          <w:sz w:val="24"/>
        </w:rPr>
        <w:t xml:space="preserve">、$25亿 </w:t>
      </w:r>
      <w:r>
        <w:rPr>
          <w:rFonts w:ascii="Times New Roman" w:hAnsi="Times New Roman" w:eastAsia="宋体" w:cs="Times New Roman"/>
          <w:b/>
          <w:sz w:val="24"/>
        </w:rPr>
        <w:t>4.750%/2034</w:t>
      </w:r>
      <w:r>
        <w:rPr>
          <w:rFonts w:ascii="Times New Roman" w:hAnsi="Times New Roman" w:eastAsia="宋体" w:cs="Times New Roman"/>
          <w:b w:val="0"/>
          <w:sz w:val="24"/>
        </w:rPr>
        <w:t xml:space="preserve">、$32.5亿 </w:t>
      </w:r>
      <w:r>
        <w:rPr>
          <w:rFonts w:ascii="Times New Roman" w:hAnsi="Times New Roman" w:eastAsia="宋体" w:cs="Times New Roman"/>
          <w:b/>
          <w:sz w:val="24"/>
        </w:rPr>
        <w:t>5.400%/2054</w:t>
      </w:r>
      <w:r>
        <w:rPr>
          <w:rFonts w:ascii="Times New Roman" w:hAnsi="Times New Roman" w:eastAsia="宋体" w:cs="Times New Roman"/>
          <w:b w:val="0"/>
          <w:sz w:val="24"/>
        </w:rPr>
        <w:t xml:space="preserve">、$27.5亿 </w:t>
      </w:r>
      <w:r>
        <w:rPr>
          <w:rFonts w:ascii="Times New Roman" w:hAnsi="Times New Roman" w:eastAsia="宋体" w:cs="Times New Roman"/>
          <w:b/>
          <w:sz w:val="24"/>
        </w:rPr>
        <w:t>5.550%/2064</w:t>
      </w:r>
      <w:r>
        <w:rPr>
          <w:rFonts w:ascii="Times New Roman" w:hAnsi="Times New Roman" w:eastAsia="宋体" w:cs="Times New Roman"/>
          <w:b w:val="0"/>
          <w:sz w:val="24"/>
        </w:rPr>
        <w:t xml:space="preserve">，合计 </w:t>
      </w:r>
      <w:r>
        <w:rPr>
          <w:rFonts w:ascii="Times New Roman" w:hAnsi="Times New Roman" w:eastAsia="宋体" w:cs="Times New Roman"/>
          <w:b/>
          <w:sz w:val="24"/>
        </w:rPr>
        <w:t>$105亿</w:t>
      </w:r>
      <w:r>
        <w:rPr>
          <w:rFonts w:ascii="Times New Roman" w:hAnsi="Times New Roman" w:eastAsia="宋体" w:cs="Times New Roman"/>
          <w:b w:val="0"/>
          <w:sz w:val="24"/>
        </w:rPr>
        <w:t>；用途为一般公司用途；承销代表 BofA、摩根大通、摩根士丹利。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hint="eastAsia" w:cs="Times New Roman"/>
          <w:b w:val="0"/>
          <w:sz w:val="24"/>
          <w:lang w:val="en-US" w:eastAsia="zh-CN"/>
        </w:rPr>
        <w:t>来源：</w:t>
      </w:r>
      <w:r>
        <w:rPr>
          <w:rFonts w:ascii="Times New Roman" w:hAnsi="Times New Roman" w:eastAsia="宋体" w:cs="Times New Roman"/>
          <w:b/>
          <w:sz w:val="24"/>
        </w:rPr>
        <w:t>SEC 8-K（2024/8/9）+ 424B2 募集书</w:t>
      </w:r>
      <w:r>
        <w:rPr>
          <w:rFonts w:ascii="Times New Roman" w:hAnsi="Times New Roman" w:eastAsia="宋体" w:cs="Times New Roman"/>
          <w:b w:val="0"/>
          <w:sz w:val="24"/>
        </w:rPr>
        <w:t>（注：Meta 早于 2022/8 已发行首笔 $100亿高级票据。）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存量债务</w:t>
      </w:r>
      <w:r>
        <w:rPr>
          <w:rFonts w:ascii="Times New Roman" w:hAnsi="Times New Roman" w:eastAsia="宋体" w:cs="Times New Roman"/>
          <w:b w:val="0"/>
          <w:sz w:val="24"/>
        </w:rPr>
        <w:t xml:space="preserve">：Meta 长期债务（10-K 资产负债表账面净额）2023 </w:t>
      </w:r>
      <w:r>
        <w:rPr>
          <w:rFonts w:hint="eastAsia" w:cs="Times New Roman"/>
          <w:b w:val="0"/>
          <w:sz w:val="24"/>
          <w:lang w:val="en-US" w:eastAsia="zh-CN"/>
        </w:rPr>
        <w:t>=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$17,226M</w:t>
      </w:r>
      <w:r>
        <w:rPr>
          <w:rFonts w:ascii="Times New Roman" w:hAnsi="Times New Roman" w:eastAsia="宋体" w:cs="Times New Roman"/>
          <w:b w:val="0"/>
          <w:sz w:val="24"/>
        </w:rPr>
        <w:t xml:space="preserve">、2024 </w:t>
      </w:r>
      <w:r>
        <w:rPr>
          <w:rFonts w:hint="eastAsia" w:cs="Times New Roman"/>
          <w:b w:val="0"/>
          <w:sz w:val="24"/>
          <w:lang w:val="en-US" w:eastAsia="zh-CN"/>
        </w:rPr>
        <w:t>=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$28,826M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hint="eastAsia" w:cs="Times New Roman"/>
          <w:b/>
          <w:sz w:val="24"/>
          <w:lang w:val="en-US" w:eastAsia="zh-CN"/>
        </w:rPr>
        <w:t>来源：</w:t>
      </w:r>
      <w:r>
        <w:rPr>
          <w:rFonts w:ascii="Times New Roman" w:hAnsi="Times New Roman" w:eastAsia="宋体" w:cs="Times New Roman"/>
          <w:b/>
          <w:sz w:val="24"/>
        </w:rPr>
        <w:t>10-K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270亿美元 Hyperion 表外SPV融资（2025/10）</w:t>
      </w:r>
      <w:r>
        <w:rPr>
          <w:rFonts w:ascii="Times New Roman" w:hAnsi="Times New Roman" w:eastAsia="宋体" w:cs="Times New Roman"/>
          <w:b w:val="0"/>
          <w:sz w:val="24"/>
        </w:rPr>
        <w:t>：与Blue Owl Capital成立合资SPV"Beignet"，</w:t>
      </w:r>
      <w:r>
        <w:rPr>
          <w:rFonts w:ascii="Times New Roman" w:hAnsi="Times New Roman" w:eastAsia="宋体" w:cs="Times New Roman"/>
          <w:b/>
          <w:sz w:val="24"/>
        </w:rPr>
        <w:t>Blue Owl持80%、Meta持20%</w:t>
      </w:r>
      <w:r>
        <w:rPr>
          <w:rFonts w:ascii="Times New Roman" w:hAnsi="Times New Roman" w:eastAsia="宋体" w:cs="Times New Roman"/>
          <w:b w:val="0"/>
          <w:sz w:val="24"/>
        </w:rPr>
        <w:t>；结构约</w:t>
      </w:r>
      <w:r>
        <w:rPr>
          <w:rFonts w:ascii="Times New Roman" w:hAnsi="Times New Roman" w:eastAsia="宋体" w:cs="Times New Roman"/>
          <w:b/>
          <w:sz w:val="24"/>
        </w:rPr>
        <w:t>$270亿 A+评级债务 + 约$25亿股权</w:t>
      </w:r>
      <w:r>
        <w:rPr>
          <w:rFonts w:ascii="Times New Roman" w:hAnsi="Times New Roman" w:eastAsia="宋体" w:cs="Times New Roman"/>
          <w:b w:val="0"/>
          <w:sz w:val="24"/>
        </w:rPr>
        <w:t xml:space="preserve">，债务由 </w:t>
      </w:r>
      <w:r>
        <w:rPr>
          <w:rFonts w:ascii="Times New Roman" w:hAnsi="Times New Roman" w:eastAsia="宋体" w:cs="Times New Roman"/>
          <w:b/>
          <w:sz w:val="24"/>
        </w:rPr>
        <w:t>PIMCO（约$180亿）、BlackRock（约$30亿）</w:t>
      </w:r>
      <w:r>
        <w:rPr>
          <w:rFonts w:ascii="Times New Roman" w:hAnsi="Times New Roman" w:eastAsia="宋体" w:cs="Times New Roman"/>
          <w:b w:val="0"/>
          <w:sz w:val="24"/>
        </w:rPr>
        <w:t xml:space="preserve"> 锚定，摩根士丹利安排。属</w:t>
      </w:r>
      <w:r>
        <w:rPr>
          <w:rFonts w:ascii="Times New Roman" w:hAnsi="Times New Roman" w:eastAsia="宋体" w:cs="Times New Roman"/>
          <w:b/>
          <w:sz w:val="24"/>
        </w:rPr>
        <w:t>表外杠杆</w:t>
      </w:r>
      <w:r>
        <w:rPr>
          <w:rFonts w:ascii="Times New Roman" w:hAnsi="Times New Roman" w:eastAsia="宋体" w:cs="Times New Roman"/>
          <w:b w:val="0"/>
          <w:sz w:val="24"/>
        </w:rPr>
        <w:t>：Meta 出资产、持 20%，</w:t>
      </w:r>
      <w:r>
        <w:rPr>
          <w:rFonts w:ascii="Times New Roman" w:hAnsi="Times New Roman" w:eastAsia="宋体" w:cs="Times New Roman"/>
          <w:b/>
          <w:sz w:val="24"/>
        </w:rPr>
        <w:t>承诺付费使用该数据中心（计入 OPEX）并对其他投资者的回报作担保</w:t>
      </w:r>
      <w:r>
        <w:rPr>
          <w:rFonts w:ascii="Times New Roman" w:hAnsi="Times New Roman" w:eastAsia="宋体" w:cs="Times New Roman"/>
          <w:b w:val="0"/>
          <w:sz w:val="24"/>
        </w:rPr>
        <w:t>（若租约不续）。</w:t>
      </w:r>
      <w:r>
        <w:rPr>
          <w:rFonts w:ascii="Times New Roman" w:hAnsi="Times New Roman" w:eastAsia="宋体" w:cs="Times New Roman"/>
          <w:b/>
          <w:sz w:val="24"/>
        </w:rPr>
        <w:t>Meta 审计师对其"无控制权"（表外前提）的主张并不完全认同</w:t>
      </w:r>
      <w:r>
        <w:rPr>
          <w:rFonts w:ascii="Times New Roman" w:hAnsi="Times New Roman" w:eastAsia="宋体" w:cs="Times New Roman"/>
          <w:b w:val="0"/>
          <w:sz w:val="24"/>
        </w:rPr>
        <w:t>——留有会计争议。 来源：</w:t>
      </w:r>
      <w:r>
        <w:fldChar w:fldCharType="begin"/>
      </w:r>
      <w:r>
        <w:instrText xml:space="preserve"> HYPERLINK "https://www.datacenterdynamics.com/en/news/meta-forms-27-billion-joint-venture-with-blue-owl-to-fund-gigawatt-scale-ai-data-center-campus-in-louisiana/"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DataCenterDynamics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"https://fortune.com/2025/10/31/metas-27-billion-bet-turns-ai-compute-into-wall-streets-hottest-new-investment/"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Fortune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"https://platformonomics.com/2026/02/follow-the-capex-2025-retrospective/"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Platformonomics 2025 回顾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spacing w:before="160" w:after="120" w:line="360" w:lineRule="auto"/>
        <w:rPr>
          <w:rFonts w:ascii="Times New Roman" w:hAnsi="Times New Roman" w:eastAsia="宋体" w:cs="Times New Roman"/>
          <w:b w:val="0"/>
          <w:sz w:val="24"/>
        </w:rPr>
      </w:pPr>
      <w:r>
        <w:rPr>
          <w:rFonts w:hint="eastAsia" w:eastAsia="黑体" w:cs="Times New Roman"/>
          <w:b/>
          <w:sz w:val="28"/>
          <w:lang w:val="en-US" w:eastAsia="zh-CN"/>
        </w:rPr>
        <w:t>4.1.2 股票</w:t>
      </w:r>
    </w:p>
    <w:p>
      <w:pPr>
        <w:spacing w:after="40" w:line="36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Meta 常年大额回购 Class A 股票（2021 起每年 $200–445 亿），无股权融资性增发。回购逐年额见 §4.8。</w:t>
      </w:r>
      <w:r>
        <w:rPr>
          <w:rFonts w:ascii="Times New Roman" w:hAnsi="Times New Roman" w:eastAsia="宋体" w:cs="Times New Roman"/>
          <w:b/>
          <w:sz w:val="24"/>
        </w:rPr>
        <w:t>【已核实——一手10-K】</w:t>
      </w:r>
    </w:p>
    <w:p>
      <w:pPr>
        <w:spacing w:before="160" w:after="120" w:line="360" w:lineRule="auto"/>
        <w:rPr>
          <w:rFonts w:ascii="Times New Roman" w:hAnsi="Times New Roman" w:eastAsia="黑体" w:cs="Times New Roman"/>
          <w:b/>
          <w:sz w:val="28"/>
        </w:rPr>
      </w:pPr>
      <w:r>
        <w:rPr>
          <w:rFonts w:ascii="Times New Roman" w:hAnsi="Times New Roman" w:eastAsia="黑体" w:cs="Times New Roman"/>
          <w:b/>
          <w:sz w:val="28"/>
        </w:rPr>
        <w:t>4.2 亚马逊</w:t>
      </w:r>
    </w:p>
    <w:p>
      <w:pPr>
        <w:spacing w:before="160" w:after="120" w:line="360" w:lineRule="auto"/>
        <w:rPr>
          <w:rFonts w:ascii="Times New Roman" w:hAnsi="Times New Roman" w:eastAsia="黑体" w:cs="Times New Roman"/>
          <w:b/>
          <w:sz w:val="28"/>
        </w:rPr>
      </w:pPr>
      <w:r>
        <w:rPr>
          <w:rFonts w:hint="eastAsia" w:eastAsia="黑体" w:cs="Times New Roman"/>
          <w:b/>
          <w:sz w:val="28"/>
          <w:lang w:val="en-US" w:eastAsia="zh-CN"/>
        </w:rPr>
        <w:t>4.2.1 债券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$149.61亿美元高级无担保票据（2025/11，6档）</w:t>
      </w:r>
      <w:r>
        <w:rPr>
          <w:rFonts w:ascii="Times New Roman" w:hAnsi="Times New Roman" w:eastAsia="宋体" w:cs="Times New Roman"/>
          <w:b w:val="0"/>
          <w:sz w:val="24"/>
        </w:rPr>
        <w:t>：3.900%(2028)/4.100%(2030)/4.350%(2033)/4.650%(2035)/5.450%(2055)/5.550%(2065)，</w:t>
      </w:r>
      <w:r>
        <w:rPr>
          <w:rFonts w:ascii="Times New Roman" w:hAnsi="Times New Roman" w:eastAsia="宋体" w:cs="Times New Roman"/>
          <w:b/>
          <w:sz w:val="24"/>
        </w:rPr>
        <w:t>2022年以来首次美元债</w:t>
      </w:r>
      <w:r>
        <w:rPr>
          <w:rFonts w:ascii="Times New Roman" w:hAnsi="Times New Roman" w:eastAsia="宋体" w:cs="Times New Roman"/>
          <w:b w:val="0"/>
          <w:sz w:val="24"/>
        </w:rPr>
        <w:t>，需求约$800亿。用途：偿债、收购、CapEx及回购。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来源：</w:t>
      </w:r>
      <w:r>
        <w:fldChar w:fldCharType="begin"/>
      </w:r>
      <w:r>
        <w:instrText xml:space="preserve"> HYPERLINK "https://www.stocktitan.net/sec-filings/AMZN/8-k-amazon-com-inc-reports-material-event-d0fb3cc71c9a.html"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StockTitan（8-K，$149.61亿各档）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"https://www.bloomberg.com/news/articles/2025-11-17/amazon-kicks-off-first-us-high-grade-bond-sale-in-three-years"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Bloomberg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"https://seekingalpha.com/news/4523183-amazon-raises-15b-in-first-us-bond-sale-since-2022"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Seeking Alpha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逐年发债额（10-K 现金流"Proceeds from issuance of long-term debt"，$M）：2020 待核（2020/6 发行约 $100亿）/ 2021 = 19,003 / 2022 = 21,166 / 2023 = 0 / 2024 ≈ 0 / 2025 ≈ 14,961——2021–2022 为发债高峰，2023–2024 停发，2025/11 重启（2022 以来首次）。来源：10-K 现金流量表（2021–2023 已核实）、8-K。</w:t>
      </w:r>
      <w:r>
        <w:rPr>
          <w:rFonts w:ascii="Times New Roman" w:hAnsi="Times New Roman" w:eastAsia="宋体" w:cs="Times New Roman"/>
          <w:b/>
          <w:sz w:val="24"/>
        </w:rPr>
      </w:r>
      <w:r>
        <w:rPr>
          <w:rFonts w:ascii="Times New Roman" w:hAnsi="Times New Roman" w:eastAsia="宋体" w:cs="Times New Roman"/>
          <w:b w:val="0"/>
          <w:sz w:val="24"/>
        </w:rPr>
      </w:r>
      <w:r>
        <w:rPr>
          <w:rFonts w:ascii="Times New Roman" w:hAnsi="Times New Roman" w:eastAsia="宋体" w:cs="Times New Roman"/>
          <w:b/>
          <w:sz w:val="24"/>
        </w:rPr>
      </w:r>
      <w:r>
        <w:rPr>
          <w:rFonts w:ascii="Times New Roman" w:hAnsi="Times New Roman" w:eastAsia="宋体" w:cs="Times New Roman"/>
          <w:b w:val="0"/>
          <w:sz w:val="24"/>
        </w:rPr>
      </w:r>
    </w:p>
    <w:p>
      <w:pPr>
        <w:spacing w:before="160" w:after="120" w:line="360" w:lineRule="auto"/>
      </w:pPr>
      <w:r>
        <w:rPr>
          <w:rFonts w:hint="eastAsia" w:eastAsia="黑体" w:cs="Times New Roman"/>
          <w:b/>
          <w:sz w:val="28"/>
          <w:lang w:val="en-US" w:eastAsia="zh-CN"/>
        </w:rPr>
        <w:t>4.2.2 股票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以回购为主，无重大股权增发。</w:t>
      </w:r>
    </w:p>
    <w:p>
      <w:pPr>
        <w:spacing w:before="160" w:after="120" w:line="360" w:lineRule="auto"/>
        <w:rPr>
          <w:rFonts w:ascii="Times New Roman" w:hAnsi="Times New Roman" w:eastAsia="黑体" w:cs="Times New Roman"/>
          <w:b/>
          <w:sz w:val="28"/>
        </w:rPr>
      </w:pPr>
      <w:r>
        <w:rPr>
          <w:rFonts w:ascii="Times New Roman" w:hAnsi="Times New Roman" w:eastAsia="黑体" w:cs="Times New Roman"/>
          <w:b/>
          <w:sz w:val="28"/>
        </w:rPr>
        <w:t>4.3 Alphabet/谷歌 —— 首次大规模发债进入债市</w:t>
      </w:r>
    </w:p>
    <w:p>
      <w:pPr>
        <w:spacing w:before="160" w:after="120" w:line="360" w:lineRule="auto"/>
        <w:rPr>
          <w:rFonts w:hint="default" w:ascii="Times New Roman" w:hAnsi="Times New Roman" w:eastAsia="黑体" w:cs="Times New Roman"/>
          <w:b/>
          <w:sz w:val="28"/>
          <w:lang w:val="en-US"/>
        </w:rPr>
      </w:pPr>
      <w:r>
        <w:rPr>
          <w:rFonts w:hint="eastAsia" w:eastAsia="黑体" w:cs="Times New Roman"/>
          <w:b/>
          <w:sz w:val="28"/>
          <w:lang w:val="en-US" w:eastAsia="zh-CN"/>
        </w:rPr>
        <w:t>4.3.1 债券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/>
          <w:sz w:val="24"/>
        </w:rPr>
        <w:t>$250亿美元债券（2025/11，"11月 deal"）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$175亿美元债 + €65亿欧元债（约$74.8亿）</w:t>
      </w:r>
      <w:r>
        <w:rPr>
          <w:rFonts w:ascii="Times New Roman" w:hAnsi="Times New Roman" w:eastAsia="宋体" w:cs="Times New Roman"/>
          <w:b w:val="0"/>
          <w:sz w:val="24"/>
        </w:rPr>
        <w:t>，用于AI与云基础设施、一般公司用途。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来源：</w:t>
      </w:r>
      <w:r>
        <w:fldChar w:fldCharType="begin"/>
      </w:r>
      <w:r>
        <w:instrText xml:space="preserve"> HYPERLINK "https://www.bloomberg.com/news/articles/2025-11-03/alphabet-to-sell-at-least-3-billion-bonds-to-fund-ai-expansion"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Bloomberg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"https://www.sec.gov/Archives/edgar/data/0001652044/000119312525267244/d64361d424b2.htm"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Alphabet 424B2 募集书（SEC）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逐年发债总额（10-K 现金流 "Proceeds from issuance of debt, net of costs"，$M）：2023 = 10,790 / 2024 = 13,589 / 2025 = 64,564</w:t>
      </w:r>
      <w:r>
        <w:rPr>
          <w:rFonts w:ascii="Times New Roman" w:hAnsi="Times New Roman" w:eastAsia="宋体" w:cs="Times New Roman"/>
          <w:b w:val="0"/>
          <w:sz w:val="24"/>
        </w:rPr>
        <w:t>——2025 年债务发行</w:t>
      </w:r>
      <w:r>
        <w:rPr>
          <w:rFonts w:ascii="Times New Roman" w:hAnsi="Times New Roman" w:eastAsia="宋体" w:cs="Times New Roman"/>
          <w:b/>
          <w:sz w:val="24"/>
        </w:rPr>
        <w:t>爆发式增长至约 $645 亿</w:t>
      </w:r>
      <w:r>
        <w:rPr>
          <w:rFonts w:ascii="Times New Roman" w:hAnsi="Times New Roman" w:eastAsia="宋体" w:cs="Times New Roman"/>
          <w:b w:val="0"/>
          <w:sz w:val="24"/>
        </w:rPr>
        <w:t>（含 4 月美元+欧元 deal、11 月 $250 亿等）。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hint="eastAsia" w:cs="Times New Roman"/>
          <w:b w:val="0"/>
          <w:sz w:val="24"/>
          <w:lang w:val="en-US" w:eastAsia="zh-CN"/>
        </w:rPr>
        <w:t>来源：</w:t>
      </w:r>
      <w:r>
        <w:rPr>
          <w:rFonts w:ascii="Times New Roman" w:hAnsi="Times New Roman" w:eastAsia="宋体" w:cs="Times New Roman"/>
          <w:b/>
          <w:sz w:val="24"/>
        </w:rPr>
        <w:t>10-K 现金流量表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/>
          <w:sz w:val="24"/>
        </w:rPr>
        <w:t>2025/4 发债（美元 + 并行欧元）</w:t>
      </w:r>
      <w:r>
        <w:rPr>
          <w:rFonts w:ascii="Times New Roman" w:hAnsi="Times New Roman" w:eastAsia="宋体" w:cs="Times New Roman"/>
          <w:b w:val="0"/>
          <w:sz w:val="24"/>
        </w:rPr>
        <w:t>：424B5 确认为美元票据（4 档）+ "Concurrent Euro Notes Offering"（并行欧元票据，</w:t>
      </w:r>
      <w:r>
        <w:rPr>
          <w:rFonts w:ascii="Times New Roman" w:hAnsi="Times New Roman" w:eastAsia="宋体" w:cs="Times New Roman"/>
          <w:b/>
          <w:sz w:val="24"/>
        </w:rPr>
        <w:t>"4月 deal"</w:t>
      </w:r>
      <w:r>
        <w:rPr>
          <w:rFonts w:ascii="Times New Roman" w:hAnsi="Times New Roman" w:eastAsia="宋体" w:cs="Times New Roman"/>
          <w:b w:val="0"/>
          <w:sz w:val="24"/>
        </w:rPr>
        <w:t>，约 €6.75B——与上条 11 月 €65亿为两笔不同交易）。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来源：</w:t>
      </w:r>
      <w:r>
        <w:fldChar w:fldCharType="begin"/>
      </w:r>
      <w:r>
        <w:instrText xml:space="preserve"> HYPERLINK "https://www.sec.gov/Archives/edgar/data/0001652044/000119312525107005/d910841d424b2.htm"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Alphabet 424B5（SEC, 2025/4）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/>
          <w:sz w:val="24"/>
        </w:rPr>
        <w:t>子公司债务结构（截至 2025/3/31）</w:t>
      </w:r>
      <w:r>
        <w:rPr>
          <w:rFonts w:ascii="Times New Roman" w:hAnsi="Times New Roman" w:eastAsia="宋体" w:cs="Times New Roman"/>
          <w:b w:val="0"/>
          <w:sz w:val="24"/>
        </w:rPr>
        <w:t xml:space="preserve">：Google 及子公司约 </w:t>
      </w:r>
      <w:r>
        <w:rPr>
          <w:rFonts w:ascii="Times New Roman" w:hAnsi="Times New Roman" w:eastAsia="宋体" w:cs="Times New Roman"/>
          <w:b/>
          <w:sz w:val="24"/>
        </w:rPr>
        <w:t>$21 亿融资租赁义务、无长期债务</w:t>
      </w:r>
      <w:r>
        <w:rPr>
          <w:rFonts w:ascii="Times New Roman" w:hAnsi="Times New Roman" w:eastAsia="宋体" w:cs="Times New Roman"/>
          <w:b w:val="0"/>
          <w:sz w:val="24"/>
        </w:rPr>
        <w:t xml:space="preserve">；另有约 </w:t>
      </w:r>
      <w:r>
        <w:rPr>
          <w:rFonts w:ascii="Times New Roman" w:hAnsi="Times New Roman" w:eastAsia="宋体" w:cs="Times New Roman"/>
          <w:b/>
          <w:sz w:val="24"/>
        </w:rPr>
        <w:t>$173 亿尚未起租</w:t>
      </w:r>
      <w:r>
        <w:rPr>
          <w:rFonts w:ascii="Times New Roman" w:hAnsi="Times New Roman" w:eastAsia="宋体" w:cs="Times New Roman"/>
          <w:b w:val="0"/>
          <w:sz w:val="24"/>
        </w:rPr>
        <w:t>的数据中心相关租约（未入表</w:t>
      </w:r>
      <w:r>
        <w:rPr>
          <w:rFonts w:hint="eastAsia" w:cs="Times New Roman"/>
          <w:b w:val="0"/>
          <w:sz w:val="24"/>
          <w:lang w:eastAsia="zh-CN"/>
        </w:rPr>
        <w:t>）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hint="eastAsia" w:cs="Times New Roman"/>
          <w:b w:val="0"/>
          <w:sz w:val="24"/>
          <w:lang w:val="en-US" w:eastAsia="zh-CN"/>
        </w:rPr>
        <w:t>来源：</w:t>
      </w:r>
      <w:r>
        <w:rPr>
          <w:rFonts w:ascii="Times New Roman" w:hAnsi="Times New Roman" w:eastAsia="宋体" w:cs="Times New Roman"/>
          <w:b/>
          <w:sz w:val="24"/>
        </w:rPr>
        <w:t>424B5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已发行百年期（100年）债券，认购达 10 倍超额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来源：</w:t>
      </w:r>
      <w:r>
        <w:fldChar w:fldCharType="begin"/>
      </w:r>
      <w:r>
        <w:instrText xml:space="preserve"> HYPERLINK "https://platformonomics.com/2026/02/follow-the-capex-2025-retrospective/"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Platformonomics 2025 回顾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："*has recently issued corporate debt, including a 100-year bond that was ten-times oversubscribed*"。</w:t>
      </w:r>
    </w:p>
    <w:p>
      <w:pPr>
        <w:spacing w:before="160" w:after="120" w:line="360" w:lineRule="auto"/>
        <w:rPr>
          <w:rFonts w:hint="default" w:ascii="Times New Roman" w:hAnsi="Times New Roman" w:eastAsia="黑体" w:cs="Times New Roman"/>
          <w:b/>
          <w:sz w:val="28"/>
          <w:lang w:val="en-US"/>
        </w:rPr>
      </w:pPr>
      <w:r>
        <w:rPr>
          <w:rFonts w:hint="eastAsia" w:eastAsia="黑体" w:cs="Times New Roman"/>
          <w:b/>
          <w:sz w:val="28"/>
          <w:lang w:val="en-US" w:eastAsia="zh-CN"/>
        </w:rPr>
        <w:t>4.3.2 股票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  <w:rPr>
          <w:rFonts w:ascii="Times New Roman" w:hAnsi="Times New Roman" w:eastAsia="宋体" w:cs="Times New Roman"/>
          <w:b w:val="0"/>
          <w:sz w:val="24"/>
        </w:rPr>
      </w:pPr>
      <w:r>
        <w:rPr>
          <w:rFonts w:ascii="Times New Roman" w:hAnsi="Times New Roman" w:eastAsia="宋体" w:cs="Times New Roman"/>
          <w:b w:val="0"/>
          <w:sz w:val="24"/>
        </w:rPr>
        <w:t>大额回购（2022–2024 每年约 $590–620 亿，2025 回落至 $454 亿），无股权增发。逐年额见 §4.8。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hint="eastAsia" w:cs="Times New Roman"/>
          <w:b w:val="0"/>
          <w:sz w:val="24"/>
          <w:lang w:val="en-US" w:eastAsia="zh-CN"/>
        </w:rPr>
        <w:t>来源：</w:t>
      </w:r>
      <w:r>
        <w:rPr>
          <w:rFonts w:ascii="Times New Roman" w:hAnsi="Times New Roman" w:eastAsia="宋体" w:cs="Times New Roman"/>
          <w:b/>
          <w:sz w:val="24"/>
        </w:rPr>
        <w:t>10-K</w:t>
      </w:r>
    </w:p>
    <w:p>
      <w:pPr>
        <w:spacing w:before="160" w:after="120" w:line="360" w:lineRule="auto"/>
        <w:rPr>
          <w:rFonts w:ascii="Times New Roman" w:hAnsi="Times New Roman" w:eastAsia="黑体" w:cs="Times New Roman"/>
          <w:b/>
          <w:sz w:val="28"/>
        </w:rPr>
      </w:pPr>
      <w:r>
        <w:rPr>
          <w:rFonts w:ascii="Times New Roman" w:hAnsi="Times New Roman" w:eastAsia="黑体" w:cs="Times New Roman"/>
          <w:b/>
          <w:sz w:val="28"/>
        </w:rPr>
        <w:t xml:space="preserve">4.4 特斯拉 </w:t>
      </w:r>
    </w:p>
    <w:p>
      <w:pPr>
        <w:spacing w:before="160" w:after="120" w:line="360" w:lineRule="auto"/>
        <w:rPr>
          <w:rFonts w:ascii="Times New Roman" w:hAnsi="Times New Roman" w:eastAsia="黑体" w:cs="Times New Roman"/>
          <w:b/>
          <w:sz w:val="28"/>
        </w:rPr>
      </w:pPr>
      <w:r>
        <w:rPr>
          <w:rFonts w:hint="eastAsia" w:eastAsia="黑体" w:cs="Times New Roman"/>
          <w:b/>
          <w:sz w:val="28"/>
          <w:lang w:val="en-US" w:eastAsia="zh-CN"/>
        </w:rPr>
        <w:t>4.4.1 债券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2021–2022年大幅偿还可转债/债务，转为净现金。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2024–2025年CapEx基本自筹</w:t>
      </w:r>
    </w:p>
    <w:p>
      <w:pPr>
        <w:spacing w:before="160" w:after="120" w:line="360" w:lineRule="auto"/>
      </w:pPr>
      <w:r>
        <w:rPr>
          <w:rFonts w:hint="eastAsia" w:eastAsia="黑体" w:cs="Times New Roman"/>
          <w:b/>
          <w:sz w:val="28"/>
          <w:lang w:val="en-US" w:eastAsia="zh-CN"/>
        </w:rPr>
        <w:t>4.4.2 股票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2020年三次ATM股票增发，全年合计 $12,269M（约$123亿）</w:t>
      </w:r>
      <w:r>
        <w:rPr>
          <w:rFonts w:ascii="Times New Roman" w:hAnsi="Times New Roman" w:eastAsia="宋体" w:cs="Times New Roman"/>
          <w:b w:val="0"/>
          <w:sz w:val="24"/>
        </w:rPr>
        <w:t xml:space="preserve">（10-K 现金流 "Proceeds from issuances of common stock"）；分 </w:t>
      </w:r>
      <w:r>
        <w:rPr>
          <w:rFonts w:ascii="Times New Roman" w:hAnsi="Times New Roman" w:eastAsia="宋体" w:cs="Times New Roman"/>
          <w:b/>
          <w:sz w:val="24"/>
        </w:rPr>
        <w:t>2 月（约$23亿）、9 月（约$50亿）、12 月（约$50亿）</w:t>
      </w:r>
      <w:r>
        <w:rPr>
          <w:rFonts w:ascii="Times New Roman" w:hAnsi="Times New Roman" w:eastAsia="宋体" w:cs="Times New Roman"/>
          <w:b w:val="0"/>
          <w:sz w:val="24"/>
        </w:rPr>
        <w:t xml:space="preserve"> 三次完成，用于 Giga Texas 等扩张。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hint="eastAsia" w:cs="Times New Roman"/>
          <w:b/>
          <w:sz w:val="24"/>
          <w:lang w:val="en-US" w:eastAsia="zh-CN"/>
        </w:rPr>
        <w:t>来源：</w:t>
      </w:r>
      <w:r>
        <w:rPr>
          <w:rFonts w:ascii="Times New Roman" w:hAnsi="Times New Roman" w:eastAsia="宋体" w:cs="Times New Roman"/>
          <w:b/>
          <w:sz w:val="24"/>
        </w:rPr>
        <w:t>10-K（全年合计）；单次拆分见</w:t>
      </w:r>
      <w:r>
        <w:fldChar w:fldCharType="begin"/>
      </w:r>
      <w:r>
        <w:instrText xml:space="preserve"> HYPERLINK "https://www.fool.com/investing/2020/02/20/tesla-raises-231-billion-in-its-stock-offering.aspx"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Motley Fool（2月$23.1亿）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"https://www.bloomberg.com/news/articles/2020-02-13/tesla-capital-raise-keeps-a-14-billion-virtuous-circle-rolling"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Bloomberg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spacing w:before="160" w:after="120" w:line="360" w:lineRule="auto"/>
        <w:rPr>
          <w:rFonts w:ascii="Times New Roman" w:hAnsi="Times New Roman" w:eastAsia="黑体" w:cs="Times New Roman"/>
          <w:b/>
          <w:sz w:val="28"/>
        </w:rPr>
      </w:pPr>
      <w:r>
        <w:rPr>
          <w:rFonts w:ascii="Times New Roman" w:hAnsi="Times New Roman" w:eastAsia="黑体" w:cs="Times New Roman"/>
          <w:b/>
          <w:sz w:val="28"/>
        </w:rPr>
        <w:t>4.5 微软</w:t>
      </w:r>
    </w:p>
    <w:p>
      <w:pPr>
        <w:spacing w:before="160" w:after="120" w:line="360" w:lineRule="auto"/>
        <w:rPr>
          <w:rFonts w:hint="default" w:ascii="Times New Roman" w:hAnsi="Times New Roman" w:eastAsia="黑体" w:cs="Times New Roman"/>
          <w:b/>
          <w:sz w:val="28"/>
          <w:lang w:val="en-US" w:eastAsia="zh-CN"/>
        </w:rPr>
      </w:pPr>
      <w:r>
        <w:rPr>
          <w:rFonts w:hint="eastAsia" w:eastAsia="黑体" w:cs="Times New Roman"/>
          <w:b/>
          <w:sz w:val="28"/>
          <w:lang w:val="en-US" w:eastAsia="zh-CN"/>
        </w:rPr>
        <w:t>4.5.1 债券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微软 FY2025 经营性现金流约 $136B，覆盖 $64.6B CapEx 仍有余力；但并非"从不发债"——逐年发债额（10-K 现金流"Proceeds from issuance of debt"，$M）：FY2023 = 0 / FY2024 = 24,395 / FY2025 = 0。FY2024 为再融资大年（当年发行 $24,395M、同时偿还 $29,070M，另 90 天以内商业票据净融资 +$5,250M），其余年份基本无新发、以净偿还历史高级票据为主；更早的大额发行为 2020 年约 $10.0B、2021 年约 $8.2B（债务置换）。</w:t>
      </w:r>
      <w:r>
        <w:rPr>
          <w:rFonts w:ascii="Times New Roman" w:hAnsi="Times New Roman" w:eastAsia="宋体" w:cs="Times New Roman"/>
          <w:b/>
          <w:sz w:val="24"/>
        </w:rPr>
      </w:r>
      <w:r>
        <w:rPr>
          <w:rFonts w:ascii="Times New Roman" w:hAnsi="Times New Roman" w:eastAsia="宋体" w:cs="Times New Roman"/>
          <w:b w:val="0"/>
          <w:sz w:val="24"/>
        </w:rPr>
      </w:r>
      <w:r>
        <w:rPr>
          <w:rFonts w:ascii="Times New Roman" w:hAnsi="Times New Roman" w:eastAsia="宋体" w:cs="Times New Roman"/>
          <w:b/>
          <w:sz w:val="24"/>
        </w:rPr>
      </w:r>
      <w:r>
        <w:rPr>
          <w:rFonts w:ascii="Times New Roman" w:hAnsi="Times New Roman" w:eastAsia="宋体" w:cs="Times New Roman"/>
          <w:b w:val="0"/>
          <w:sz w:val="24"/>
        </w:rPr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来源：Microsoft FY2025 10-K 现金流量表（融资活动）、NOTE 债务附注（SEC）</w:t>
      </w:r>
      <w:r/>
      <w:r/>
      <w:r/>
      <w:r>
        <w:rPr>
          <w:rFonts w:ascii="Times New Roman" w:hAnsi="Times New Roman" w:eastAsia="宋体"/>
          <w:color w:val="0563C1"/>
          <w:sz w:val="24"/>
          <w:u w:val="single"/>
        </w:rPr>
      </w:r>
      <w:r>
        <w:rPr>
          <w:rFonts w:ascii="Times New Roman" w:hAnsi="Times New Roman" w:eastAsia="宋体"/>
          <w:color w:val="0563C1"/>
          <w:sz w:val="24"/>
          <w:u w:val="single"/>
        </w:rPr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数据中心融资更多通过</w:t>
      </w:r>
      <w:r>
        <w:rPr>
          <w:rFonts w:ascii="Times New Roman" w:hAnsi="Times New Roman" w:eastAsia="宋体" w:cs="Times New Roman"/>
          <w:b/>
          <w:sz w:val="24"/>
        </w:rPr>
        <w:t>融资租赁</w:t>
      </w:r>
      <w:r>
        <w:rPr>
          <w:rFonts w:ascii="Times New Roman" w:hAnsi="Times New Roman" w:eastAsia="宋体" w:cs="Times New Roman"/>
          <w:b w:val="0"/>
          <w:sz w:val="24"/>
        </w:rPr>
        <w:t>（部分表外性质）。</w:t>
      </w:r>
    </w:p>
    <w:p>
      <w:pPr>
        <w:spacing w:before="160" w:after="120" w:line="360" w:lineRule="auto"/>
        <w:rPr>
          <w:rFonts w:hint="default" w:eastAsia="黑体" w:cs="Times New Roman"/>
          <w:b/>
          <w:sz w:val="28"/>
          <w:lang w:val="en-US" w:eastAsia="zh-CN"/>
        </w:rPr>
      </w:pPr>
      <w:r>
        <w:rPr>
          <w:rFonts w:hint="eastAsia" w:eastAsia="黑体" w:cs="Times New Roman"/>
          <w:b/>
          <w:sz w:val="28"/>
          <w:lang w:val="en-US" w:eastAsia="zh-CN"/>
        </w:rPr>
        <w:t>4.5.2 股票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股</w:t>
      </w:r>
      <w:r>
        <w:rPr>
          <w:rFonts w:ascii="Times New Roman" w:hAnsi="Times New Roman" w:eastAsia="宋体" w:cs="Times New Roman"/>
          <w:b w:val="0"/>
          <w:sz w:val="24"/>
        </w:rPr>
        <w:t>：FY2025回购约</w:t>
      </w:r>
      <w:r>
        <w:rPr>
          <w:rFonts w:ascii="Times New Roman" w:hAnsi="Times New Roman" w:eastAsia="宋体" w:cs="Times New Roman"/>
          <w:b/>
          <w:sz w:val="24"/>
        </w:rPr>
        <w:t>$18.4B</w:t>
      </w:r>
      <w:r>
        <w:rPr>
          <w:rFonts w:ascii="Times New Roman" w:hAnsi="Times New Roman" w:eastAsia="宋体" w:cs="Times New Roman"/>
          <w:b w:val="0"/>
          <w:sz w:val="24"/>
        </w:rPr>
        <w:t xml:space="preserve"> + 分红约</w:t>
      </w:r>
      <w:r>
        <w:rPr>
          <w:rFonts w:ascii="Times New Roman" w:hAnsi="Times New Roman" w:eastAsia="宋体" w:cs="Times New Roman"/>
          <w:b/>
          <w:sz w:val="24"/>
        </w:rPr>
        <w:t>$24.1B</w:t>
      </w:r>
      <w:r>
        <w:rPr>
          <w:rFonts w:ascii="Times New Roman" w:hAnsi="Times New Roman" w:eastAsia="宋体" w:cs="Times New Roman"/>
          <w:b w:val="0"/>
          <w:sz w:val="24"/>
        </w:rPr>
        <w:t>（合计返还逾$37B）。</w:t>
      </w:r>
    </w:p>
    <w:p>
      <w:pPr>
        <w:spacing w:before="160" w:after="120" w:line="360" w:lineRule="auto"/>
        <w:rPr>
          <w:rFonts w:ascii="Times New Roman" w:hAnsi="Times New Roman" w:eastAsia="黑体" w:cs="Times New Roman"/>
          <w:b/>
          <w:sz w:val="28"/>
        </w:rPr>
      </w:pPr>
      <w:r>
        <w:rPr>
          <w:rFonts w:ascii="Times New Roman" w:hAnsi="Times New Roman" w:eastAsia="黑体" w:cs="Times New Roman"/>
          <w:b/>
          <w:sz w:val="28"/>
        </w:rPr>
        <w:t>4.6 英伟达 —— 自筹 + 巨额回购</w:t>
      </w:r>
    </w:p>
    <w:p>
      <w:pPr>
        <w:spacing w:before="160" w:after="120" w:line="360" w:lineRule="auto"/>
        <w:rPr>
          <w:rFonts w:ascii="Times New Roman" w:hAnsi="Times New Roman" w:eastAsia="黑体" w:cs="Times New Roman"/>
          <w:b/>
          <w:sz w:val="28"/>
        </w:rPr>
      </w:pPr>
      <w:r>
        <w:rPr>
          <w:rFonts w:hint="eastAsia" w:eastAsia="黑体" w:cs="Times New Roman"/>
          <w:b/>
          <w:sz w:val="28"/>
          <w:lang w:val="en-US" w:eastAsia="zh-CN"/>
        </w:rPr>
        <w:t>4.6.1 债券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/>
          <w:sz w:val="24"/>
        </w:rPr>
        <w:t>无重大新增债务</w:t>
      </w:r>
      <w:r>
        <w:rPr>
          <w:rFonts w:ascii="Times New Roman" w:hAnsi="Times New Roman" w:eastAsia="宋体" w:cs="Times New Roman"/>
          <w:b w:val="0"/>
          <w:sz w:val="24"/>
        </w:rPr>
        <w:t xml:space="preserve">：长期债务（10-K 资产负债表 "Long-term debt"，$M）FY20→FY25 = </w:t>
      </w:r>
      <w:r>
        <w:rPr>
          <w:rFonts w:ascii="Times New Roman" w:hAnsi="Times New Roman" w:eastAsia="宋体" w:cs="Times New Roman"/>
          <w:b/>
          <w:sz w:val="24"/>
        </w:rPr>
        <w:t>1,991 / 5,964 / 10,976 / 9,703 / 8,459 / 8,463</w:t>
      </w:r>
      <w:r>
        <w:rPr>
          <w:rFonts w:ascii="Times New Roman" w:hAnsi="Times New Roman" w:eastAsia="宋体" w:cs="Times New Roman"/>
          <w:b w:val="0"/>
          <w:sz w:val="24"/>
        </w:rPr>
        <w:t>——即 FY2022 见顶约 $11B（多为 2020/2021 年发行、用于 Mellanox 收购等的遗留高级票据），之后逐步降至约 $8.46B，期间无新增大额发债。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hint="eastAsia" w:cs="Times New Roman"/>
          <w:b w:val="0"/>
          <w:sz w:val="24"/>
          <w:lang w:val="en-US" w:eastAsia="zh-CN"/>
        </w:rPr>
        <w:t>来源：10-k</w:t>
      </w:r>
    </w:p>
    <w:p>
      <w:pPr>
        <w:spacing w:before="160" w:after="120" w:line="360" w:lineRule="auto"/>
      </w:pPr>
      <w:r>
        <w:rPr>
          <w:rFonts w:hint="eastAsia" w:eastAsia="黑体" w:cs="Times New Roman"/>
          <w:b/>
          <w:sz w:val="28"/>
          <w:lang w:val="en-US" w:eastAsia="zh-CN"/>
        </w:rPr>
        <w:t>4.6.2 股票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股</w:t>
      </w:r>
      <w:r>
        <w:rPr>
          <w:rFonts w:ascii="Times New Roman" w:hAnsi="Times New Roman" w:eastAsia="宋体" w:cs="Times New Roman"/>
          <w:b w:val="0"/>
          <w:sz w:val="24"/>
        </w:rPr>
        <w:t>：2025/8新批准</w:t>
      </w:r>
      <w:r>
        <w:rPr>
          <w:rFonts w:ascii="Times New Roman" w:hAnsi="Times New Roman" w:eastAsia="宋体" w:cs="Times New Roman"/>
          <w:b/>
          <w:sz w:val="24"/>
        </w:rPr>
        <w:t>$600亿美元回购授权</w:t>
      </w:r>
      <w:r>
        <w:rPr>
          <w:rFonts w:ascii="Times New Roman" w:hAnsi="Times New Roman" w:eastAsia="宋体" w:cs="Times New Roman"/>
          <w:b w:val="0"/>
          <w:sz w:val="24"/>
        </w:rPr>
        <w:t>（叠加此前剩余约$147亿）；FY2026上半年回购+分红返还逾$240亿。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来源：</w:t>
      </w:r>
      <w:r>
        <w:fldChar w:fldCharType="begin"/>
      </w:r>
      <w:r>
        <w:instrText xml:space="preserve"> HYPERLINK "https://www.fool.com/investing/2025/08/28/nvidia-buyback-stock-repurchase-nvda-ai/"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Motley Fool（$600亿回购）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spacing w:before="160" w:after="120" w:line="360" w:lineRule="auto"/>
        <w:rPr>
          <w:rFonts w:ascii="Times New Roman" w:hAnsi="Times New Roman" w:eastAsia="黑体" w:cs="Times New Roman"/>
          <w:b/>
          <w:sz w:val="28"/>
        </w:rPr>
      </w:pPr>
      <w:r>
        <w:rPr>
          <w:rFonts w:ascii="Times New Roman" w:hAnsi="Times New Roman" w:eastAsia="黑体" w:cs="Times New Roman"/>
          <w:b/>
          <w:sz w:val="28"/>
        </w:rPr>
        <w:t>4.7 苹果</w:t>
      </w:r>
    </w:p>
    <w:p>
      <w:pPr>
        <w:spacing w:before="160" w:after="120" w:line="360" w:lineRule="auto"/>
        <w:rPr>
          <w:rFonts w:ascii="Times New Roman" w:hAnsi="Times New Roman" w:eastAsia="黑体" w:cs="Times New Roman"/>
          <w:b/>
          <w:sz w:val="28"/>
        </w:rPr>
      </w:pPr>
      <w:r>
        <w:rPr>
          <w:rFonts w:hint="eastAsia" w:eastAsia="黑体" w:cs="Times New Roman"/>
          <w:b/>
          <w:sz w:val="28"/>
          <w:lang w:val="en-US" w:eastAsia="zh-CN"/>
        </w:rPr>
        <w:t>4.7.1 债券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苹果常年发行公司债，但</w:t>
      </w:r>
      <w:r>
        <w:rPr>
          <w:rFonts w:ascii="Times New Roman" w:hAnsi="Times New Roman" w:eastAsia="宋体" w:cs="Times New Roman"/>
          <w:b/>
          <w:sz w:val="24"/>
        </w:rPr>
        <w:t>主要用于回购与分红</w:t>
      </w:r>
      <w:r>
        <w:rPr>
          <w:rFonts w:ascii="Times New Roman" w:hAnsi="Times New Roman" w:eastAsia="宋体" w:cs="Times New Roman"/>
          <w:b w:val="0"/>
          <w:sz w:val="24"/>
        </w:rPr>
        <w:t>（资本返还），</w:t>
      </w:r>
      <w:r>
        <w:rPr>
          <w:rFonts w:ascii="Times New Roman" w:hAnsi="Times New Roman" w:eastAsia="宋体" w:cs="Times New Roman"/>
          <w:b/>
          <w:sz w:val="24"/>
        </w:rPr>
        <w:t>逐年发债额（10-K 现金流 "Proceeds from issuance of term debt"，$M）：FY2020 16,091 / FY2021 20,393 / FY2022 5,465 / FY2023 5,228 / FY2024 —（未发行）/ FY2025 4,481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2020–2021 低利率期大额发债（两年合计约 $365 亿），其后大幅收缩、FY2024 全年未发行新债。</w:t>
      </w:r>
    </w:p>
    <w:p>
      <w:pPr>
        <w:numPr>
          <w:ilvl w:val="0"/>
          <w:numId w:val="20"/>
        </w:numPr>
        <w:spacing w:after="40" w:line="360" w:lineRule="auto"/>
        <w:ind w:left="420" w:leftChars="0" w:hanging="420" w:firstLineChars="0"/>
      </w:pPr>
      <w:r>
        <w:rPr>
          <w:rFonts w:hint="eastAsia"/>
          <w:lang w:val="en-US" w:eastAsia="zh-CN"/>
        </w:rPr>
        <w:t>来源：10-k</w:t>
      </w:r>
    </w:p>
    <w:p>
      <w:pPr>
        <w:spacing w:before="160" w:after="120" w:line="360" w:lineRule="auto"/>
      </w:pPr>
      <w:r>
        <w:rPr>
          <w:rFonts w:hint="eastAsia" w:eastAsia="黑体" w:cs="Times New Roman"/>
          <w:b/>
          <w:sz w:val="28"/>
          <w:lang w:val="en-US" w:eastAsia="zh-CN"/>
        </w:rPr>
        <w:t>4.7.2 股票</w:t>
      </w:r>
    </w:p>
    <w:p>
      <w:pPr>
        <w:spacing w:after="40" w:line="360" w:lineRule="auto"/>
        <w:ind w:left="420" w:hanging="210"/>
        <w:rPr>
          <w:rFonts w:ascii="Times New Roman" w:hAnsi="Times New Roman" w:eastAsia="宋体" w:cs="Times New Roman"/>
          <w:b w:val="0"/>
          <w:sz w:val="24"/>
        </w:rPr>
      </w:pPr>
      <w:r>
        <w:rPr>
          <w:rFonts w:ascii="Times New Roman" w:hAnsi="Times New Roman" w:eastAsia="宋体" w:cs="Times New Roman"/>
          <w:b w:val="0"/>
          <w:sz w:val="24"/>
        </w:rPr>
        <w:t xml:space="preserve">• </w:t>
      </w:r>
      <w:r>
        <w:rPr>
          <w:rFonts w:ascii="Times New Roman" w:hAnsi="Times New Roman" w:eastAsia="宋体" w:cs="Times New Roman"/>
          <w:b/>
          <w:sz w:val="24"/>
        </w:rPr>
        <w:t>股</w:t>
      </w:r>
      <w:r>
        <w:rPr>
          <w:rFonts w:ascii="Times New Roman" w:hAnsi="Times New Roman" w:eastAsia="宋体" w:cs="Times New Roman"/>
          <w:b w:val="0"/>
          <w:sz w:val="24"/>
        </w:rPr>
        <w:t>：以巨额回购著称，见 4.8。</w:t>
      </w:r>
    </w:p>
    <w:p>
      <w:pPr>
        <w:spacing w:after="40" w:line="360" w:lineRule="auto"/>
        <w:ind w:left="420" w:hanging="210"/>
        <w:rPr>
          <w:rFonts w:ascii="Times New Roman" w:hAnsi="Times New Roman" w:eastAsia="宋体" w:cs="Times New Roman"/>
          <w:b w:val="0"/>
          <w:sz w:val="24"/>
        </w:rPr>
      </w:pPr>
    </w:p>
    <w:p>
      <w:pPr>
        <w:spacing w:after="40" w:line="360" w:lineRule="auto"/>
        <w:ind w:left="420" w:hanging="210"/>
        <w:rPr>
          <w:rFonts w:ascii="Times New Roman" w:hAnsi="Times New Roman" w:eastAsia="宋体" w:cs="Times New Roman"/>
          <w:b w:val="0"/>
          <w:sz w:val="24"/>
        </w:rPr>
      </w:pPr>
    </w:p>
    <w:p>
      <w:pPr>
        <w:spacing w:before="16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4.8 各公司股票回购汇总（2020–2025，单位：百万美元）</w:t>
      </w:r>
    </w:p>
    <w:p>
      <w:pPr>
        <w:spacing w:after="40"/>
        <w:jc w:val="center"/>
        <w:rPr>
          <w:rFonts w:ascii="Times New Roman" w:hAnsi="Times New Roman" w:eastAsia="宋体" w:cs="Times New Roman"/>
          <w:b w:val="0"/>
          <w:sz w:val="24"/>
        </w:rPr>
      </w:pPr>
      <w:r>
        <w:rPr>
          <w:rFonts w:hint="eastAsia"/>
          <w:b/>
          <w:bCs/>
          <w:sz w:val="21"/>
          <w:szCs w:val="20"/>
          <w:lang w:val="en-US" w:eastAsia="zh-CN"/>
        </w:rPr>
        <w:t>表5 七公司回购数据2020~2025（单位：百万美元）</w:t>
      </w:r>
    </w:p>
    <w:tbl>
      <w:tblPr>
        <w:tblStyle w:val="33"/>
        <w:tblW w:w="4997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991"/>
        <w:gridCol w:w="1043"/>
        <w:gridCol w:w="1400"/>
        <w:gridCol w:w="1277"/>
        <w:gridCol w:w="1230"/>
        <w:gridCol w:w="107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公司</w:t>
            </w:r>
          </w:p>
        </w:tc>
        <w:tc>
          <w:tcPr>
            <w:tcW w:w="568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2020</w:t>
            </w:r>
          </w:p>
        </w:tc>
        <w:tc>
          <w:tcPr>
            <w:tcW w:w="598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2021</w:t>
            </w:r>
          </w:p>
        </w:tc>
        <w:tc>
          <w:tcPr>
            <w:tcW w:w="803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2022</w:t>
            </w:r>
          </w:p>
        </w:tc>
        <w:tc>
          <w:tcPr>
            <w:tcW w:w="732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2023</w:t>
            </w:r>
          </w:p>
        </w:tc>
        <w:tc>
          <w:tcPr>
            <w:tcW w:w="705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2024</w:t>
            </w:r>
          </w:p>
        </w:tc>
        <w:tc>
          <w:tcPr>
            <w:tcW w:w="616" w:type="pct"/>
            <w:shd w:val="clear" w:color="auto" w:fill="D9E2F3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2025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" w:type="pct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bCs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苹果</w:t>
            </w:r>
          </w:p>
          <w:p>
            <w:pPr>
              <w:spacing w:after="0" w:line="264" w:lineRule="auto"/>
              <w:jc w:val="center"/>
              <w:rPr>
                <w:b w:val="0"/>
                <w:bCs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（FY9月）</w:t>
            </w:r>
          </w:p>
        </w:tc>
        <w:tc>
          <w:tcPr>
            <w:tcW w:w="56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72,358</w:t>
            </w:r>
          </w:p>
        </w:tc>
        <w:tc>
          <w:tcPr>
            <w:tcW w:w="59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85,971</w:t>
            </w:r>
          </w:p>
        </w:tc>
        <w:tc>
          <w:tcPr>
            <w:tcW w:w="803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89,402</w:t>
            </w:r>
          </w:p>
        </w:tc>
        <w:tc>
          <w:tcPr>
            <w:tcW w:w="73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77,550</w:t>
            </w:r>
          </w:p>
        </w:tc>
        <w:tc>
          <w:tcPr>
            <w:tcW w:w="70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94,949</w:t>
            </w:r>
          </w:p>
        </w:tc>
        <w:tc>
          <w:tcPr>
            <w:tcW w:w="616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90,711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" w:type="pct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bCs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Alphabet</w:t>
            </w:r>
          </w:p>
          <w:p>
            <w:pPr>
              <w:spacing w:after="0" w:line="264" w:lineRule="auto"/>
              <w:jc w:val="center"/>
              <w:rPr>
                <w:b w:val="0"/>
                <w:bCs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（日历年）</w:t>
            </w:r>
          </w:p>
        </w:tc>
        <w:tc>
          <w:tcPr>
            <w:tcW w:w="56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31,149</w:t>
            </w:r>
          </w:p>
        </w:tc>
        <w:tc>
          <w:tcPr>
            <w:tcW w:w="59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50,274</w:t>
            </w:r>
          </w:p>
        </w:tc>
        <w:tc>
          <w:tcPr>
            <w:tcW w:w="803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59,296</w:t>
            </w:r>
          </w:p>
        </w:tc>
        <w:tc>
          <w:tcPr>
            <w:tcW w:w="73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62,184</w:t>
            </w:r>
          </w:p>
        </w:tc>
        <w:tc>
          <w:tcPr>
            <w:tcW w:w="70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62,047</w:t>
            </w:r>
          </w:p>
        </w:tc>
        <w:tc>
          <w:tcPr>
            <w:tcW w:w="616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45,398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" w:type="pct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bCs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Meta</w:t>
            </w:r>
          </w:p>
          <w:p>
            <w:pPr>
              <w:spacing w:after="0" w:line="264" w:lineRule="auto"/>
              <w:jc w:val="center"/>
              <w:rPr>
                <w:b w:val="0"/>
                <w:bCs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（日历年）</w:t>
            </w:r>
          </w:p>
        </w:tc>
        <w:tc>
          <w:tcPr>
            <w:tcW w:w="56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6,272</w:t>
            </w:r>
          </w:p>
        </w:tc>
        <w:tc>
          <w:tcPr>
            <w:tcW w:w="59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44,537</w:t>
            </w:r>
          </w:p>
        </w:tc>
        <w:tc>
          <w:tcPr>
            <w:tcW w:w="803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27,956</w:t>
            </w:r>
          </w:p>
        </w:tc>
        <w:tc>
          <w:tcPr>
            <w:tcW w:w="73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19,774</w:t>
            </w:r>
          </w:p>
        </w:tc>
        <w:tc>
          <w:tcPr>
            <w:tcW w:w="70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30,125</w:t>
            </w:r>
          </w:p>
        </w:tc>
        <w:tc>
          <w:tcPr>
            <w:tcW w:w="616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26,248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" w:type="pct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bCs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英伟达</w:t>
            </w:r>
          </w:p>
          <w:p>
            <w:pPr>
              <w:spacing w:after="0" w:line="264" w:lineRule="auto"/>
              <w:jc w:val="center"/>
              <w:rPr>
                <w:b w:val="0"/>
                <w:bCs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（FY1月）</w:t>
            </w:r>
          </w:p>
        </w:tc>
        <w:tc>
          <w:tcPr>
            <w:tcW w:w="56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w="59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w="803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w="73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10,039</w:t>
            </w:r>
          </w:p>
        </w:tc>
        <w:tc>
          <w:tcPr>
            <w:tcW w:w="70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9,533</w:t>
            </w:r>
          </w:p>
        </w:tc>
        <w:tc>
          <w:tcPr>
            <w:tcW w:w="616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33,706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" w:type="pct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bCs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微软</w:t>
            </w:r>
          </w:p>
          <w:p>
            <w:pPr>
              <w:spacing w:after="0" w:line="264" w:lineRule="auto"/>
              <w:jc w:val="center"/>
              <w:rPr>
                <w:b w:val="0"/>
                <w:bCs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（FY6月）</w:t>
            </w:r>
          </w:p>
        </w:tc>
        <w:tc>
          <w:tcPr>
            <w:tcW w:w="56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22,981</w:t>
            </w:r>
          </w:p>
        </w:tc>
        <w:tc>
          <w:tcPr>
            <w:tcW w:w="59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27,418</w:t>
            </w:r>
          </w:p>
        </w:tc>
        <w:tc>
          <w:tcPr>
            <w:tcW w:w="803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32,648</w:t>
            </w:r>
          </w:p>
        </w:tc>
        <w:tc>
          <w:tcPr>
            <w:tcW w:w="73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22,264</w:t>
            </w:r>
          </w:p>
        </w:tc>
        <w:tc>
          <w:tcPr>
            <w:tcW w:w="70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17,259</w:t>
            </w:r>
          </w:p>
        </w:tc>
        <w:tc>
          <w:tcPr>
            <w:tcW w:w="616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18,424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" w:type="pct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bCs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亚马逊</w:t>
            </w:r>
          </w:p>
          <w:p>
            <w:pPr>
              <w:spacing w:after="0" w:line="264" w:lineRule="auto"/>
              <w:jc w:val="center"/>
              <w:rPr>
                <w:b w:val="0"/>
                <w:bCs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（日历年）</w:t>
            </w:r>
          </w:p>
        </w:tc>
        <w:tc>
          <w:tcPr>
            <w:tcW w:w="56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w="59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w="803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6,000</w:t>
            </w:r>
          </w:p>
        </w:tc>
        <w:tc>
          <w:tcPr>
            <w:tcW w:w="73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w="70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w="616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5" w:type="pct"/>
            <w:vAlign w:val="center"/>
          </w:tcPr>
          <w:p>
            <w:pPr>
              <w:spacing w:after="0" w:line="264" w:lineRule="auto"/>
              <w:jc w:val="center"/>
              <w:rPr>
                <w:rFonts w:ascii="Times New Roman" w:hAnsi="Times New Roman" w:eastAsia="宋体" w:cs="Times New Roman"/>
                <w:b w:val="0"/>
                <w:bCs/>
                <w:sz w:val="21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特斯拉</w:t>
            </w:r>
          </w:p>
          <w:p>
            <w:pPr>
              <w:spacing w:after="0" w:line="264" w:lineRule="auto"/>
              <w:jc w:val="center"/>
              <w:rPr>
                <w:b w:val="0"/>
                <w:bCs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sz w:val="21"/>
              </w:rPr>
              <w:t>（日历年）</w:t>
            </w:r>
          </w:p>
        </w:tc>
        <w:tc>
          <w:tcPr>
            <w:tcW w:w="56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w="598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w="803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w="732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w="705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w="616" w:type="pct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</w:tr>
    </w:tbl>
    <w:p>
      <w:pPr>
        <w:spacing w:after="40" w:line="360" w:lineRule="auto"/>
        <w:jc w:val="left"/>
        <w:rPr>
          <w:rFonts w:hint="default" w:cs="Times New Roman"/>
          <w:b/>
          <w:bCs w:val="0"/>
          <w:sz w:val="22"/>
          <w:szCs w:val="21"/>
          <w:lang w:val="en-US" w:eastAsia="zh-CN"/>
        </w:rPr>
      </w:pPr>
      <w:r>
        <w:rPr>
          <w:rFonts w:hint="eastAsia" w:cs="Times New Roman"/>
          <w:b/>
          <w:bCs w:val="0"/>
          <w:sz w:val="22"/>
          <w:szCs w:val="21"/>
          <w:lang w:val="en-US" w:eastAsia="zh-CN"/>
        </w:rPr>
        <w:t>资料来源：数据取自各公司 10-K：现金流量表/权益变动表"Repurchases of common/Class A/stock"行</w:t>
      </w:r>
    </w:p>
    <w:p>
      <w:pPr>
        <w:spacing w:after="40" w:line="360" w:lineRule="auto"/>
        <w:ind w:left="420"/>
        <w:rPr>
          <w:rFonts w:ascii="Times New Roman" w:hAnsi="Times New Roman" w:eastAsia="宋体" w:cs="Times New Roman"/>
          <w:b w:val="0"/>
          <w:sz w:val="24"/>
        </w:rPr>
      </w:pPr>
      <w:r>
        <w:rPr>
          <w:rFonts w:ascii="Times New Roman" w:hAnsi="Times New Roman" w:eastAsia="宋体" w:cs="Times New Roman"/>
          <w:b w:val="0"/>
          <w:sz w:val="24"/>
        </w:rPr>
        <w:t>备注：</w:t>
      </w:r>
    </w:p>
    <w:p>
      <w:pPr>
        <w:numPr>
          <w:ilvl w:val="0"/>
          <w:numId w:val="21"/>
        </w:numPr>
        <w:spacing w:after="40" w:line="360" w:lineRule="auto"/>
        <w:ind w:left="420"/>
        <w:rPr>
          <w:rFonts w:ascii="Times New Roman" w:hAnsi="Times New Roman" w:eastAsia="宋体" w:cs="Times New Roman"/>
          <w:b w:val="0"/>
          <w:sz w:val="24"/>
        </w:rPr>
      </w:pPr>
      <w:r>
        <w:rPr>
          <w:rFonts w:ascii="Times New Roman" w:hAnsi="Times New Roman" w:eastAsia="宋体" w:cs="Times New Roman"/>
          <w:b/>
          <w:sz w:val="24"/>
        </w:rPr>
        <w:t>Alphabet</w:t>
      </w:r>
      <w:r>
        <w:rPr>
          <w:rFonts w:ascii="Times New Roman" w:hAnsi="Times New Roman" w:eastAsia="宋体" w:cs="Times New Roman"/>
          <w:b w:val="0"/>
          <w:sz w:val="24"/>
        </w:rPr>
        <w:t xml:space="preserve"> 数为权益变动表"Repurchases of stock"合计（含留存收益分摊部分），与现金流口径或有小幅时点差异。</w:t>
      </w:r>
    </w:p>
    <w:p>
      <w:pPr>
        <w:numPr>
          <w:ilvl w:val="0"/>
          <w:numId w:val="21"/>
        </w:numPr>
        <w:spacing w:after="40" w:line="360" w:lineRule="auto"/>
        <w:ind w:left="420"/>
      </w:pPr>
      <w:r>
        <w:rPr>
          <w:rFonts w:ascii="Times New Roman" w:hAnsi="Times New Roman" w:eastAsia="宋体" w:cs="Times New Roman"/>
          <w:b/>
          <w:sz w:val="24"/>
        </w:rPr>
        <w:t>英伟达</w:t>
      </w:r>
      <w:r>
        <w:rPr>
          <w:rFonts w:ascii="Times New Roman" w:hAnsi="Times New Roman" w:eastAsia="宋体" w:cs="Times New Roman"/>
          <w:b w:val="0"/>
          <w:sz w:val="24"/>
        </w:rPr>
        <w:t xml:space="preserve"> 2020–2022 回购暂停——据 FY2022 10-K"Capital Return Program"：2004 年以来累计回购约 10.4 亿股、$7.08B（主要发生在更早年份），2022 年初起恢复。</w:t>
      </w:r>
    </w:p>
    <w:p>
      <w:pPr>
        <w:numPr>
          <w:ilvl w:val="0"/>
          <w:numId w:val="21"/>
        </w:numPr>
        <w:spacing w:after="40" w:line="360" w:lineRule="auto"/>
        <w:ind w:left="42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亚马逊</w:t>
      </w:r>
      <w:r>
        <w:rPr>
          <w:rFonts w:ascii="Times New Roman" w:hAnsi="Times New Roman" w:eastAsia="宋体" w:cs="Times New Roman"/>
          <w:b w:val="0"/>
          <w:sz w:val="24"/>
        </w:rPr>
        <w:t xml:space="preserve"> 仅 2022 年回购约 $60亿（$100亿授权下），其余年份及分红均为 0。</w:t>
      </w:r>
    </w:p>
    <w:p>
      <w:pPr>
        <w:numPr>
          <w:ilvl w:val="0"/>
          <w:numId w:val="21"/>
        </w:numPr>
        <w:spacing w:after="40" w:line="360" w:lineRule="auto"/>
        <w:ind w:left="420"/>
      </w:pPr>
      <w:r>
        <w:rPr>
          <w:rFonts w:ascii="Times New Roman" w:hAnsi="Times New Roman" w:eastAsia="宋体" w:cs="Times New Roman"/>
          <w:b/>
          <w:sz w:val="24"/>
        </w:rPr>
        <w:t>微软</w:t>
      </w:r>
      <w:r>
        <w:rPr>
          <w:rFonts w:ascii="Times New Roman" w:hAnsi="Times New Roman" w:eastAsia="宋体" w:cs="Times New Roman"/>
          <w:b w:val="0"/>
          <w:sz w:val="24"/>
        </w:rPr>
        <w:t xml:space="preserve"> 在权益变动表把回购拆成两行（冲减 paid-in capital + 冲减 retained earnings），</w:t>
      </w:r>
      <w:r>
        <w:rPr>
          <w:rFonts w:ascii="Times New Roman" w:hAnsi="Times New Roman" w:eastAsia="宋体" w:cs="Times New Roman"/>
          <w:b/>
          <w:sz w:val="24"/>
        </w:rPr>
        <w:t>总额 = 两行相加</w:t>
      </w:r>
      <w:r>
        <w:rPr>
          <w:rFonts w:ascii="Times New Roman" w:hAnsi="Times New Roman" w:eastAsia="宋体" w:cs="Times New Roman"/>
          <w:b w:val="0"/>
          <w:sz w:val="24"/>
        </w:rPr>
        <w:t xml:space="preserve">：FY2020 = 4,599+18,382 = </w:t>
      </w:r>
      <w:r>
        <w:rPr>
          <w:rFonts w:ascii="Times New Roman" w:hAnsi="Times New Roman" w:eastAsia="宋体" w:cs="Times New Roman"/>
          <w:b/>
          <w:sz w:val="24"/>
        </w:rPr>
        <w:t>22,981</w:t>
      </w:r>
      <w:r>
        <w:rPr>
          <w:rFonts w:ascii="Times New Roman" w:hAnsi="Times New Roman" w:eastAsia="宋体" w:cs="Times New Roman"/>
          <w:b w:val="0"/>
          <w:sz w:val="24"/>
        </w:rPr>
        <w:t xml:space="preserve">、FY2021 = 5,539+21,879 = </w:t>
      </w:r>
      <w:r>
        <w:rPr>
          <w:rFonts w:ascii="Times New Roman" w:hAnsi="Times New Roman" w:eastAsia="宋体" w:cs="Times New Roman"/>
          <w:b/>
          <w:sz w:val="24"/>
        </w:rPr>
        <w:t>27,418</w:t>
      </w:r>
      <w:r>
        <w:rPr>
          <w:rFonts w:ascii="Times New Roman" w:hAnsi="Times New Roman" w:eastAsia="宋体" w:cs="Times New Roman"/>
          <w:b w:val="0"/>
          <w:sz w:val="24"/>
        </w:rPr>
        <w:t xml:space="preserve">、FY2022 = 5,688+26,960 = </w:t>
      </w:r>
      <w:r>
        <w:rPr>
          <w:rFonts w:ascii="Times New Roman" w:hAnsi="Times New Roman" w:eastAsia="宋体" w:cs="Times New Roman"/>
          <w:b/>
          <w:sz w:val="24"/>
        </w:rPr>
        <w:t>32,648</w:t>
      </w:r>
      <w:r>
        <w:rPr>
          <w:rFonts w:ascii="Times New Roman" w:hAnsi="Times New Roman" w:eastAsia="宋体" w:cs="Times New Roman"/>
          <w:b w:val="0"/>
          <w:sz w:val="24"/>
        </w:rPr>
        <w:t xml:space="preserve">、FY2023 = 4,696+17,568 = </w:t>
      </w:r>
      <w:r>
        <w:rPr>
          <w:rFonts w:ascii="Times New Roman" w:hAnsi="Times New Roman" w:eastAsia="宋体" w:cs="Times New Roman"/>
          <w:b/>
          <w:sz w:val="24"/>
        </w:rPr>
        <w:t>22,264</w:t>
      </w:r>
      <w:r>
        <w:rPr>
          <w:rFonts w:ascii="Times New Roman" w:hAnsi="Times New Roman" w:eastAsia="宋体" w:cs="Times New Roman"/>
          <w:b w:val="0"/>
          <w:sz w:val="24"/>
        </w:rPr>
        <w:t xml:space="preserve">、FY2024 = 5,712+11,547 = </w:t>
      </w:r>
      <w:r>
        <w:rPr>
          <w:rFonts w:ascii="Times New Roman" w:hAnsi="Times New Roman" w:eastAsia="宋体" w:cs="Times New Roman"/>
          <w:b/>
          <w:sz w:val="24"/>
        </w:rPr>
        <w:t>17,259</w:t>
      </w:r>
      <w:r>
        <w:rPr>
          <w:rFonts w:ascii="Times New Roman" w:hAnsi="Times New Roman" w:eastAsia="宋体" w:cs="Times New Roman"/>
          <w:b w:val="0"/>
          <w:sz w:val="24"/>
        </w:rPr>
        <w:t xml:space="preserve">、FY2025 = 5,856+12,568 = </w:t>
      </w:r>
      <w:r>
        <w:rPr>
          <w:rFonts w:ascii="Times New Roman" w:hAnsi="Times New Roman" w:eastAsia="宋体" w:cs="Times New Roman"/>
          <w:b/>
          <w:sz w:val="24"/>
        </w:rPr>
        <w:t>18,424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240" w:after="120" w:line="360" w:lineRule="auto"/>
        <w:rPr>
          <w:rFonts w:ascii="Times New Roman" w:hAnsi="Times New Roman" w:eastAsia="黑体" w:cs="Times New Roman"/>
          <w:b/>
          <w:sz w:val="32"/>
        </w:rPr>
      </w:pPr>
    </w:p>
    <w:p>
      <w:pPr>
        <w:spacing w:before="24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五、超算 / 算力能力</w:t>
      </w:r>
    </w:p>
    <w:p>
      <w:pPr>
        <w:numPr>
          <w:ilvl w:val="0"/>
          <w:numId w:val="22"/>
        </w:numPr>
        <w:spacing w:after="40" w:line="360" w:lineRule="auto"/>
        <w:ind w:left="420" w:leftChars="0" w:firstLine="0" w:firstLineChars="0"/>
      </w:pPr>
      <w:r>
        <w:rPr>
          <w:rFonts w:hint="eastAsia" w:cs="Times New Roman"/>
          <w:b w:val="0"/>
          <w:sz w:val="24"/>
          <w:lang w:val="en-US" w:eastAsia="zh-CN"/>
        </w:rPr>
        <w:t>口径说明：</w:t>
      </w:r>
    </w:p>
    <w:p>
      <w:pPr>
        <w:numPr>
          <w:numId w:val="0"/>
        </w:numPr>
        <w:spacing w:after="40" w:line="360" w:lineRule="auto"/>
        <w:ind w:firstLine="720" w:firstLineChars="0"/>
        <w:rPr>
          <w:rFonts w:hint="eastAsia" w:eastAsia="宋体"/>
          <w:b w:val="0"/>
          <w:bCs w:val="0"/>
          <w:lang w:eastAsia="zh-CN"/>
        </w:rPr>
      </w:pPr>
      <w:r>
        <w:rPr>
          <w:rFonts w:hint="eastAsia" w:cs="Times New Roman"/>
          <w:b w:val="0"/>
          <w:bCs w:val="0"/>
          <w:sz w:val="24"/>
          <w:lang w:val="en-US" w:eastAsia="zh-CN"/>
        </w:rPr>
        <w:t>含义为</w:t>
      </w:r>
      <w:r>
        <w:rPr>
          <w:rFonts w:ascii="Times New Roman" w:hAnsi="Times New Roman" w:eastAsia="宋体" w:cs="Times New Roman"/>
          <w:b w:val="0"/>
          <w:bCs w:val="0"/>
          <w:sz w:val="24"/>
        </w:rPr>
        <w:t>各公司公开宣布的旗舰AI超级计算集群与算力规模。事件性事实与 Top500 数据已核实；GPU/芯片数量、算力 PFLOPS、未来 GW 规划中有相当一部分为媒体报道或公司前瞻</w:t>
      </w:r>
      <w:r>
        <w:rPr>
          <w:rFonts w:hint="eastAsia" w:cs="Times New Roman"/>
          <w:b w:val="0"/>
          <w:bCs w:val="0"/>
          <w:sz w:val="24"/>
          <w:lang w:eastAsia="zh-CN"/>
        </w:rPr>
        <w:t>。</w:t>
      </w:r>
    </w:p>
    <w:p>
      <w:pPr>
        <w:numPr>
          <w:ilvl w:val="0"/>
          <w:numId w:val="22"/>
        </w:numPr>
        <w:spacing w:after="40" w:line="360" w:lineRule="auto"/>
        <w:ind w:left="420" w:leftChars="0" w:firstLine="0" w:firstLineChars="0"/>
        <w:rPr>
          <w:b w:val="0"/>
          <w:bCs w:val="0"/>
        </w:rPr>
      </w:pPr>
      <w:r>
        <w:rPr>
          <w:rFonts w:hint="eastAsia" w:cs="Times New Roman"/>
          <w:b w:val="0"/>
          <w:bCs w:val="0"/>
          <w:sz w:val="24"/>
          <w:lang w:val="en-US" w:eastAsia="zh-CN"/>
        </w:rPr>
        <w:t>备注：</w:t>
      </w:r>
    </w:p>
    <w:p>
      <w:pPr>
        <w:numPr>
          <w:numId w:val="0"/>
        </w:numPr>
        <w:spacing w:after="40" w:line="360" w:lineRule="auto"/>
        <w:ind w:firstLine="720" w:firstLineChars="0"/>
        <w:rPr>
          <w:rFonts w:hint="eastAsia" w:eastAsia="宋体"/>
          <w:b w:val="0"/>
          <w:bCs w:val="0"/>
          <w:lang w:eastAsia="zh-CN"/>
        </w:rPr>
      </w:pPr>
      <w:r>
        <w:rPr>
          <w:rFonts w:ascii="Times New Roman" w:hAnsi="Times New Roman" w:eastAsia="宋体" w:cs="Times New Roman"/>
          <w:b w:val="0"/>
          <w:bCs w:val="0"/>
          <w:sz w:val="24"/>
        </w:rPr>
        <w:t>算力口径不可直接横向比较：本节混用 HPL PFLOPS（FP64/Linpack 基准）、FP8 ExaFLOPS（AI 训练/推理峰值）、GPU/芯片张数、GW 功率——四者量纲不同，不能相加或直接比大小</w:t>
      </w:r>
      <w:r>
        <w:rPr>
          <w:rFonts w:hint="eastAsia" w:cs="Times New Roman"/>
          <w:b w:val="0"/>
          <w:bCs w:val="0"/>
          <w:sz w:val="24"/>
          <w:lang w:eastAsia="zh-CN"/>
        </w:rPr>
        <w:t>。</w:t>
      </w:r>
    </w:p>
    <w:p>
      <w:pPr>
        <w:spacing w:before="16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5.1 微软（与OpenAI）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  <w:rPr>
          <w:rFonts w:ascii="Times New Roman" w:hAnsi="Times New Roman" w:eastAsia="宋体" w:cs="Times New Roman"/>
          <w:b w:val="0"/>
          <w:sz w:val="24"/>
        </w:rPr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Eagle</w:t>
      </w:r>
      <w:r>
        <w:rPr>
          <w:rFonts w:ascii="Times New Roman" w:hAnsi="Times New Roman" w:eastAsia="宋体" w:cs="Times New Roman"/>
          <w:b w:val="0"/>
          <w:sz w:val="24"/>
        </w:rPr>
        <w:t>（Azure NDv5）：</w:t>
      </w:r>
      <w:r>
        <w:rPr>
          <w:rFonts w:ascii="Times New Roman" w:hAnsi="Times New Roman" w:eastAsia="宋体" w:cs="Times New Roman"/>
          <w:b/>
          <w:sz w:val="24"/>
        </w:rPr>
        <w:t>14,400张NVIDIA H100</w:t>
      </w:r>
      <w:r>
        <w:rPr>
          <w:rFonts w:ascii="Times New Roman" w:hAnsi="Times New Roman" w:eastAsia="宋体" w:cs="Times New Roman"/>
          <w:b w:val="0"/>
          <w:sz w:val="24"/>
        </w:rPr>
        <w:t xml:space="preserve">，HPL </w:t>
      </w:r>
      <w:r>
        <w:rPr>
          <w:rFonts w:ascii="Times New Roman" w:hAnsi="Times New Roman" w:eastAsia="宋体" w:cs="Times New Roman"/>
          <w:b/>
          <w:sz w:val="24"/>
        </w:rPr>
        <w:t>561.2 PFLOPS</w:t>
      </w:r>
      <w:r>
        <w:rPr>
          <w:rFonts w:ascii="Times New Roman" w:hAnsi="Times New Roman" w:eastAsia="宋体" w:cs="Times New Roman"/>
          <w:b w:val="0"/>
          <w:sz w:val="24"/>
        </w:rPr>
        <w:t>，2023/11首登Top500即列</w:t>
      </w:r>
      <w:r>
        <w:rPr>
          <w:rFonts w:ascii="Times New Roman" w:hAnsi="Times New Roman" w:eastAsia="宋体" w:cs="Times New Roman"/>
          <w:b/>
          <w:sz w:val="24"/>
        </w:rPr>
        <w:t>全球第3</w:t>
      </w:r>
      <w:r>
        <w:rPr>
          <w:rFonts w:ascii="Times New Roman" w:hAnsi="Times New Roman" w:eastAsia="宋体" w:cs="Times New Roman"/>
          <w:b w:val="0"/>
          <w:sz w:val="24"/>
        </w:rPr>
        <w:t>；2026/6榜单回落至</w:t>
      </w:r>
      <w:r>
        <w:rPr>
          <w:rFonts w:ascii="Times New Roman" w:hAnsi="Times New Roman" w:eastAsia="宋体" w:cs="Times New Roman"/>
          <w:b/>
          <w:sz w:val="24"/>
        </w:rPr>
        <w:t>第7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来源：</w:t>
      </w:r>
      <w:r>
        <w:fldChar w:fldCharType="begin"/>
      </w:r>
      <w:r>
        <w:instrText xml:space="preserve"> HYPERLINK "https://top500.org/system/180236/"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Top500 Eagle 系统页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"https://thenewstack.io/sc500-microsoft-now-has-the-third-fastest-computer-in-the-world/"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The New Stack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2020年为OpenAI建成首台AI超算（训练GPT-3）；2022年交付更大系统训练GPT-4。 Eagle发布半年后，微软称"每月部署相当于5台Eagle"（约每月7.2万张H100当量）。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来源：</w:t>
      </w:r>
      <w:r>
        <w:fldChar w:fldCharType="begin"/>
      </w:r>
      <w:r>
        <w:instrText xml:space="preserve"> HYPERLINK "https://www.datacenterdynamics.com/en/news/microsoft-deploying-equivalent-of-five-561-petaflops-supercomputers-every-month/"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DataCenterDynamics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/>
          <w:sz w:val="24"/>
        </w:rPr>
        <w:t>Fairwater AI"超级工厂"</w:t>
      </w:r>
      <w:r>
        <w:rPr>
          <w:rFonts w:ascii="Times New Roman" w:hAnsi="Times New Roman" w:eastAsia="宋体" w:cs="Times New Roman"/>
          <w:b w:val="0"/>
          <w:sz w:val="24"/>
        </w:rPr>
        <w:t xml:space="preserve">：威斯康星站（2025/9 公布，315 英亩/3 栋/120 万平方英尺，投资 $73 亿，微软称"全球最强 AI 数据中心"）+ 亚特兰大站（2025/10 上线），两站经专用"AI WAN"互联为分布式超算；采用 </w:t>
      </w:r>
      <w:r>
        <w:rPr>
          <w:rFonts w:ascii="Times New Roman" w:hAnsi="Times New Roman" w:eastAsia="宋体" w:cs="Times New Roman"/>
          <w:b/>
          <w:sz w:val="24"/>
        </w:rPr>
        <w:t>NVIDIA GB200 NVL72</w:t>
      </w:r>
      <w:r>
        <w:rPr>
          <w:rFonts w:ascii="Times New Roman" w:hAnsi="Times New Roman" w:eastAsia="宋体" w:cs="Times New Roman"/>
          <w:b w:val="0"/>
          <w:sz w:val="24"/>
        </w:rPr>
        <w:t xml:space="preserve"> 机架（每机架 72 张 Blackwell，可扩展至</w:t>
      </w:r>
      <w:r>
        <w:rPr>
          <w:rFonts w:ascii="Times New Roman" w:hAnsi="Times New Roman" w:eastAsia="宋体" w:cs="Times New Roman"/>
          <w:b/>
          <w:sz w:val="24"/>
        </w:rPr>
        <w:t>数十万张 Blackwell GPU</w:t>
      </w:r>
      <w:r>
        <w:rPr>
          <w:rFonts w:ascii="Times New Roman" w:hAnsi="Times New Roman" w:eastAsia="宋体" w:cs="Times New Roman"/>
          <w:b w:val="0"/>
          <w:sz w:val="24"/>
        </w:rPr>
        <w:t xml:space="preserve">），多站点合计约 </w:t>
      </w:r>
      <w:r>
        <w:rPr>
          <w:rFonts w:ascii="Times New Roman" w:hAnsi="Times New Roman" w:eastAsia="宋体" w:cs="Times New Roman"/>
          <w:b/>
          <w:sz w:val="24"/>
        </w:rPr>
        <w:t>2GW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来源：</w:t>
      </w:r>
      <w:r>
        <w:fldChar w:fldCharType="begin"/>
      </w:r>
      <w:r>
        <w:instrText xml:space="preserve"> HYPERLINK "https://blogs.microsoft.com/blog/2025/09/18/inside-the-worlds-most-powerful-ai-datacenter/"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Microsoft 官方博客（2025/9/18）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"https://news.microsoft.com/source/features/ai/from-wisconsin-to-atlanta-microsoft-connects-datacenters-to-build-its-first-ai-superfactory/"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Microsoft News（AI superfactory）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spacing w:before="16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5.2 Meta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2023年公布</w:t>
      </w:r>
      <w:r>
        <w:rPr>
          <w:rFonts w:ascii="Times New Roman" w:hAnsi="Times New Roman" w:eastAsia="宋体" w:cs="Times New Roman"/>
          <w:b/>
          <w:sz w:val="24"/>
        </w:rPr>
        <w:t>两座各24,576张H100</w:t>
      </w:r>
      <w:r>
        <w:rPr>
          <w:rFonts w:ascii="Times New Roman" w:hAnsi="Times New Roman" w:eastAsia="宋体" w:cs="Times New Roman"/>
          <w:b w:val="0"/>
          <w:sz w:val="24"/>
        </w:rPr>
        <w:t>的集群（训练Llama 3）。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来源：</w:t>
      </w:r>
      <w:r>
        <w:fldChar w:fldCharType="begin"/>
      </w:r>
      <w:r>
        <w:instrText xml:space="preserve"> HYPERLINK "https://engineering.fb.com/2025/09/29/data-infrastructure/metas-infrastructure-evolution-and-the-advent-of-ai/"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Engineering at Meta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2024 年 Llama 4 训练于 </w:t>
      </w:r>
      <w:r>
        <w:rPr>
          <w:rFonts w:ascii="Times New Roman" w:hAnsi="Times New Roman" w:eastAsia="宋体" w:cs="Times New Roman"/>
          <w:b/>
          <w:sz w:val="24"/>
        </w:rPr>
        <w:t>10万+张 H100</w:t>
      </w:r>
      <w:r>
        <w:rPr>
          <w:rFonts w:ascii="Times New Roman" w:hAnsi="Times New Roman" w:eastAsia="宋体" w:cs="Times New Roman"/>
          <w:b w:val="0"/>
          <w:sz w:val="24"/>
        </w:rPr>
        <w:t xml:space="preserve"> 集群（扎克伯格 2024 Q3 电话会，约 150MW）；另</w:t>
      </w:r>
      <w:r>
        <w:rPr>
          <w:rFonts w:ascii="Times New Roman" w:hAnsi="Times New Roman" w:eastAsia="宋体" w:cs="Times New Roman"/>
          <w:b/>
          <w:sz w:val="24"/>
        </w:rPr>
        <w:t>目标</w:t>
      </w:r>
      <w:r>
        <w:rPr>
          <w:rFonts w:ascii="Times New Roman" w:hAnsi="Times New Roman" w:eastAsia="宋体" w:cs="Times New Roman"/>
          <w:b w:val="0"/>
          <w:sz w:val="24"/>
        </w:rPr>
        <w:t xml:space="preserve">至 2024 年底达 </w:t>
      </w:r>
      <w:r>
        <w:rPr>
          <w:rFonts w:ascii="Times New Roman" w:hAnsi="Times New Roman" w:eastAsia="宋体" w:cs="Times New Roman"/>
          <w:b/>
          <w:sz w:val="24"/>
        </w:rPr>
        <w:t>35 万张 H100</w:t>
      </w:r>
      <w:r>
        <w:rPr>
          <w:rFonts w:ascii="Times New Roman" w:hAnsi="Times New Roman" w:eastAsia="宋体" w:cs="Times New Roman"/>
          <w:b w:val="0"/>
          <w:sz w:val="24"/>
        </w:rPr>
        <w:t xml:space="preserve">、含其他 GPU 约 </w:t>
      </w:r>
      <w:r>
        <w:rPr>
          <w:rFonts w:ascii="Times New Roman" w:hAnsi="Times New Roman" w:eastAsia="宋体" w:cs="Times New Roman"/>
          <w:b/>
          <w:sz w:val="24"/>
        </w:rPr>
        <w:t>60 万张 H100 当量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Times New Roman" w:hAnsi="Times New Roman" w:eastAsia="宋体" w:cs="Times New Roman"/>
          <w:b/>
          <w:sz w:val="24"/>
        </w:rPr>
        <w:t>【此为扎克伯格公开表态的目标值；到年底"实际部署量"未经独立证实】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来源：</w:t>
      </w:r>
      <w:r>
        <w:fldChar w:fldCharType="begin"/>
      </w:r>
      <w:r>
        <w:instrText xml:space="preserve"> HYPERLINK "https://www.tomshardware.com/tech-industry/artificial-intelligence/meta-is-using-more-than-100-000-nvidia-h100-ai-gpus-to-train-llama-4-mark-zuckerberg-says-that-llama-4-is-being-trained-on-a-cluster-bigger-than-anything-that-ive-seen"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Tom's Hardware（&gt;100k H100 训 Llama 4）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Prometheus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1GW+</w:t>
      </w:r>
      <w:r>
        <w:rPr>
          <w:rFonts w:ascii="Times New Roman" w:hAnsi="Times New Roman" w:eastAsia="宋体" w:cs="Times New Roman"/>
          <w:b w:val="0"/>
          <w:sz w:val="24"/>
        </w:rPr>
        <w:t xml:space="preserve"> AI超级集群，号称"全球首座1GW+"，约2026年上线。</w:t>
      </w:r>
      <w:r>
        <w:rPr>
          <w:rFonts w:ascii="Times New Roman" w:hAnsi="Times New Roman" w:eastAsia="宋体" w:cs="Times New Roman"/>
          <w:b/>
          <w:sz w:val="24"/>
        </w:rPr>
        <w:t>【公司已公布1GW+；"约130万H100"为媒体推算，待核实】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来源：</w:t>
      </w:r>
      <w:r>
        <w:fldChar w:fldCharType="begin"/>
      </w:r>
      <w:r>
        <w:instrText xml:space="preserve"> HYPERLINK "https://www.adwaitx.com/meta-prometheus-ai-cluster/"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adwaitx 分析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"https://www.datacenterdynamics.com/en/news/meta-to-invest-hundreds-of-billions-of-dollars-into-compute-to-build-superintelligence-with-several-multi-gw-data-center-clusters/"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DataCenterDynamics（多GW集群）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Hyperion</w:t>
      </w:r>
      <w:r>
        <w:rPr>
          <w:rFonts w:ascii="Times New Roman" w:hAnsi="Times New Roman" w:eastAsia="宋体" w:cs="Times New Roman"/>
          <w:b w:val="0"/>
          <w:sz w:val="24"/>
        </w:rPr>
        <w:t>：规划逐步扩至约</w:t>
      </w:r>
      <w:r>
        <w:rPr>
          <w:rFonts w:ascii="Times New Roman" w:hAnsi="Times New Roman" w:eastAsia="宋体" w:cs="Times New Roman"/>
          <w:b/>
          <w:sz w:val="24"/>
        </w:rPr>
        <w:t>5GW</w:t>
      </w:r>
      <w:r>
        <w:rPr>
          <w:rFonts w:ascii="Times New Roman" w:hAnsi="Times New Roman" w:eastAsia="宋体" w:cs="Times New Roman"/>
          <w:b w:val="0"/>
          <w:sz w:val="24"/>
        </w:rPr>
        <w:t>（路易斯安那，2028年起）。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来源：同上 </w:t>
      </w:r>
      <w:r>
        <w:fldChar w:fldCharType="begin"/>
      </w:r>
      <w:r>
        <w:instrText xml:space="preserve"> HYPERLINK "https://www.datacenterdynamics.com/en/news/meta-to-invest-hundreds-of-billions-of-dollars-into-compute-to-build-superintelligence-with-several-multi-gw-data-center-clusters/"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DataCenterDynamics（多GW集群）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单机架Catalina约140kW、液冷。</w:t>
      </w:r>
    </w:p>
    <w:p>
      <w:pPr>
        <w:spacing w:before="16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5.3 亚马逊/AWS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Project Rainier</w:t>
      </w:r>
      <w:r>
        <w:rPr>
          <w:rFonts w:ascii="Times New Roman" w:hAnsi="Times New Roman" w:eastAsia="宋体" w:cs="Times New Roman"/>
          <w:b w:val="0"/>
          <w:sz w:val="24"/>
        </w:rPr>
        <w:t>：约</w:t>
      </w:r>
      <w:r>
        <w:rPr>
          <w:rFonts w:ascii="Times New Roman" w:hAnsi="Times New Roman" w:eastAsia="宋体" w:cs="Times New Roman"/>
          <w:b/>
          <w:sz w:val="24"/>
        </w:rPr>
        <w:t>50万张自研Trainium2芯片</w:t>
      </w:r>
      <w:r>
        <w:rPr>
          <w:rFonts w:ascii="Times New Roman" w:hAnsi="Times New Roman" w:eastAsia="宋体" w:cs="Times New Roman"/>
          <w:b w:val="0"/>
          <w:sz w:val="24"/>
        </w:rPr>
        <w:t>的EC2 UltraCluster，2025/10/29上线，供Anthropic训练Claude；提供较Anthropic上一代模型</w:t>
      </w:r>
      <w:r>
        <w:rPr>
          <w:rFonts w:ascii="Times New Roman" w:hAnsi="Times New Roman" w:eastAsia="宋体" w:cs="Times New Roman"/>
          <w:b/>
          <w:sz w:val="24"/>
        </w:rPr>
        <w:t>5倍+算力</w:t>
      </w:r>
      <w:r>
        <w:rPr>
          <w:rFonts w:ascii="Times New Roman" w:hAnsi="Times New Roman" w:eastAsia="宋体" w:cs="Times New Roman"/>
          <w:b w:val="0"/>
          <w:sz w:val="24"/>
        </w:rPr>
        <w:t>；计划2025年底扩至</w:t>
      </w:r>
      <w:r>
        <w:rPr>
          <w:rFonts w:ascii="Times New Roman" w:hAnsi="Times New Roman" w:eastAsia="宋体" w:cs="Times New Roman"/>
          <w:b/>
          <w:sz w:val="24"/>
        </w:rPr>
        <w:t>100万+张Trainium2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来源：</w:t>
      </w:r>
      <w:r>
        <w:fldChar w:fldCharType="begin"/>
      </w:r>
      <w:r>
        <w:instrText xml:space="preserve"> HYPERLINK "https://www.aboutamazon.com/news/aws/aws-project-rainier-ai-trainium-chips-compute-cluster"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AWS 官方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"https://www.datacenterdynamics.com/en/news/aws-activates-project-rainier-cluster-of-nearly-500000-trainium2-chips/"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DataCenterDynamics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自2024年起向Anthropic投资约$80亿。</w:t>
      </w:r>
    </w:p>
    <w:p>
      <w:pPr>
        <w:spacing w:before="16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5.4 Alphabet/谷歌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自研</w:t>
      </w:r>
      <w:r>
        <w:rPr>
          <w:rFonts w:ascii="Times New Roman" w:hAnsi="Times New Roman" w:eastAsia="宋体" w:cs="Times New Roman"/>
          <w:b/>
          <w:sz w:val="24"/>
        </w:rPr>
        <w:t>TPU</w:t>
      </w:r>
      <w:r>
        <w:rPr>
          <w:rFonts w:ascii="Times New Roman" w:hAnsi="Times New Roman" w:eastAsia="宋体" w:cs="Times New Roman"/>
          <w:b w:val="0"/>
          <w:sz w:val="24"/>
        </w:rPr>
        <w:t>系列：v4 / v5e / v5p / v6（Trillium）/ v7（Ironwood）。</w:t>
      </w:r>
      <w:r>
        <w:rPr>
          <w:rFonts w:ascii="Times New Roman" w:hAnsi="Times New Roman" w:eastAsia="宋体" w:cs="Times New Roman"/>
          <w:b/>
          <w:sz w:val="24"/>
        </w:rPr>
        <w:t>TPU v4 Pod</w:t>
      </w:r>
      <w:r>
        <w:rPr>
          <w:rFonts w:ascii="Times New Roman" w:hAnsi="Times New Roman" w:eastAsia="宋体" w:cs="Times New Roman"/>
          <w:b w:val="0"/>
          <w:sz w:val="24"/>
        </w:rPr>
        <w:t xml:space="preserve">：4,096 芯片、约 </w:t>
      </w:r>
      <w:r>
        <w:rPr>
          <w:rFonts w:ascii="Times New Roman" w:hAnsi="Times New Roman" w:eastAsia="宋体" w:cs="Times New Roman"/>
          <w:b/>
          <w:sz w:val="24"/>
        </w:rPr>
        <w:t>1.1 ExaFLOPS（BF16，单 Pod）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Times New Roman" w:hAnsi="Times New Roman" w:eastAsia="宋体" w:cs="Times New Roman"/>
          <w:b/>
          <w:sz w:val="24"/>
        </w:rPr>
        <w:t>Ironwood(v7，2025)</w:t>
      </w:r>
      <w:r>
        <w:rPr>
          <w:rFonts w:ascii="Times New Roman" w:hAnsi="Times New Roman" w:eastAsia="宋体" w:cs="Times New Roman"/>
          <w:b w:val="0"/>
          <w:sz w:val="24"/>
        </w:rPr>
        <w:t>：单 Pod 9,216 芯片、</w:t>
      </w:r>
      <w:r>
        <w:rPr>
          <w:rFonts w:ascii="Times New Roman" w:hAnsi="Times New Roman" w:eastAsia="宋体" w:cs="Times New Roman"/>
          <w:b/>
          <w:sz w:val="24"/>
        </w:rPr>
        <w:t>42.5 ExaFLOPS（FP8，单 Pod）</w:t>
      </w:r>
      <w:r>
        <w:rPr>
          <w:rFonts w:ascii="Times New Roman" w:hAnsi="Times New Roman" w:eastAsia="宋体" w:cs="Times New Roman"/>
          <w:b w:val="0"/>
          <w:sz w:val="24"/>
        </w:rPr>
        <w:t>（每芯片 4,614 TFLOPs、192GB HBM）。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来源：</w:t>
      </w:r>
      <w:r>
        <w:fldChar w:fldCharType="begin"/>
      </w:r>
      <w:r>
        <w:instrText xml:space="preserve"> HYPERLINK "https://blog.google/innovation-and-ai/infrastructure-and-cloud/google-cloud/ironwood-tpu-age-of-inference/"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Google：Ironwood TPU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"https://www.hpcwire.com/2025/11/10/google-aims-to-flip-the-script-on-ai-inference-with-new-ironwood-tpus/"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HPCwire（Ironwood）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/>
          <w:sz w:val="24"/>
        </w:rPr>
        <w:t>Trillium(v6)</w:t>
      </w:r>
      <w:r>
        <w:rPr>
          <w:rFonts w:ascii="Times New Roman" w:hAnsi="Times New Roman" w:eastAsia="宋体" w:cs="Times New Roman"/>
          <w:b w:val="0"/>
          <w:sz w:val="24"/>
        </w:rPr>
        <w:t xml:space="preserve"> 单集群约 </w:t>
      </w:r>
      <w:r>
        <w:rPr>
          <w:rFonts w:ascii="Times New Roman" w:hAnsi="Times New Roman" w:eastAsia="宋体" w:cs="Times New Roman"/>
          <w:b/>
          <w:sz w:val="24"/>
        </w:rPr>
        <w:t>91 ExaFLOPS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谷歌用自有TPU超算训练Gemini；苹果亦曾租用谷歌TPU训练Apple Intelligence基础模型。</w:t>
      </w:r>
      <w:r>
        <w:rPr>
          <w:rFonts w:ascii="Times New Roman" w:hAnsi="Times New Roman" w:eastAsia="宋体" w:cs="Times New Roman"/>
          <w:b/>
          <w:sz w:val="24"/>
        </w:rPr>
        <w:t>【已核实方向——见苹果2024基础模型论文】</w:t>
      </w:r>
    </w:p>
    <w:p>
      <w:pPr>
        <w:spacing w:before="16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5.5 英伟达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Eos</w:t>
      </w:r>
      <w:r>
        <w:rPr>
          <w:rFonts w:ascii="Times New Roman" w:hAnsi="Times New Roman" w:eastAsia="宋体" w:cs="Times New Roman"/>
          <w:b w:val="0"/>
          <w:sz w:val="24"/>
        </w:rPr>
        <w:t>（DGX SuperPOD，DGX H100 + Xeon 8480C + InfiniBand NDR400）：</w:t>
      </w:r>
      <w:r>
        <w:rPr>
          <w:rFonts w:ascii="Times New Roman" w:hAnsi="Times New Roman" w:eastAsia="宋体" w:cs="Times New Roman"/>
          <w:b/>
          <w:sz w:val="24"/>
        </w:rPr>
        <w:t>4,608张H100</w:t>
      </w:r>
      <w:r>
        <w:rPr>
          <w:rFonts w:ascii="Times New Roman" w:hAnsi="Times New Roman" w:eastAsia="宋体" w:cs="Times New Roman"/>
          <w:b w:val="0"/>
          <w:sz w:val="24"/>
        </w:rPr>
        <w:t xml:space="preserve">，HPL </w:t>
      </w:r>
      <w:r>
        <w:rPr>
          <w:rFonts w:ascii="Times New Roman" w:hAnsi="Times New Roman" w:eastAsia="宋体" w:cs="Times New Roman"/>
          <w:b/>
          <w:sz w:val="24"/>
        </w:rPr>
        <w:t>121.4 PFLOPS</w:t>
      </w:r>
      <w:r>
        <w:rPr>
          <w:rFonts w:ascii="Times New Roman" w:hAnsi="Times New Roman" w:eastAsia="宋体" w:cs="Times New Roman"/>
          <w:b w:val="0"/>
          <w:sz w:val="24"/>
        </w:rPr>
        <w:t>，2023/11 Top500 列</w:t>
      </w:r>
      <w:r>
        <w:rPr>
          <w:rFonts w:ascii="Times New Roman" w:hAnsi="Times New Roman" w:eastAsia="宋体" w:cs="Times New Roman"/>
          <w:b/>
          <w:sz w:val="24"/>
        </w:rPr>
        <w:t>第9</w:t>
      </w:r>
      <w:r>
        <w:rPr>
          <w:rFonts w:ascii="Times New Roman" w:hAnsi="Times New Roman" w:eastAsia="宋体" w:cs="Times New Roman"/>
          <w:b w:val="0"/>
          <w:sz w:val="24"/>
        </w:rPr>
        <w:t xml:space="preserve">；NVIDIA 另称 AI 算力约 </w:t>
      </w:r>
      <w:r>
        <w:rPr>
          <w:rFonts w:ascii="Times New Roman" w:hAnsi="Times New Roman" w:eastAsia="宋体" w:cs="Times New Roman"/>
          <w:b/>
          <w:sz w:val="24"/>
        </w:rPr>
        <w:t>18.4 EFLOPS（FP8）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来源：</w:t>
      </w:r>
      <w:r>
        <w:fldChar w:fldCharType="begin"/>
      </w:r>
      <w:r>
        <w:instrText xml:space="preserve"> HYPERLINK "https://www.top500.org/lists/top500/2023/11/highs/"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TOP500 2023/11 榜单亮点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>作为供应商，为各家提供H100/H200/GB200等GPU与参考架构。</w:t>
      </w:r>
    </w:p>
    <w:p>
      <w:pPr>
        <w:spacing w:before="16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5.6 特斯拉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/>
          <w:sz w:val="24"/>
        </w:rPr>
        <w:t>Cortex</w:t>
      </w:r>
      <w:r>
        <w:rPr>
          <w:rFonts w:ascii="Times New Roman" w:hAnsi="Times New Roman" w:eastAsia="宋体" w:cs="Times New Roman"/>
          <w:b w:val="0"/>
          <w:sz w:val="24"/>
        </w:rPr>
        <w:t>：约</w:t>
      </w:r>
      <w:r>
        <w:rPr>
          <w:rFonts w:ascii="Times New Roman" w:hAnsi="Times New Roman" w:eastAsia="宋体" w:cs="Times New Roman"/>
          <w:b/>
          <w:sz w:val="24"/>
        </w:rPr>
        <w:t>5万张H100</w:t>
      </w:r>
      <w:r>
        <w:rPr>
          <w:rFonts w:ascii="Times New Roman" w:hAnsi="Times New Roman" w:eastAsia="宋体" w:cs="Times New Roman"/>
          <w:b w:val="0"/>
          <w:sz w:val="24"/>
        </w:rPr>
        <w:t>，2024年Q4在Giga Texas上线；2025年Q2新增1.6万张H200，达约</w:t>
      </w:r>
      <w:r>
        <w:rPr>
          <w:rFonts w:ascii="Times New Roman" w:hAnsi="Times New Roman" w:eastAsia="宋体" w:cs="Times New Roman"/>
          <w:b/>
          <w:sz w:val="24"/>
        </w:rPr>
        <w:t>6.7万张H100当量</w:t>
      </w:r>
      <w:r>
        <w:rPr>
          <w:rFonts w:ascii="Times New Roman" w:hAnsi="Times New Roman" w:eastAsia="宋体" w:cs="Times New Roman"/>
          <w:b w:val="0"/>
          <w:sz w:val="24"/>
        </w:rPr>
        <w:t>；目标约10万张。</w:t>
      </w:r>
      <w:r>
        <w:rPr>
          <w:rFonts w:ascii="Times New Roman" w:hAnsi="Times New Roman" w:eastAsia="宋体" w:cs="Times New Roman"/>
          <w:b/>
          <w:sz w:val="24"/>
        </w:rPr>
        <w:t>【已核实——公司/媒体一致】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来源：</w:t>
      </w:r>
      <w:r>
        <w:fldChar w:fldCharType="begin"/>
      </w:r>
      <w:r>
        <w:instrText xml:space="preserve"> HYPERLINK "https://www.datacenterdynamics.com/en/news/teslas-50000-gpu-cortex-supercomputer-went-live-in-q4-2024/"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DataCenterDynamics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fldChar w:fldCharType="begin"/>
      </w:r>
      <w:r>
        <w:instrText xml:space="preserve"> HYPERLINK "https://www.tomshardware.com/desktops/servers/elon-musk-shows-off-cortex-ai-supercluster-first-look-at-teslas-50000-nvidia-h100s"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Tom's Hardware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/>
          <w:sz w:val="24"/>
        </w:rPr>
        <w:t>Dojo</w:t>
      </w:r>
      <w:r>
        <w:rPr>
          <w:rFonts w:ascii="Times New Roman" w:hAnsi="Times New Roman" w:eastAsia="宋体" w:cs="Times New Roman"/>
          <w:b w:val="0"/>
          <w:sz w:val="24"/>
        </w:rPr>
        <w:t>（自研D1芯片超算）：</w:t>
      </w:r>
      <w:r>
        <w:rPr>
          <w:rFonts w:ascii="Times New Roman" w:hAnsi="Times New Roman" w:eastAsia="宋体" w:cs="Times New Roman"/>
          <w:b/>
          <w:sz w:val="24"/>
        </w:rPr>
        <w:t>2025年8月项目关停、团队解散</w:t>
      </w:r>
      <w:r>
        <w:rPr>
          <w:rFonts w:ascii="Times New Roman" w:hAnsi="Times New Roman" w:eastAsia="宋体" w:cs="Times New Roman"/>
          <w:b w:val="0"/>
          <w:sz w:val="24"/>
        </w:rPr>
        <w:t>，转向依赖英伟达硬件（Cortex）。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ascii="Times New Roman" w:hAnsi="Times New Roman" w:eastAsia="宋体" w:cs="Times New Roman"/>
          <w:b w:val="0"/>
          <w:sz w:val="24"/>
        </w:rPr>
        <w:t xml:space="preserve"> 来源：</w:t>
      </w:r>
      <w:r>
        <w:fldChar w:fldCharType="begin"/>
      </w:r>
      <w:r>
        <w:instrText xml:space="preserve"> HYPERLINK "https://techcrunch.com/2025/09/02/tesla-dojo-the-rise-and-fall-of-elon-musks-ai-supercomputer/"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4"/>
          <w:u w:val="single"/>
        </w:rPr>
        <w:t>TechCrunch（Dojo 兴衰）</w:t>
      </w:r>
      <w:r>
        <w:rPr>
          <w:rFonts w:ascii="Times New Roman" w:hAnsi="Times New Roman" w:eastAsia="宋体"/>
          <w:color w:val="0563C1"/>
          <w:sz w:val="24"/>
          <w:u w:val="single"/>
        </w:rPr>
        <w:fldChar w:fldCharType="end"/>
      </w:r>
    </w:p>
    <w:p>
      <w:pPr>
        <w:spacing w:before="16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5.7 苹果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bookmarkStart w:id="0" w:name="_GoBack"/>
      <w:bookmarkEnd w:id="0"/>
      <w:r>
        <w:rPr>
          <w:rFonts w:ascii="Times New Roman" w:hAnsi="Times New Roman" w:eastAsia="宋体" w:cs="Times New Roman"/>
          <w:b w:val="0"/>
          <w:sz w:val="24"/>
        </w:rPr>
        <w:t>无大型公开超算上榜；AI训练</w:t>
      </w:r>
      <w:r>
        <w:rPr>
          <w:rFonts w:ascii="Times New Roman" w:hAnsi="Times New Roman" w:eastAsia="宋体" w:cs="Times New Roman"/>
          <w:b/>
          <w:sz w:val="24"/>
        </w:rPr>
        <w:t>部分依赖谷歌Cloud TPU</w:t>
      </w:r>
      <w:r>
        <w:rPr>
          <w:rFonts w:ascii="Times New Roman" w:hAnsi="Times New Roman" w:eastAsia="宋体" w:cs="Times New Roman"/>
          <w:b w:val="0"/>
          <w:sz w:val="24"/>
        </w:rPr>
        <w:t>（据苹果2024年基础模型论文）；推理侧自建</w:t>
      </w:r>
      <w:r>
        <w:rPr>
          <w:rFonts w:ascii="Times New Roman" w:hAnsi="Times New Roman" w:eastAsia="宋体" w:cs="Times New Roman"/>
          <w:b/>
          <w:sz w:val="24"/>
        </w:rPr>
        <w:t>Private Cloud Compute</w:t>
      </w:r>
      <w:r>
        <w:rPr>
          <w:rFonts w:ascii="Times New Roman" w:hAnsi="Times New Roman" w:eastAsia="宋体" w:cs="Times New Roman"/>
          <w:b w:val="0"/>
          <w:sz w:val="24"/>
        </w:rPr>
        <w:t>（基于Apple Silicon）。</w:t>
      </w:r>
    </w:p>
    <w:p>
      <w:pPr>
        <w:numPr>
          <w:ilvl w:val="0"/>
          <w:numId w:val="23"/>
        </w:numPr>
        <w:spacing w:after="40" w:line="360" w:lineRule="auto"/>
        <w:ind w:left="420" w:leftChars="0" w:hanging="420" w:firstLineChars="0"/>
      </w:pPr>
      <w:r>
        <w:rPr>
          <w:rFonts w:hint="eastAsia" w:cs="Times New Roman"/>
          <w:b w:val="0"/>
          <w:sz w:val="24"/>
          <w:lang w:val="en-US" w:eastAsia="zh-CN"/>
        </w:rPr>
        <w:t>来源：</w:t>
      </w:r>
      <w:r>
        <w:rPr>
          <w:rFonts w:ascii="Times New Roman" w:hAnsi="Times New Roman" w:eastAsia="宋体" w:cs="Times New Roman"/>
          <w:b w:val="0"/>
          <w:sz w:val="24"/>
        </w:rPr>
        <w:t>苹果《Apple Intelligence Foundation Language Models》论文。</w:t>
      </w:r>
    </w:p>
    <w:sectPr>
      <w:footerReference r:id="rId5" w:type="default"/>
      <w:pgSz w:w="11906" w:h="16838"/>
      <w:pgMar w:top="1440" w:right="1701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+中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西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寰蒋闆呴粦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  <w:jc w:val="center"/>
    </w:pPr>
    <w:r>
      <w:rPr>
        <w:rFonts w:ascii="Times New Roman" w:hAnsi="Times New Roman" w:eastAsia="宋体" w:cs="Times New Roman"/>
        <w:b w:val="0"/>
        <w:sz w:val="21"/>
      </w:rPr>
      <w:fldChar w:fldCharType="begin"/>
    </w:r>
    <w:r>
      <w:rPr>
        <w:rFonts w:ascii="Times New Roman" w:hAnsi="Times New Roman" w:eastAsia="宋体" w:cs="Times New Roman"/>
        <w:b w:val="0"/>
        <w:sz w:val="21"/>
      </w:rPr>
      <w:instrText xml:space="preserve">PAGE</w:instrText>
    </w:r>
    <w:r>
      <w:rPr>
        <w:rFonts w:ascii="Times New Roman" w:hAnsi="Times New Roman" w:eastAsia="宋体" w:cs="Times New Roman"/>
        <w:b w:val="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EFF26A"/>
    <w:multiLevelType w:val="singleLevel"/>
    <w:tmpl w:val="A6EFF26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F413B44"/>
    <w:multiLevelType w:val="singleLevel"/>
    <w:tmpl w:val="BF413B4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C06E3802"/>
    <w:multiLevelType w:val="singleLevel"/>
    <w:tmpl w:val="C06E3802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C0E87906"/>
    <w:multiLevelType w:val="singleLevel"/>
    <w:tmpl w:val="C0E879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C37BD13B"/>
    <w:multiLevelType w:val="singleLevel"/>
    <w:tmpl w:val="C37BD13B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FDCF673E"/>
    <w:multiLevelType w:val="singleLevel"/>
    <w:tmpl w:val="FDCF673E"/>
    <w:lvl w:ilvl="0" w:tentative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6">
    <w:nsid w:val="FF43A482"/>
    <w:multiLevelType w:val="singleLevel"/>
    <w:tmpl w:val="FF43A482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7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8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9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10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11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2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3">
    <w:nsid w:val="005A78C8"/>
    <w:multiLevelType w:val="singleLevel"/>
    <w:tmpl w:val="005A78C8"/>
    <w:lvl w:ilvl="0" w:tentative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4">
    <w:nsid w:val="20607A87"/>
    <w:multiLevelType w:val="singleLevel"/>
    <w:tmpl w:val="20607A87"/>
    <w:lvl w:ilvl="0" w:tentative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5">
    <w:nsid w:val="338FB691"/>
    <w:multiLevelType w:val="singleLevel"/>
    <w:tmpl w:val="338FB691"/>
    <w:lvl w:ilvl="0" w:tentative="0">
      <w:start w:val="1"/>
      <w:numFmt w:val="decimal"/>
      <w:suff w:val="space"/>
      <w:lvlText w:val="%1."/>
      <w:lvlJc w:val="left"/>
    </w:lvl>
  </w:abstractNum>
  <w:abstractNum w:abstractNumId="16">
    <w:nsid w:val="35590979"/>
    <w:multiLevelType w:val="singleLevel"/>
    <w:tmpl w:val="3559097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7">
    <w:nsid w:val="421B0DD5"/>
    <w:multiLevelType w:val="singleLevel"/>
    <w:tmpl w:val="421B0DD5"/>
    <w:lvl w:ilvl="0" w:tentative="0">
      <w:start w:val="1"/>
      <w:numFmt w:val="decimal"/>
      <w:suff w:val="space"/>
      <w:lvlText w:val="%1."/>
      <w:lvlJc w:val="left"/>
    </w:lvl>
  </w:abstractNum>
  <w:abstractNum w:abstractNumId="18">
    <w:nsid w:val="53BCA63E"/>
    <w:multiLevelType w:val="singleLevel"/>
    <w:tmpl w:val="53BCA63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nsid w:val="694B8551"/>
    <w:multiLevelType w:val="singleLevel"/>
    <w:tmpl w:val="694B855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0">
    <w:nsid w:val="6FF1904D"/>
    <w:multiLevelType w:val="singleLevel"/>
    <w:tmpl w:val="6FF1904D"/>
    <w:lvl w:ilvl="0" w:tentative="0">
      <w:start w:val="1"/>
      <w:numFmt w:val="decimal"/>
      <w:suff w:val="space"/>
      <w:lvlText w:val="%1."/>
      <w:lvlJc w:val="left"/>
    </w:lvl>
  </w:abstractNum>
  <w:abstractNum w:abstractNumId="21">
    <w:nsid w:val="72B1F593"/>
    <w:multiLevelType w:val="singleLevel"/>
    <w:tmpl w:val="72B1F593"/>
    <w:lvl w:ilvl="0" w:tentative="0">
      <w:start w:val="1"/>
      <w:numFmt w:val="decimalEnclosedCircleChinese"/>
      <w:suff w:val="space"/>
      <w:lvlText w:val="%1"/>
      <w:lvlJc w:val="left"/>
      <w:rPr>
        <w:rFonts w:hint="eastAsia"/>
      </w:rPr>
    </w:lvl>
  </w:abstractNum>
  <w:abstractNum w:abstractNumId="22">
    <w:nsid w:val="780EF800"/>
    <w:multiLevelType w:val="multilevel"/>
    <w:tmpl w:val="780EF800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8"/>
  </w:num>
  <w:num w:numId="2">
    <w:abstractNumId w:val="11"/>
  </w:num>
  <w:num w:numId="3">
    <w:abstractNumId w:val="12"/>
  </w:num>
  <w:num w:numId="4">
    <w:abstractNumId w:val="9"/>
  </w:num>
  <w:num w:numId="5">
    <w:abstractNumId w:val="7"/>
  </w:num>
  <w:num w:numId="6">
    <w:abstractNumId w:val="10"/>
  </w:num>
  <w:num w:numId="7">
    <w:abstractNumId w:val="22"/>
  </w:num>
  <w:num w:numId="8">
    <w:abstractNumId w:val="13"/>
  </w:num>
  <w:num w:numId="9">
    <w:abstractNumId w:val="16"/>
  </w:num>
  <w:num w:numId="10">
    <w:abstractNumId w:val="5"/>
  </w:num>
  <w:num w:numId="11">
    <w:abstractNumId w:val="18"/>
  </w:num>
  <w:num w:numId="12">
    <w:abstractNumId w:val="2"/>
  </w:num>
  <w:num w:numId="13">
    <w:abstractNumId w:val="20"/>
  </w:num>
  <w:num w:numId="14">
    <w:abstractNumId w:val="15"/>
  </w:num>
  <w:num w:numId="15">
    <w:abstractNumId w:val="0"/>
  </w:num>
  <w:num w:numId="16">
    <w:abstractNumId w:val="17"/>
  </w:num>
  <w:num w:numId="17">
    <w:abstractNumId w:val="4"/>
  </w:num>
  <w:num w:numId="18">
    <w:abstractNumId w:val="6"/>
  </w:num>
  <w:num w:numId="19">
    <w:abstractNumId w:val="19"/>
  </w:num>
  <w:num w:numId="20">
    <w:abstractNumId w:val="1"/>
  </w:num>
  <w:num w:numId="21">
    <w:abstractNumId w:val="21"/>
  </w:num>
  <w:num w:numId="22">
    <w:abstractNumId w:val="14"/>
  </w:num>
  <w:num w:numId="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203DB4"/>
    <w:rsid w:val="0A833A82"/>
    <w:rsid w:val="0C6F5F24"/>
    <w:rsid w:val="12290261"/>
    <w:rsid w:val="14DE5ECD"/>
    <w:rsid w:val="15404BDD"/>
    <w:rsid w:val="1D3C1C2C"/>
    <w:rsid w:val="3A5C534F"/>
    <w:rsid w:val="5D631C0F"/>
    <w:rsid w:val="5D776D47"/>
    <w:rsid w:val="5F080957"/>
    <w:rsid w:val="62F46289"/>
    <w:rsid w:val="72B95CAA"/>
    <w:rsid w:val="775C231B"/>
    <w:rsid w:val="77793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="Times New Roman" w:hAnsi="Times New Roman" w:eastAsia="黑体" w:cstheme="majorBidi"/>
      <w:b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FollowedHyperlink"/>
    <w:basedOn w:val="132"/>
    <w:semiHidden/>
    <w:unhideWhenUsed/>
    <w:uiPriority w:val="99"/>
    <w:rPr>
      <w:color w:val="800080"/>
      <w:u w:val="single"/>
    </w:rPr>
  </w:style>
  <w:style w:type="character" w:styleId="135">
    <w:name w:val="Emphasis"/>
    <w:basedOn w:val="132"/>
    <w:qFormat/>
    <w:uiPriority w:val="20"/>
    <w:rPr>
      <w:i/>
      <w:iCs/>
    </w:rPr>
  </w:style>
  <w:style w:type="character" w:styleId="136">
    <w:name w:val="Hyperlink"/>
    <w:basedOn w:val="132"/>
    <w:semiHidden/>
    <w:unhideWhenUsed/>
    <w:uiPriority w:val="99"/>
    <w:rPr>
      <w:color w:val="0000FF"/>
      <w:u w:val="single"/>
    </w:rPr>
  </w:style>
  <w:style w:type="character" w:customStyle="1" w:styleId="137">
    <w:name w:val="Header Char"/>
    <w:basedOn w:val="132"/>
    <w:link w:val="25"/>
    <w:uiPriority w:val="99"/>
  </w:style>
  <w:style w:type="character" w:customStyle="1" w:styleId="138">
    <w:name w:val="Footer Char"/>
    <w:basedOn w:val="132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2"/>
    <w:link w:val="3"/>
    <w:uiPriority w:val="9"/>
    <w:rPr>
      <w:rFonts w:ascii="Times New Roman" w:hAnsi="Times New Roman" w:eastAsia="黑体" w:cstheme="majorBidi"/>
      <w:b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character" w:customStyle="1" w:styleId="141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2"/>
    <w:link w:val="19"/>
    <w:uiPriority w:val="99"/>
  </w:style>
  <w:style w:type="character" w:customStyle="1" w:styleId="147">
    <w:name w:val="Body Text 2 Char"/>
    <w:basedOn w:val="132"/>
    <w:link w:val="28"/>
    <w:uiPriority w:val="99"/>
  </w:style>
  <w:style w:type="character" w:customStyle="1" w:styleId="148">
    <w:name w:val="Body Text 3 Char"/>
    <w:basedOn w:val="132"/>
    <w:link w:val="17"/>
    <w:uiPriority w:val="99"/>
    <w:rPr>
      <w:sz w:val="16"/>
      <w:szCs w:val="16"/>
    </w:rPr>
  </w:style>
  <w:style w:type="character" w:customStyle="1" w:styleId="149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2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2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79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mengqingxuan</cp:lastModifiedBy>
  <dcterms:modified xsi:type="dcterms:W3CDTF">2026-07-02T04:14:23Z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FE073899EA414BFAAFD45414A5280195</vt:lpwstr>
  </property>
</Properties>
</file>