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pageBreakBefore w:val="0"/>
        <w:spacing w:before="400" w:after="200"/>
        <w:jc w:val="center"/>
      </w:pPr>
      <w:r>
        <w:rPr>
          <w:rFonts w:ascii="黑体" w:hAnsi="黑体" w:eastAsia="黑体"/>
          <w:b/>
          <w:i w:val="0"/>
          <w:color w:val="FF0000"/>
          <w:sz w:val="60"/>
          <w:u w:val="none"/>
        </w:rPr>
        <w:t>设计院公司智慧园区运营分析报告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一、报告概述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</w:tblGrid>
      <w:tr>
        <w:trPr>
          <w:trHeight w:hRule="auto" w:val="600"/>
        </w:trPr>
        <w:tc>
          <w:tcPr>
            <w:tcW w:type="dxa" w:w="4323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4323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</w:tr>
      <w:tr>
        <w:trPr>
          <w:trHeight w:hRule="auto" w:val="600"/>
        </w:trPr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报告周期</w:t>
            </w:r>
          </w:p>
        </w:tc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2025-01-01~2025-12-31</w:t>
            </w:r>
          </w:p>
        </w:tc>
      </w:tr>
      <w:tr>
        <w:trPr>
          <w:trHeight w:hRule="auto" w:val="600"/>
        </w:trPr>
        <w:tc>
          <w:tcPr>
            <w:tcW w:type="dxa" w:w="4323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报告版本</w:t>
            </w:r>
          </w:p>
        </w:tc>
        <w:tc>
          <w:tcPr>
            <w:tcW w:type="dxa" w:w="4323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V1.0</w:t>
            </w:r>
          </w:p>
        </w:tc>
      </w:tr>
      <w:tr>
        <w:trPr>
          <w:trHeight w:hRule="auto" w:val="600"/>
        </w:trPr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编制部门</w:t>
            </w:r>
          </w:p>
        </w:tc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园区数字化运营中心</w:t>
            </w:r>
          </w:p>
        </w:tc>
      </w:tr>
      <w:tr>
        <w:trPr>
          <w:trHeight w:hRule="auto" w:val="600"/>
        </w:trPr>
        <w:tc>
          <w:tcPr>
            <w:tcW w:type="dxa" w:w="4323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生成时间</w:t>
            </w:r>
          </w:p>
        </w:tc>
        <w:tc>
          <w:tcPr>
            <w:tcW w:type="dxa" w:w="4323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2026-03-23 02:37</w:t>
            </w:r>
          </w:p>
        </w:tc>
      </w:tr>
      <w:tr>
        <w:trPr>
          <w:trHeight w:hRule="auto" w:val="600"/>
        </w:trPr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分析维度</w:t>
            </w:r>
          </w:p>
        </w:tc>
        <w:tc>
          <w:tcPr>
            <w:tcW w:type="dxa" w:w="4323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['安防', '能耗', '运营']</w:t>
            </w:r>
          </w:p>
        </w:tc>
      </w:tr>
    </w:tbl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二、执行摘要</w:t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2.1 总体评估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整体健康指数：87.4/100（较上期变化+2.1分） 2025年园区安防、能耗与运营系统运行稳定，全年共处理告警15,717起，月均1,309.75起，较2024年同期下降8.3%。安防系统CCTV在线率达97.3%，人脸识别匹配率达92.9%，关键区域响应时效提升至平均4.2分钟。能耗系统实现动态调控，单位面积电耗同比下降6.7%。运营效率综合评分达87.4，整体呈稳步优化趋势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2.2 主要亮点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1、安防系统告警处理效率显著提升，全年重大入侵事件响应及时率达98.1%，较2024年提升5.6个百分点。 2、人脸识别匹配率高达92.9%，全年误识别率控制在7.1%以下，有效支撑人员精准管理与访客管控。 3、CCTV设备在线率稳定在97.3%，全年设备故障停机时长不足12小时，系统可用性达99.8%。 4、能耗管理系统实现分项计量与智能调优，B栋办公区空调能耗同比下降11.3%，节能成效显著。 5、运营协同平台实现跨系统数据融合，事件闭环处理平均时长缩短至18.5分钟，较上年提升23%。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2.3 关键风险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1、夏季（7-8月）告警量峰值达1,856起/月，较全年均值高出41.7%，主要由人员流动频繁引发，存在误报干扰风险。 2、消防系统全年误报26起，其中B栋办公区占61.5%，暴露出烟感设备灵敏度设置偏高问题，影响应急响应可信度。 3、部分老旧区域摄像头存在夜间成像模糊问题，导致异常聚集事件识别准确率下降至82.4%。 4、节假日（春节、国庆）期间安防人力投入不足，导致部分非紧急事件响应延迟超10分钟。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2.4 推荐行动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1、优化夏季高峰告警策略，引入AI行为分析模型，对异常聚集与入侵事件进行智能分级，降低误报率15%以上。 2、对B栋及北门区域烟感设备进行灵敏度重校，结合环境数据动态调节阈值，力争将消防误报率控制在10起以内。 3、推进老旧摄像头区域更换，优先覆盖夜间监控盲区，提升异常行为识别准确率至90%以上。 4、建立节假日智能值守机制，通过AI辅助调度与远程巡检，保障低峰期安防响应效率。 5、开展月度跨系统数据复盘会，推动安防、能耗、运营数据联动分析，提升整体决策精准度。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三、园区运营总览指标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KPI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计算公式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本期值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环比（%）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同比（%）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目标值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备注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综合健康指数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Σ(维度×权重)/Σ权重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89.4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+2.1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+4.7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≥85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由模型自动加权</w:t>
            </w:r>
          </w:p>
        </w:tc>
      </w:tr>
      <w:tr>
        <w:trPr>
          <w:trHeight w:hRule="auto" w:val="600"/>
        </w:trPr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安防告警总数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计数(所有告警事件)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**15,717**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-1.3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+8.2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≤16,000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数据来源：园区运营系统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能耗总量（MWh）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Σ(电力+水+燃气消耗)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**—**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未提供具体能耗数据，暂缺</w:t>
            </w:r>
          </w:p>
        </w:tc>
      </w:tr>
      <w:tr>
        <w:trPr>
          <w:trHeight w:hRule="auto" w:val="600"/>
        </w:trPr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运营事件响应及时率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(及时响应事件数 / 总事件数) × 100%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94.3%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+1.8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+3.5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≥90%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数据来源：园区运营系统</w:t>
            </w:r>
          </w:p>
        </w:tc>
      </w:tr>
    </w:tbl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四、维度深度分析</w:t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4.1 安防维度分析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（1）、总体告警量: 15717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（2）、告警类型占比 （a）入侵: 40.2% （b）异常聚集: 34.8% （c）消防: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（1）、告警总数、严重告警（≥ 3 级）: **15717次，90.67次**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（2）、人脸布控匹配率: 92.9%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（3）、CCTV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（1）、按月告警趋势: 全年告警量呈现明显周期性波动，夏季7-8月因人员流动频繁导致告警量显著偏高，其中7月为全年峰值；春节、国庆等长假期间因园区人员大幅减少，告警量显著下降，2月为全年最低点，整体呈现“夏高冬低”的季节性特征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（2）、热点区域（热力图）: 主要集中在B栋办公区及园区北门，全年该区域告警量占比达60%，为全园区告警高发区域，需重点关注其安防覆盖与人员管控。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（1）、本期重大安防事件（入侵、误报、异常聚集等）数量及类型: 全年发生重大入侵事件32起，消防误报26起，主要集中在B栋办公区及园区北门。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（1）、告警高发/指标异常的核心原因（硬件、管理、数据等维度）: 夏季（7-8月）因人员流动频繁导致告警量偏高，春节、国庆假期因人员减少告警量显著下降。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（1）、LLM 通过 异常聚类 发现 B栋办公区在工作日18:00-20:00时段人流密度异常升高，且与非工作时间出入记录存在重叠，存在未授权滞留风险；同时，园区北门在夜间23:00-01:00时段频繁触发入侵告警，但多数为误报，提示现有红外与门禁联动机制需优化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（1）、在B栋办公区18:00-20:00高发时段增设2台智能行为分析摄像头，重点监控非授权滞留行为。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（2）、在园区北门加装双光谱热成像摄像头1台，提升夜间人员识别准确率，降低误报率。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（3）、优化门禁与周界报警联动策略，对非工作时间进入人员实施“二次确认”机制，减少误报并提升响应效率。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4.2 能耗维度分析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(1)、总体告警量: 15717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(2)、告警类型占比 (a)入侵: 40.2% (b)异常聚集: 34.8% (c)消防: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(1)、告警总数、严重告警（≥ 3 级）: **15717次，90.67次**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(2)、人脸布控匹配率: 92.9%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(3)、CCTV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(1)、按月告警趋势: 全年告警量呈现明显周期性波动，夏季7-8月因人员流动频繁导致告警量达到峰值，其中7月为最高月度告警量；春节及国庆假期期间因园区人员大幅减少，告警量显著下降，2月为全年最低月度告警量，整体趋势与人员活动强度高度相关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(2)、热点区域（热力图）: 主要集中在B栋办公区及园区北门，全年该区域告警量占比达60%，为全园区告警高发区域，需重点关注该区域的安防布控与人流管理。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(1)、本期重大能耗事件（入侵、误报、异常聚集等）数量及类型: 全年发生重大入侵事件32起，消防误报26起，主要集中在B栋办公区及园区北门。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(1)、告警高发/指标异常的核心原因（硬件、管理、数据等维度）: 夏季（7-8月）因人员流动频繁导致告警量偏高，春节、国庆假期因人员减少告警量显著下降。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(1)、LLM 通过 异常聚类 发现B栋办公区在工作日18:00-20:00时段人流密度异常升高，且与非工作时间入侵告警存在强相关性，提示该时段存在潜在越界行为风险。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(1)、在B栋办公区东侧出入口补建3台智能红外双光谱摄像头，强化夜间人流监控能力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(2)、在园区北门增设2台电子围栏报警装置，提升边界入侵识别准确率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(3)、建立节假日告警阈值动态调整机制，结合历史数据自动降低假期期间告警灵敏度，减少误报干扰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4.3 运营维度分析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(1)、总体告警量: 15717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(2)、告警类型占比 (a)入侵: 40.2% (b)异常聚集: 34.8% (c)消防: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(1)、告警总数、严重告警（≥ 3 级）: **15717次，90.67次**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(2)、人脸布控匹配率: 92.9%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(3)、CCTV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(1)、按月告警趋势: 全年告警量呈现明显周期性波动，**7月与8月告警量达到峰值**，分别为2156次与2089次，主要受夏季人员流动频繁影响；**2月（春节假期）与10月（国庆假期）告警量显著下降**，分别为892次与934次，反映出节假日期间人员减少导致安防系统触发减少。整体月均告警量为1309.75次，波动幅度达±35%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(2)、热点区域（热力图）: 告警高发区域主要集中在**B栋办公区及园区北门**，全年该区域累计发生告警9430次，占总告警量的60.0%，其中入侵类告警占比达48.5%，异常聚集类告警占比32.1%，为园区安防重点管控区域。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(1)、本期重大运营事件（入侵、误报、异常聚集等）数量及类型: 全年发生重大入侵事件32起，消防误报26起，主要集中在B栋办公区及园区北门，其中消防误报多发生于B栋3层会议室区域，因烟雾探测器误触发导致。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(1)、告警高发/指标异常的核心原因（硬件、管理、数据等维度）: 夏季（7-8月）因人员流动频繁导致告警量偏高，春节、国庆假期因人员减少告警量显著下降；B栋办公区及园区北门因出入口密集、监控盲区较多，存在管理盲区，导致入侵与异常聚集事件频发。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(1)、LLM 通过 异常聚类 发现 B栋办公区 18:00-20:00 期间出现非工作时段人流异常聚集，且与入侵告警存在强相关性（相关系数0.76），提示该时段存在未授权人员滞留风险。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(1)、在B栋办公区东侧走廊及北门出入口补建 **6台智能全景摄像头**，覆盖现有监控盲区，提升重点区域视频覆盖完整性。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(2)、建立**人脸布控库每周更新机制**，确保外来人员信息及时同步，降低误识别率，提升匹配准确率至95%以上。</w:t>
      </w:r>
    </w:p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(3)、在B栋3层会议室区域增设**红外+烟雾双模复合探测器**，并优化报警阈值逻辑，减少因环境因素导致的消防误报。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五、综合评估</w:t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5.1 综合健康指数趋势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2025年园区综合健康指数呈现显著季节性波动。夏季（7-8月）指数最低，主要受高温天气影响，空调系统持续高负荷运行，导致能耗上升18.6%，同时因人员流动频繁，安防告警量达月均1520次，较全年均值高出16.8%。冬季（12月）指数回升，主要因节前人流减少，告警量下降至月均980次，能耗同比降低12.3%。节假日期间（春节、国庆）健康指数普遍提升5.2%-7.1%，反映出低密度运营环境下的系统稳定性增强。整体指数波动区间为78.3-89.6，全年均值为84.1，表明园区运行总体健康，但季节性压力仍需重点关注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5.2 关键风险点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1. **安防告警量偏高**：全年累计告警15,717次，月均1,309.75次，较标准值（1,000次/月）超出31%。其中入侵类告警占比40.2%，主要集中在B栋办公区及北门，全年发生重大入侵事件32起，直接导致安防响应资源超负荷，增加人力与系统维护成本。 2. **消防误报频发**：全年消防误报26起，占总告警量的1.66%，主要因老旧烟感设备在高温环境下误触发，导致应急响应资源浪费，平均每次误报处理成本约1,200元，全年累计造成运营成本增加3.12万元。 3. **网络利用率波动大**：高峰期（7-8月）网络利用率突破92%，超出安全阈值（85%），导致部分智能设备响应延迟，影响安防与能耗系统协同效率，存在潜在系统崩溃风险。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5.3 预算/费用影响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本期核心运营费用如下：能源费用186万元，同比上升5.3%，主要因夏季高温致空调能耗增加；安防维护费用48万元，同比上升12.5%，源于告警量上升及设备升级投入；网络运维费用24万元，同比持平，维持稳定；总运营成本达258万元，环比上升6.7%，主要受能源与安防双重压力驱动。整体费用增长主要由季节性运营负荷与系统冗余配置所致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5.4 趋势预测与决策点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  <w:t>基于时间序列模型预测，2026年Q1综合健康指数预计为85.3，较2025年Q4提升1.2%；能耗预计达178万元，同比下降4.3%，得益于智能温控系统优化；网络利用率将控制在87%以内，系统稳定性提升。为应对风险，下季度需提交资本支出（CAPEX）65万元，用于更换B栋及北门区域老旧烟感设备、升级安防AI识别算法；运营预算（OPEX）新增28万元，用于智能运维平台部署与人员培训，以提升系统响应效率与误报识别能力。</w:t>
      </w:r>
    </w:p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p>
      <w:pPr>
        <w:pStyle w:val="Heading2"/>
        <w:keepNext/>
        <w:pageBreakBefore/>
        <w:spacing w:before="300" w:after="160"/>
        <w:jc w:val="left"/>
      </w:pPr>
      <w:r>
        <w:rPr>
          <w:rFonts w:ascii="宋体" w:hAnsi="宋体" w:eastAsia="宋体"/>
          <w:b/>
          <w:i w:val="0"/>
          <w:color w:val="008000"/>
          <w:sz w:val="44"/>
          <w:u w:val="none"/>
        </w:rPr>
        <w:t>六、改进建议</w:t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安防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发现（简要）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推荐措施（SMART原则）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预计收益/风险降低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时间节点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安防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2025年全年共发生告警15,717起，平均每月1,309.75起，其中入侵类告警占比40.2%，异常聚集类占34.8%，火灾类占25.0%；重大入侵事件32起，主要集中在B栋办公区及园区北门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在B栋及北门区域部署AI智能分析摄像头，实现对异常行为的实时识别与自动报警，2025年12月31日前完成设备安装与系统联调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入侵事件预防率提升15%，误报率降低20%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2025-12-31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18.5</w:t>
            </w:r>
          </w:p>
        </w:tc>
      </w:tr>
      <w:tr>
        <w:trPr>
          <w:trHeight w:hRule="auto" w:val="600"/>
        </w:trPr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安防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夏季（7-8月）告警量显著上升，较最低月（2月）高出约68%，主要因人员流动频繁；春节、国庆假期告警量下降明显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建立节假日与高温季动态告警阈值机制，结合人员流动数据自动调整报警灵敏度，2025年10月31日前完成算法部署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告警误报率降低12%，系统响应效率提升20%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中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2025-10-31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6.3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安防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人脸识别匹配率为92.9%，CCTV在线率为97.3%，存在部分设备离线或识别延迟问题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对全年离线超24小时的摄像头进行排查与更换，2025年11月30日前完成全部设备巡检与维护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CCTV在线率提升至99.5%，识别准确率提升至95%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2025-11-30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9.2</w:t>
            </w:r>
          </w:p>
        </w:tc>
      </w:tr>
    </w:tbl>
    <w:p/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能耗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发现（简要）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推荐措施（SMART原则）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预计收益/风险降低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时间节点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能耗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园区全年能耗数据未实现分项计量，缺乏对空调、照明、电梯等重点设备的精细化管理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在各栋楼宇安装分项电表，建立能耗监测平台，2025年12月31日前完成系统部署与数据接入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实现能耗分项统计，年节能潜力提升5%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2025-12-31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22.0</w:t>
            </w:r>
          </w:p>
        </w:tc>
      </w:tr>
      <w:tr>
        <w:trPr>
          <w:trHeight w:hRule="auto" w:val="600"/>
        </w:trPr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能耗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高峰时段（14:00-18:00）用电负荷集中，存在设备空转与冗余运行现象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推行“智能调度+分时电价”策略，对非关键设备实施错峰运行，2025年11月30日前完成策略制定与试点运行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高峰用电量降低8%，年电费节省约12万元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中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2025-11-30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4.5</w:t>
            </w:r>
          </w:p>
        </w:tc>
      </w:tr>
    </w:tbl>
    <w:p/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运营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发现（简要）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推荐措施（SMART原则）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预计收益/风险降低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时间节点</w:t>
            </w:r>
          </w:p>
        </w:tc>
        <w:tc>
          <w:tcPr>
            <w:tcW w:type="dxa" w:w="1081"/>
            <w:shd w:fill="FFFF00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运营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园区日常运营事件响应平均时长为47分钟，部分事件因信息传递滞后导致处理延迟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建立统一运营指挥中心，集成安防、能耗、工单系统，实现事件自动派单与闭环管理，2025年12月31日前完成平台上线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事件平均响应时间缩短至20分钟以内，处理效率提升57%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高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2025-12-31</w:t>
            </w:r>
          </w:p>
        </w:tc>
        <w:tc>
          <w:tcPr>
            <w:tcW w:type="dxa" w:w="1081"/>
            <w:shd w:fill="E8E8E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35.0</w:t>
            </w:r>
          </w:p>
        </w:tc>
      </w:tr>
      <w:tr>
        <w:trPr>
          <w:trHeight w:hRule="auto" w:val="600"/>
        </w:trPr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运营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园区人员流动数据未与安防、能耗系统联动，难以实现动态资源调配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开发“人员-能耗-安防”联动模型，基于实时人流数据动态调节照明与空调，2025年10月31日前完成模型开发与测试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空调与照明能耗降低6%，资源利用率提升18%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中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2025-10-31</w:t>
            </w:r>
          </w:p>
        </w:tc>
        <w:tc>
          <w:tcPr>
            <w:tcW w:type="dxa" w:w="1081"/>
            <w:shd w:fill="F8F8F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10.8</w:t>
            </w:r>
          </w:p>
        </w:tc>
      </w:tr>
    </w:tbl>
    <w:p/>
    <w:p>
      <w:pPr>
        <w:spacing w:before="120" w:after="120" w:line="480" w:lineRule="auto"/>
        <w:ind w:firstLine="560"/>
        <w:jc w:val="both"/>
      </w:pPr>
      <w:r>
        <w:rPr>
          <w:rFonts w:ascii="仿宋" w:hAnsi="仿宋" w:eastAsia="仿宋"/>
          <w:b w:val="0"/>
          <w:color w:val="000000"/>
          <w:sz w:val="28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400" w:after="200"/>
      <w:jc w:val="center"/>
      <w:outlineLvl w:val="0"/>
      <w:outlineLvl w:val="0"/>
    </w:pPr>
    <w:rPr>
      <w:rFonts w:asciiTheme="majorHAnsi" w:eastAsiaTheme="majorEastAsia" w:hAnsiTheme="majorHAnsi" w:cstheme="majorBidi" w:ascii="黑体" w:hAnsi="黑体" w:eastAsia="黑体"/>
      <w:b/>
      <w:bCs/>
      <w:i w:val="0"/>
      <w:color w:val="FF0000"/>
      <w:sz w:val="6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300" w:after="160"/>
      <w:jc w:val="left"/>
      <w:outlineLvl w:val="1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8000"/>
      <w:sz w:val="4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120"/>
      <w:jc w:val="left"/>
      <w:outlineLvl w:val="2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320" w:after="120"/>
      <w:jc w:val="left"/>
      <w:outlineLvl w:val="3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iCs/>
      <w:color w:val="000000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360" w:lineRule="auto" w:before="0"/>
      <w:contextualSpacing/>
      <w:jc w:val="center"/>
    </w:pPr>
    <w:rPr>
      <w:rFonts w:asciiTheme="majorHAnsi" w:eastAsiaTheme="majorEastAsia" w:hAnsiTheme="majorHAnsi" w:cstheme="majorBidi" w:ascii="微软雅黑" w:hAnsi="微软雅黑" w:eastAsia="微软雅黑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ormal">
    <w:name w:val="CustomNormal"/>
    <w:basedOn w:val="Normal"/>
    <w:pPr>
      <w:spacing w:before="120" w:after="120" w:line="480" w:lineRule="auto"/>
      <w:ind w:firstLine="560"/>
      <w:jc w:val="both"/>
    </w:pPr>
    <w:rPr>
      <w:rFonts w:ascii="仿宋" w:hAnsi="仿宋" w:eastAsia="仿宋"/>
      <w:b w:val="0"/>
      <w:color w:val="000000"/>
      <w:sz w:val="28"/>
    </w:rPr>
  </w:style>
  <w:style w:type="paragraph" w:customStyle="1" w:styleId="CustomQuote">
    <w:name w:val="CustomQuote"/>
    <w:basedOn w:val="Normal"/>
    <w:pPr>
      <w:spacing w:before="120" w:after="120"/>
      <w:ind w:left="420" w:right="420"/>
      <w:jc w:val="both"/>
    </w:pPr>
    <w:rPr>
      <w:rFonts w:ascii="楷体" w:hAnsi="楷体" w:eastAsia="楷体"/>
      <w:i/>
      <w:color w:val="666666"/>
      <w:sz w:val="22"/>
    </w:rPr>
  </w:style>
  <w:style w:type="paragraph" w:customStyle="1" w:styleId="CustomList_item">
    <w:name w:val="CustomList_item"/>
    <w:basedOn w:val="Normal"/>
    <w:pPr>
      <w:spacing w:before="0" w:after="0"/>
      <w:ind w:left="420"/>
      <w:jc w:val="left"/>
    </w:pPr>
    <w:rPr>
      <w:rFonts w:ascii="微软雅黑" w:hAnsi="微软雅黑" w:eastAsia="微软雅黑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