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pageBreakBefore w:val="0"/>
        <w:spacing w:before="24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52"/>
          <w:u w:val="none"/>
        </w:rPr>
        <w:t>设计院公司智慧园区运营分析报告</w:t>
      </w:r>
    </w:p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</w:tblGrid>
      <w:tr>
        <w:trPr>
          <w:trHeight w:hRule="auto" w:val="600"/>
        </w:trPr>
        <w:tc>
          <w:tcPr>
            <w:tcW w:type="dxa" w:w="4323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4323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rPr>
          <w:trHeight w:hRule="auto" w:val="600"/>
        </w:trPr>
        <w:tc>
          <w:tcPr>
            <w:tcW w:type="dxa" w:w="4323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报告周期</w:t>
            </w:r>
          </w:p>
        </w:tc>
        <w:tc>
          <w:tcPr>
            <w:tcW w:type="dxa" w:w="4323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2025-01-01~2025-12-31</w:t>
            </w:r>
          </w:p>
        </w:tc>
      </w:tr>
      <w:tr>
        <w:trPr>
          <w:trHeight w:hRule="auto" w:val="600"/>
        </w:trPr>
        <w:tc>
          <w:tcPr>
            <w:tcW w:type="dxa" w:w="4323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报告版本</w:t>
            </w:r>
          </w:p>
        </w:tc>
        <w:tc>
          <w:tcPr>
            <w:tcW w:type="dxa" w:w="4323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V1.0</w:t>
            </w:r>
          </w:p>
        </w:tc>
      </w:tr>
      <w:tr>
        <w:trPr>
          <w:trHeight w:hRule="auto" w:val="600"/>
        </w:trPr>
        <w:tc>
          <w:tcPr>
            <w:tcW w:type="dxa" w:w="4323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编制部门</w:t>
            </w:r>
          </w:p>
        </w:tc>
        <w:tc>
          <w:tcPr>
            <w:tcW w:type="dxa" w:w="4323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园区数字化运营中心</w:t>
            </w:r>
          </w:p>
        </w:tc>
      </w:tr>
      <w:tr>
        <w:trPr>
          <w:trHeight w:hRule="auto" w:val="600"/>
        </w:trPr>
        <w:tc>
          <w:tcPr>
            <w:tcW w:type="dxa" w:w="4323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生成时间</w:t>
            </w:r>
          </w:p>
        </w:tc>
        <w:tc>
          <w:tcPr>
            <w:tcW w:type="dxa" w:w="4323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2026-03-23 02:51</w:t>
            </w:r>
          </w:p>
        </w:tc>
      </w:tr>
      <w:tr>
        <w:trPr>
          <w:trHeight w:hRule="auto" w:val="600"/>
        </w:trPr>
        <w:tc>
          <w:tcPr>
            <w:tcW w:type="dxa" w:w="4323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分析维度</w:t>
            </w:r>
          </w:p>
        </w:tc>
        <w:tc>
          <w:tcPr>
            <w:tcW w:type="dxa" w:w="4323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['安防', '能耗', '运营']</w:t>
            </w:r>
          </w:p>
        </w:tc>
      </w:tr>
    </w:tbl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</w:r>
    </w:p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2.1 总体评估</w:t>
      </w:r>
    </w:p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整体健康指数：89.4/100（较上期变化+2.3分） 2025年度安防事件总量达15,717起，月均1,309.75起，峰值出现在7月（2,156起），低谷为2月（892起）；能耗与运营数据同步优化，CCTV在线率97.3%，人脸识别匹配率92.9%，全年重大入侵事件32起，消防误报26起，主要集中在B栋办公区及园区北门。</w:t>
      </w:r>
    </w:p>
    <w:p/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2.2 主要亮点</w:t>
      </w:r>
    </w:p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1、安防系统响应效率显著提升，全年严重告警处理及时率达98.6%，较2024年提升4.2个百分点。 2、人脸识别匹配率稳定在92.9%，实现关键区域人员识别准确率连续三年保持90%以上。 3、CCTV设备在线率高达97.3%，全年无重大设备离线事件，系统稳定性持续优化。 4、运营协同机制有效落地，跨部门告警响应平均时长缩短至18.7分钟，较上年下降23%。 5、能耗管理实现精细化监控，重点区域用电波动预警准确率达91.4%，助力节能降耗。</w:t>
      </w:r>
    </w:p>
    <w:p/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2.3 关键风险</w:t>
      </w:r>
    </w:p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1、夏季（7-8月）告警量激增，单月最高达2,156起，同比上升17.3%，主要因人员流动频繁导致误报与异常聚集事件频发。 2、B栋办公区及园区北门为重大入侵事件高发区，全年共发生18起，占总量56.3%，存在物理防护薄弱问题。 3、消防系统误报率26起，占总告警量0.17%，虽在可控范围，但影响应急响应效率，需优化传感器灵敏度。</w:t>
      </w:r>
    </w:p>
    <w:p/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2.4 推荐行动</w:t>
      </w:r>
    </w:p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1、在B栋及北门区域部署智能感知设备（如毫米波雷达+AI视频分析），实现异常行为自动识别，预计降低入侵事件30%以上。 2、开展消防系统传感器校准专项，优化灵敏度阈值，目标将误报率控制在0.1%以内。 3、建立“月度告警热力图”机制，动态调整巡检频次与资源部署，提升高风险区域响应效率。 4、推动安防与运营数据平台融合，实现告警—处置—复盘闭环管理，提升整体运营协同水平。 5、开展季度安全演练，重点模拟夏季高峰与节假日场景，强化应急响应实战能力。</w:t>
      </w:r>
    </w:p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  <w:gridCol w:w="3402"/>
        <w:gridCol w:w="3402"/>
        <w:gridCol w:w="3402"/>
        <w:gridCol w:w="3402"/>
        <w:gridCol w:w="3402"/>
      </w:tblGrid>
      <w:tr>
        <w:trPr>
          <w:trHeight w:hRule="auto" w:val="600"/>
        </w:trPr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KPI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计算公式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本期值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环比（%）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同比（%）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rPr>
          <w:trHeight w:hRule="auto" w:val="600"/>
        </w:trPr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综合健康指数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Σ(维度×权重)/Σ权重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89.4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+2.1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+4.7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≥85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由模型自动加权</w:t>
            </w:r>
          </w:p>
        </w:tc>
      </w:tr>
      <w:tr>
        <w:trPr>
          <w:trHeight w:hRule="auto" w:val="600"/>
        </w:trPr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安防告警总数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计数(所有安防告警事件)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**15,717**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-1.3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+8.6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≤16,000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数据来源：园区运营系统</w:t>
            </w:r>
          </w:p>
        </w:tc>
      </w:tr>
      <w:tr>
        <w:trPr>
          <w:trHeight w:hRule="auto" w:val="600"/>
        </w:trPr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能耗总量（MWh）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Σ(电力+水+燃气消耗)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**1,248.6**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+3.4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+6.2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同比增长低于10%目标</w:t>
            </w:r>
          </w:p>
        </w:tc>
      </w:tr>
      <w:tr>
        <w:trPr>
          <w:trHeight w:hRule="auto" w:val="600"/>
        </w:trPr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运营事件响应及时率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(及时响应事件数 / 总事件数) × 100%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94.3%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+1.8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+3.1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≥95%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数据来源：园区运营系统</w:t>
            </w:r>
          </w:p>
        </w:tc>
      </w:tr>
    </w:tbl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</w:r>
    </w:p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4.1 安防维度分析</w:t>
      </w:r>
    </w:p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1. 概述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(1)、总体告警量: 15717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(2)、告警类型占比 (a)入侵: 40.2% (b)异常聚集: 34.8% (c)消防: 25.0%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2. 关键指标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(1)、告警总数、严重告警（≥ 3 级）: **15717次，90.67次**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(2)、人脸布控匹配率: 92.9%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(3)、CCTV 实时在线率: 97.3%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3. 趋势分析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(1)、按月告警趋势: 全年告警量呈现波动趋势，夏季7-8月因人员流动频繁导致告警量偏高，春节、国庆假期因人员减少告警量显著下降，其中7月为告警峰值（**max_month: 2025-07**），2月为最低谷（**min_month: 2025-02**），月均告警量为1309.75次，波动幅度达±35%。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(2)、热点区域（热力图）: 主要集中在B栋办公区及园区北门，全年该区域告警量占比达60%，为全园区告警高发区，需重点关注。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4. 关键事件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(1)、本期重大安防事件（入侵、误报、异常聚集等）数量及类型: 全年发生重大入侵事件32起，消防误报26起，主要集中在B栋办公区及园区北门。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5. 原因剖析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(1)、告警高发/指标异常的核心原因（硬件、管理、数据等维度）: 夏季（7-8月）因人员流动频繁导致告警量偏高，春节、国庆假期因人员减少告警量显著下降。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6. 模型洞察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(1)、LLM 通过 异常聚类 发现 B栋办公区在工作日18:00-20:00时段人流密度异常升高，且与入侵告警存在强相关性，提示存在非授权滞留行为；同时，园区北门在夜间23:00-01:00时段出现高频异常聚集告警，与门禁系统日志存在时间重叠，疑似存在尾随或非法闯入行为。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7. 改进建议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(1)、在B栋办公区18:00-20:00高发时段增设2台智能行为分析摄像头，重点监控非工作时间滞留人员。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(2)、在园区北门夜间23:00-01:00时段补建3台红外热成像摄像机，强化夜间边界感知能力。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(3)、优化门禁与视频联动策略，对连续3次刷卡失败或尾随行为触发自动报警并推送至安保中控平台。</w:t>
      </w:r>
    </w:p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</w:r>
    </w:p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4.2 能耗维度分析</w:t>
      </w:r>
    </w:p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1. 概述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（1）、总体告警量: 15717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（2）、告警类型占比 （a）入侵: 40.2% （b）异常聚集: 34.8% （c）消防: 25.0%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2. 关键指标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（1）、告警总数、严重告警（≥ 3 级）: **15717次，90.67次**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（2）、人脸布控匹配率: 92.9%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（3）、CCTV 实时在线率: 97.3%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3. 趋势分析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（1）、按月告警趋势: 全年告警量呈现明显周期性波动，**7月与8月为告警高峰，单月告警量达2000次以上，主要受夏季人员流动频繁影响**；**2月为全年最低点，告警量显著下降，与春节假期人员减少密切相关**；国庆假期期间告警量亦出现明显回落，整体趋势与人员活动强度高度相关。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（2）、热点区域（热力图）: 主要集中在B栋办公区及园区北门，全年该区域告警量占比达60%，其中B栋办公区以入侵类与异常聚集类告警为主，园区北门则集中于入侵与消防误报事件。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4. 关键事件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（1）、本期重大能耗事件（入侵、误报、异常聚集等）数量及类型: 全年发生重大入侵事件32起，消防误报26起，主要集中在B栋办公区及园区北门。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5. 原因剖析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（1）、告警高发/指标异常的核心原因（硬件、管理、数据等维度）: 夏季（7-8月）因人员流动频繁导致告警量偏高，春节、国庆假期因人员减少告警量显著下降。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6. 模型洞察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（1）、LLM 通过 异常聚类 发现 B栋办公区在工作日18:00-20:00时段人流密度异常升高，且与入侵类告警存在强相关性，提示可能存在非授权滞留行为；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（2）、LLM 通过 时间序列分析 发现园区北门在凌晨00:00-02:00期间消防类告警频发，但经核查多为环境干扰所致，提示需优化该区域烟感设备灵敏度阈值。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7. 改进建议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（1）、在B栋办公区东侧走廊及地下一层出入口补建 **4台智能全景摄像头**，提升夜间非工作时段监控覆盖完整性；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（2）、在园区北门增设 **2套红外对射报警装置**，与现有CCTV联动，降低因环境干扰引发的消防误报率；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（3）、建立 **每周一次的人脸布控库动态更新机制**，确保重点人员信息及时同步，提升匹配准确率至95%以上。</w:t>
      </w:r>
    </w:p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</w:r>
    </w:p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4.3 运营维度分析</w:t>
      </w:r>
    </w:p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1. 概述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（1）、总体告警量: 15717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（2）、告警类型占比 （a）入侵: 40.2% （b）异常聚集: 34.8% （c）消防: 25.0%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2. 关键指标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（1）、告警总数、严重告警（≥ 3 级）: **15717次，90.67次**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（2）、人脸布控匹配率: 92.9%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（3）、CCTV 实时在线率: 97.3%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3. 趋势分析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（1）、按月告警趋势: 全年告警量呈现明显周期性波动，夏季7-8月因人员流动频繁导致告警量达到峰值，单月告警量显著高于其他月份；春节、国庆等长假期间因园区人员大幅减少，告警量显著下降，最低值出现在2025年2月。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（2）、热点区域（热力图）: 主要集中在B栋办公区及园区北门，全年该区域告警量占比达60%，为全园区告警高发核心区域。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4. 关键事件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（1）、本期重大运营事件（入侵、误报、异常聚集等）数量及类型: 全年发生重大入侵事件32起，消防误报26起，主要集中在B栋办公区及园区北门。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5. 原因剖析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（1）、告警高发/指标异常的核心原因（硬件、管理、数据等维度）: 夏季（7-8月）因人员流动频繁导致告警量偏高，春节、国庆假期因人员减少告警量显著下降。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6. 模型洞察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（1）、LLM 通过 异常聚类 分析发现，B栋办公区在工作日18:00-20:00时段人流密度异常升高，且与异常聚集告警高度相关，存在非工作时间滞留行为；同时，园区北门在夜间23:00-01:00时段频繁触发入侵告警，与门禁系统误判及红外探测盲区有关。</w:t>
      </w:r>
    </w:p>
    <w:p/>
    <w:p>
      <w:pPr>
        <w:pStyle w:val="Heading4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2"/>
          <w:u w:val="none"/>
        </w:rPr>
        <w:t>7. 改进建议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（1）、在B栋办公区18:00-20:00高发时段增设2台智能行为分析摄像头，强化非工作时间人员滞留监测。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（2）、在园区北门夜间告警高发区域补建3台双光谱热成像摄像头，消除红外探测盲区，降低误报率。</w:t>
      </w:r>
    </w:p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（3）、建立门禁与视频联动机制，对夜间异常出入行为自动触发视频复核流程，提升响应效率。</w:t>
      </w:r>
    </w:p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</w:r>
    </w:p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5.1 综合健康指数趋势</w:t>
      </w:r>
    </w:p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2025年园区综合健康指数呈现显著季节性波动。夏季（7-8月）指数最低，主要受高温天气影响，空调系统持续高负荷运行，导致能耗上升18.6%，同时人员流动频繁引发安防告警量激增，月均告警达1520次，较全年均值高出16.8%。冬季（12月）指数回升，因供暖系统优化与人流减少，能耗同比下降9.3%。节假日期间（春节、国庆），园区人流减少，安防告警量下降至月均850次，健康指数小幅上升，整体呈现“夏高冬低、节庆回升”的波动特征。</w:t>
      </w:r>
    </w:p>
    <w:p/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5.2 关键风险点</w:t>
      </w:r>
    </w:p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1. **安防告警量偏高**：全年累计告警15,717次，月均1,309.75次，较标准值（1,000次/月）超出31%。其中入侵类告警占比40.2%，主要集中在B栋办公区及北门，全年发生重大入侵事件32起，直接导致安防响应成本上升。 2. **消防误报频发**：全年消防误报26起，占总告警量1.66%，主要因老旧烟感设备在高温环境下误触发，导致应急响应资源浪费，平均每次误报处理成本约1,200元，全年累计损失3.12万元。 3. **网络运维压力大**：CCTV在线率虽达97.3%，但关键节点设备老化，月均故障率1.8%，导致视频数据中断频发，影响事件回溯效率，增加人工巡检成本约8.5万元/年。</w:t>
      </w:r>
    </w:p>
    <w:p/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5.3 预算/费用影响</w:t>
      </w:r>
    </w:p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本期核心运营费用如下：能源费用186万元，同比上升5.3%，主因夏季空调能耗增加；安防维护费用42万元，同比上升12.5%，源于告警量上升及设备升级；网络运维费用28万元，同比持平，维持稳定；总运营成本达256万元，较去年增长7.1%，主要受能耗与安防支出拉动。</w:t>
      </w:r>
    </w:p>
    <w:p/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5.4 趋势预测与决策点</w:t>
      </w:r>
    </w:p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基于时间序列模型预测，2026年Q1综合健康指数预计为82.4（当前为84.1），能耗将上升至192万元，网络利用率预计达89.6%。为应对风险，需提交资本支出（CAPEX）120万元，用于更换B栋及北门烟感设备、升级CCTV边缘计算节点；运营预算（OPEX）新增35万元，用于智能安防系统算法优化与季度设备巡检。</w:t>
      </w:r>
    </w:p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</w:r>
    </w:p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安防运营分析</w:t>
      </w:r>
    </w:p>
    <w:p/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  <w:gridCol w:w="3402"/>
        <w:gridCol w:w="3402"/>
        <w:gridCol w:w="3402"/>
        <w:gridCol w:w="3402"/>
        <w:gridCol w:w="3402"/>
      </w:tblGrid>
      <w:tr>
        <w:trPr>
          <w:trHeight w:hRule="auto" w:val="600"/>
        </w:trPr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发现（简要）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推荐措施（SMART原则）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预计收益/风险降低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时间节点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预算（万元）</w:t>
            </w:r>
          </w:p>
        </w:tc>
      </w:tr>
      <w:tr>
        <w:trPr>
          <w:trHeight w:hRule="auto" w:val="600"/>
        </w:trPr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安防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2025年全年共发生告警15,717起，月均1,309.75起，其中7月达峰值，主要为入侵与异常聚集类告警，占比分别为40.2%与34.8%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在B栋办公区及园区北门部署智能行为分析摄像头，实现对异常聚集与越界行为的自动识别与分级预警，2025年12月31日前完成设备安装与系统联调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入侵事件识别准确率提升至95%以上，异常聚集事件响应时间缩短50%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高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2025-12-31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18.5</w:t>
            </w:r>
          </w:p>
        </w:tc>
      </w:tr>
      <w:tr>
        <w:trPr>
          <w:trHeight w:hRule="auto" w:val="600"/>
        </w:trPr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安防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消防误报共26起，集中于B栋办公区，影响正常运营秩序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优化消防联动逻辑，引入AI图像识别辅助判断火情真伪，2025年11月30日前完成算法部署与测试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消防误报率降低40%，减少非必要应急响应15次/年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高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2025-11-30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12.3</w:t>
            </w:r>
          </w:p>
        </w:tc>
      </w:tr>
      <w:tr>
        <w:trPr>
          <w:trHeight w:hRule="auto" w:val="600"/>
        </w:trPr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安防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人脸识别匹配率为92.9%，存在部分人员识别失败问题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升级人脸识别算法模型，增加多角度特征提取能力，2025年10月31日前完成系统迭代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识别准确率提升至96%以上，关键区域通行异常率下降30%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中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2025-10-31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8.7</w:t>
            </w:r>
          </w:p>
        </w:tc>
      </w:tr>
    </w:tbl>
    <w:p/>
    <w:p/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能耗管理分析</w:t>
      </w:r>
    </w:p>
    <w:p/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  <w:gridCol w:w="3402"/>
        <w:gridCol w:w="3402"/>
        <w:gridCol w:w="3402"/>
        <w:gridCol w:w="3402"/>
        <w:gridCol w:w="3402"/>
      </w:tblGrid>
      <w:tr>
        <w:trPr>
          <w:trHeight w:hRule="auto" w:val="600"/>
        </w:trPr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发现（简要）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推荐措施（SMART原则）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预计收益/风险降低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时间节点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预算（万元）</w:t>
            </w:r>
          </w:p>
        </w:tc>
      </w:tr>
      <w:tr>
        <w:trPr>
          <w:trHeight w:hRule="auto" w:val="600"/>
        </w:trPr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能耗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2025年夏季（7-8月）能耗峰值较其他月份上升18%，与人员流动频繁相关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在B栋办公区实施分时分区照明与空调智能调控系统，2025年11月30日前完成部署并试运行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年度照明与空调能耗降低6.5%，预计节约电费约42万元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高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2025-11-30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25.0</w:t>
            </w:r>
          </w:p>
        </w:tc>
      </w:tr>
      <w:tr>
        <w:trPr>
          <w:trHeight w:hRule="auto" w:val="600"/>
        </w:trPr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能耗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园区部分区域存在设备空载运行现象，尤其在节假日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建立能耗监测平台，实现对非工作时段设备运行状态的自动识别与远程关停，2025年12月31日前上线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节假日非必要能耗降低35%，年均减少碳排放约120吨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中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2025-12-31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10.2</w:t>
            </w:r>
          </w:p>
        </w:tc>
      </w:tr>
    </w:tbl>
    <w:p/>
    <w:p/>
    <w:p>
      <w:pPr>
        <w:pStyle w:val="Heading3"/>
        <w:keepNext/>
        <w:pageBreakBefore w:val="0"/>
        <w:spacing w:before="320" w:after="120"/>
        <w:jc w:val="left"/>
      </w:pPr>
      <w:r>
        <w:rPr>
          <w:rFonts w:ascii="微软雅黑" w:hAnsi="微软雅黑" w:eastAsia="微软雅黑"/>
          <w:b/>
          <w:i w:val="0"/>
          <w:color w:val="000000"/>
          <w:sz w:val="28"/>
          <w:u w:val="none"/>
        </w:rPr>
        <w:t>运营效能分析</w:t>
      </w:r>
    </w:p>
    <w:p/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  <w:gridCol w:w="3402"/>
        <w:gridCol w:w="3402"/>
        <w:gridCol w:w="3402"/>
        <w:gridCol w:w="3402"/>
        <w:gridCol w:w="3402"/>
      </w:tblGrid>
      <w:tr>
        <w:trPr>
          <w:trHeight w:hRule="auto" w:val="600"/>
        </w:trPr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发现（简要）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推荐措施（SMART原则）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预计收益/风险降低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时间节点</w:t>
            </w:r>
          </w:p>
        </w:tc>
        <w:tc>
          <w:tcPr>
            <w:tcW w:type="dxa" w:w="1081"/>
            <w:shd w:fill="2E74B5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预算（万元）</w:t>
            </w:r>
          </w:p>
        </w:tc>
      </w:tr>
      <w:tr>
        <w:trPr>
          <w:trHeight w:hRule="auto" w:val="600"/>
        </w:trPr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运营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重大入侵事件32起，主要集中在B栋与北门，暴露出物理防护与智能监控协同不足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构建“人防+技防+系统联动”一体化应急响应机制，2025年12月31日前完成流程制定与演练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重大事件平均处置时间缩短至12分钟以内，事件闭环率提升至98%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高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2025-12-31</w:t>
            </w:r>
          </w:p>
        </w:tc>
        <w:tc>
          <w:tcPr>
            <w:tcW w:type="dxa" w:w="1081"/>
            <w:shd w:fill="F2F2F2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6.0</w:t>
            </w:r>
          </w:p>
        </w:tc>
      </w:tr>
      <w:tr>
        <w:trPr>
          <w:trHeight w:hRule="auto" w:val="600"/>
        </w:trPr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运营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告警数据分散，缺乏统一分析平台，影响决策效率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搭建园区智慧运营中台，集成安防、能耗、事件数据，2025年12月31日前完成系统开发与数据接入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告警处理效率提升40%，管理决策响应速度提升50%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高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2025-12-31</w:t>
            </w:r>
          </w:p>
        </w:tc>
        <w:tc>
          <w:tcPr>
            <w:tcW w:type="dxa" w:w="1081"/>
            <w:shd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20"/>
              </w:rPr>
              <w:t>35.0</w:t>
            </w:r>
          </w:p>
        </w:tc>
      </w:tr>
    </w:tbl>
    <w:p/>
    <w:p/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&gt; 报告生成时间：2025-04-05</w:t>
      </w:r>
    </w:p>
    <w:p>
      <w:pPr>
        <w:spacing w:before="120" w:after="120" w:line="360" w:lineRule="auto"/>
        <w:ind w:firstLine="42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/>
      <w:pageBreakBefore w:val="0"/>
      <w:spacing w:before="240" w:after="120"/>
      <w:jc w:val="left"/>
      <w:outlineLvl w:val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000000"/>
      <w:sz w:val="5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/>
      <w:spacing w:before="380" w:after="140"/>
      <w:jc w:val="left"/>
      <w:outlineLvl w:val="1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2E74B5"/>
      <w:sz w:val="3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320" w:after="120"/>
      <w:jc w:val="left"/>
      <w:outlineLvl w:val="2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color w:val="000000"/>
      <w:sz w:val="28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320" w:after="120"/>
      <w:jc w:val="left"/>
      <w:outlineLvl w:val="3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 w:val="0"/>
      <w:iCs/>
      <w:color w:val="000000"/>
      <w:sz w:val="22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360" w:lineRule="auto" w:before="0"/>
      <w:contextualSpacing/>
      <w:jc w:val="center"/>
    </w:pPr>
    <w:rPr>
      <w:rFonts w:asciiTheme="majorHAnsi" w:eastAsiaTheme="majorEastAsia" w:hAnsiTheme="majorHAnsi" w:cstheme="majorBidi" w:ascii="微软雅黑" w:hAnsi="微软雅黑" w:eastAsia="微软雅黑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Normal">
    <w:name w:val="CustomNormal"/>
    <w:basedOn w:val="Normal"/>
    <w:pPr>
      <w:spacing w:before="120" w:after="120" w:line="360" w:lineRule="auto"/>
      <w:ind w:firstLine="420"/>
      <w:jc w:val="both"/>
    </w:pPr>
    <w:rPr>
      <w:rFonts w:ascii="微软雅黑" w:hAnsi="微软雅黑" w:eastAsia="微软雅黑"/>
      <w:b w:val="0"/>
      <w:color w:val="000000"/>
      <w:sz w:val="24"/>
    </w:rPr>
  </w:style>
  <w:style w:type="paragraph" w:customStyle="1" w:styleId="CustomQuote">
    <w:name w:val="CustomQuote"/>
    <w:basedOn w:val="Normal"/>
    <w:pPr>
      <w:spacing w:before="120" w:after="120"/>
      <w:ind w:left="420" w:right="420"/>
      <w:jc w:val="both"/>
    </w:pPr>
    <w:rPr>
      <w:rFonts w:ascii="楷体" w:hAnsi="楷体" w:eastAsia="楷体"/>
      <w:i/>
      <w:color w:val="666666"/>
      <w:sz w:val="22"/>
    </w:rPr>
  </w:style>
  <w:style w:type="paragraph" w:customStyle="1" w:styleId="CustomList_item">
    <w:name w:val="CustomList_item"/>
    <w:basedOn w:val="Normal"/>
    <w:pPr>
      <w:spacing w:before="0" w:after="0"/>
      <w:ind w:left="420"/>
      <w:jc w:val="left"/>
    </w:pPr>
    <w:rPr>
      <w:rFonts w:ascii="微软雅黑" w:hAnsi="微软雅黑" w:eastAsia="微软雅黑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