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3456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判断题</w:t>
      </w:r>
    </w:p>
    <w:p w14:paraId="6DA98CD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6645C0B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request方法回调函数的返回值类型中的cookies字段表示服务器返回的cookies。（正确(True)/错误(False)）</w:t>
      </w:r>
    </w:p>
    <w:p w14:paraId="1364E1C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0C1E99B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在应用的onSaveState方法中，开发者应该保存数据到WantParams中，以确保应用数据可以在下次启动时恢复。（正确(True)/错误(False)）</w:t>
      </w:r>
    </w:p>
    <w:p w14:paraId="1F60167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61C38B9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ArrayBuffer在创建时必须明确指定长度，创建后长度不可变更。（正确(True)/错误(False)）</w:t>
      </w:r>
    </w:p>
    <w:p w14:paraId="2AA09E6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1E1C453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在DevEco Studio编辑器中，单击定义处的类时，若该类有多处引用，此时代码跳转功能失效。（正确(True)/错误(False)）</w:t>
      </w:r>
    </w:p>
    <w:p w14:paraId="7002B46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5DDF845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应用页面的底部页签数量过多会增加复杂度并降低可点击区域，会造成基础功能上的使用困难，同时增加用户的认知复杂度。因此页面设计上不允许使用底部页签数量超过4个。（正确(True)/错误(False)）</w:t>
      </w:r>
    </w:p>
    <w:p w14:paraId="0E9F109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21FFD3E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触摸事件指当手指或手写笔在组件上触碰时，会触发不同动作所对应的事件响应，包括按下(Down)、滑动(Move)、抬起(Up)事件，触摸事件不支持同时多指触发。（正确(True)/错误(False)）</w:t>
      </w:r>
    </w:p>
    <w:p w14:paraId="172C532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35C8D53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7.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使用backgroundImage设置组件的背景图片时，支持网络图片资源地址和本地图片资源地址，支持任意类型的图片。（正确(True)/错误(False)）</w:t>
      </w:r>
    </w:p>
    <w:p w14:paraId="2BC50F9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557B46B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ArkTS 以关键字let开头的声明引入变量，该变量的值在程序执行期间不能改变。（正确(True)/错误(False)）</w:t>
      </w:r>
    </w:p>
    <w:p w14:paraId="6FF02D3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79D6BCE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9.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ArkTS在兼容模式下允许编译违反语法规则的代码。（正确(True)/错误(False)）</w:t>
      </w:r>
    </w:p>
    <w:p w14:paraId="1750434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36A059D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10.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元服务通常需要用户显式安装后才能使用。（正确(True)/错误(False)）</w:t>
      </w:r>
    </w:p>
    <w:p w14:paraId="3F0F68D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4A53966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单选题</w:t>
      </w:r>
    </w:p>
    <w:p w14:paraId="2AC9516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62B606A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11.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在一个模块文件中导出函数 add 的正确的写法是（）</w:t>
      </w:r>
    </w:p>
    <w:p w14:paraId="7586A15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export function add(a: number, b: number) { return a + b; }</w:t>
      </w:r>
    </w:p>
    <w:p w14:paraId="2AC3AE6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exports.add = function(a: number, b: number) { return a + b; }</w:t>
      </w:r>
    </w:p>
    <w:p w14:paraId="0B2A290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export add = function(a: number, b: number): number { return a + b; }</w:t>
      </w:r>
    </w:p>
    <w:p w14:paraId="5034F91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module.exports = function add(a: number, b: number) { return a + b; }</w:t>
      </w:r>
    </w:p>
    <w:p w14:paraId="70CAC4E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0589D35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12.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 ArkTS 中，声明一个常量PI，其值为 3.14，正确的语法是（）</w:t>
      </w:r>
    </w:p>
    <w:p w14:paraId="789C762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let PI=3.14;</w:t>
      </w:r>
    </w:p>
    <w:p w14:paraId="56E1097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const PI =3.14;</w:t>
      </w:r>
    </w:p>
    <w:p w14:paraId="5751882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final PI =3.14;</w:t>
      </w:r>
    </w:p>
    <w:p w14:paraId="5E844EF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static const PI = 3.14;</w:t>
      </w:r>
    </w:p>
    <w:p w14:paraId="533410A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76BC2B9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13.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下面关于应用入口页面的定义代码写法正确的是（）</w:t>
      </w:r>
    </w:p>
    <w:p w14:paraId="451F64F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</w:t>
      </w:r>
    </w:p>
    <w:p w14:paraId="660E7EA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@Entry</w:t>
      </w:r>
    </w:p>
    <w:p w14:paraId="3773ED3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@Component</w:t>
      </w:r>
    </w:p>
    <w:p w14:paraId="4FE1407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MyComponent {</w:t>
      </w:r>
    </w:p>
    <w:p w14:paraId="287A758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1B1BFF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</w:t>
      </w:r>
    </w:p>
    <w:p w14:paraId="0D10E3B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@Component</w:t>
      </w:r>
    </w:p>
    <w:p w14:paraId="2BF2C03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MyComponent {</w:t>
      </w:r>
    </w:p>
    <w:p w14:paraId="26FB998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DC9012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</w:t>
      </w:r>
    </w:p>
    <w:p w14:paraId="160F9A5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@Entry</w:t>
      </w:r>
    </w:p>
    <w:p w14:paraId="440C04E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@Component</w:t>
      </w:r>
    </w:p>
    <w:p w14:paraId="765C862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MyComponent {</w:t>
      </w:r>
    </w:p>
    <w:p w14:paraId="453C0A0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AB8D09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</w:t>
      </w:r>
    </w:p>
    <w:p w14:paraId="0612751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GEntry</w:t>
      </w:r>
    </w:p>
    <w:p w14:paraId="7F2FC91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46F9442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14.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如果一个属性方法在animation属性前调用，改变这个属性的值不能使animation属性的动画效果生效，这个属性称为不可动画属性。下列哪个装饰器可以修改组件的不可动画属性，从而实现动画效果?（）</w:t>
      </w:r>
    </w:p>
    <w:p w14:paraId="2F5E618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@Require</w:t>
      </w:r>
    </w:p>
    <w:p w14:paraId="5C9D537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@AnimatableExtend</w:t>
      </w:r>
    </w:p>
    <w:p w14:paraId="1CA05BE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@State</w:t>
      </w:r>
    </w:p>
    <w:p w14:paraId="2ED8F69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@Styles</w:t>
      </w:r>
    </w:p>
    <w:p w14:paraId="384BC6E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6388107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15.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在一个使用TaskPool的应用程序中，你发现当任务数量激增时，系统性能没有明显下降。这最可能是因为:（）</w:t>
      </w:r>
    </w:p>
    <w:p w14:paraId="4618D4E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任务队列的长度没有上限</w:t>
      </w:r>
    </w:p>
    <w:p w14:paraId="2C1225F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所有任务都是I/O密集型任务</w:t>
      </w:r>
    </w:p>
    <w:p w14:paraId="314C848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系统自动增加了工作线程的数量</w:t>
      </w:r>
    </w:p>
    <w:p w14:paraId="6320057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任务的优先级设置为最高</w:t>
      </w:r>
    </w:p>
    <w:p w14:paraId="354947A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242A280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16.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如果希望在其他文件中引用当前文件中定义的自定义组件，需要在该自定义组件前添加哪个关键字（）</w:t>
      </w:r>
    </w:p>
    <w:p w14:paraId="6C435CC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export</w:t>
      </w:r>
    </w:p>
    <w:p w14:paraId="5404C16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class</w:t>
      </w:r>
    </w:p>
    <w:p w14:paraId="57C7DFC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@Entry</w:t>
      </w:r>
    </w:p>
    <w:p w14:paraId="3380BC0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import</w:t>
      </w:r>
    </w:p>
    <w:p w14:paraId="03DD23F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4C997CB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17.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request和requestInStream使用区别在于（）</w:t>
      </w:r>
    </w:p>
    <w:p w14:paraId="3282872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request接口支持数据大小为5M以内的数据接收，如果响应大于4M用requestinstream。</w:t>
      </w:r>
    </w:p>
    <w:p w14:paraId="41B2ADF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request接口支持数据大小为5M以内的数据接收，如果响应大于10M用requestinstream。</w:t>
      </w:r>
    </w:p>
    <w:p w14:paraId="0EBCE9E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request接口支持数据大小为5M以内的数据接收，如果响应大于3M用requestinstream。</w:t>
      </w:r>
    </w:p>
    <w:p w14:paraId="39BF1A1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request接口支持数据大小为5M以内的数据接收，如果响应大于5M用requestinsteam。</w:t>
      </w:r>
    </w:p>
    <w:p w14:paraId="59A63AE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0F5B168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18.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关于usingProtocol协议类型的值，以下描述正确的是（）</w:t>
      </w:r>
    </w:p>
    <w:p w14:paraId="7DE9B94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协议类型的值可以为null</w:t>
      </w:r>
    </w:p>
    <w:p w14:paraId="30F0600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协议类型默认值由开发人员手动指定</w:t>
      </w:r>
    </w:p>
    <w:p w14:paraId="7063DCB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协议类型默认值由系统自动指定</w:t>
      </w:r>
    </w:p>
    <w:p w14:paraId="4CBDF4B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协议类型的值不能改变</w:t>
      </w:r>
    </w:p>
    <w:p w14:paraId="114289B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41D3ED3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19.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电商购物应用中，首页通常会有入口图标和商品卡片等丰富的商品信息。可以通过对商品卡片增加列数的方式高效适配多端设备尺寸，从而提升大屏设备上界面布局的舒适性、美观性和浏览效率。下列对商品卡片适配的体验比较好的是（）</w:t>
      </w:r>
    </w:p>
    <w:p w14:paraId="37ECAAB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当首页只有两张商品卡片时，在宽屏设备上对卡片进行自适应形变+挪移布局，将商品卡片下方的福利专区挪移到卡片右侧显示</w:t>
      </w:r>
    </w:p>
    <w:p w14:paraId="625FF04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当首页只有两张卡片时，在宽屏设备上对卡片自适应形变+延伸布局，既放大卡片显示，又能露出第二张卡片</w:t>
      </w:r>
    </w:p>
    <w:p w14:paraId="4524468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当首页有多张商品卡片时，在宽屏设备上采用延伸布局以露出更多卡片</w:t>
      </w:r>
    </w:p>
    <w:p w14:paraId="68EA209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当首页只有一张商品卡片时，在宽屏设备上对卡片自适应形变，以放大卡片的显示</w:t>
      </w:r>
    </w:p>
    <w:p w14:paraId="785993F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2368D6C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以下关于触屏事件的描述，错误的是（）</w:t>
      </w:r>
    </w:p>
    <w:p w14:paraId="5A90ABB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当发生点击事件时，会触发onClick回调函数，其中event参数提供点击事件相对于窗口或组件的坐标位置，以及发生点击的事件源</w:t>
      </w:r>
    </w:p>
    <w:p w14:paraId="34F5CEB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触屏事件指当手指/手写笔在组件上按下、滑动、抬起时触发的回调事件</w:t>
      </w:r>
    </w:p>
    <w:p w14:paraId="2924765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触摸事件不可多指触发，若多指同时触碰，会随机取其中一个手指进行触发</w:t>
      </w:r>
    </w:p>
    <w:p w14:paraId="06DAEA4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点击事件是指通过手指或手写笔做出一次完整的按下和抬起动作。当发生点击事件时，会触发onClick回调函数。</w:t>
      </w:r>
    </w:p>
    <w:p w14:paraId="3FF3C60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5B7E5B6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21.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以下代码中，Row组件隐藏但参与占位的是（）</w:t>
      </w:r>
    </w:p>
    <w:p w14:paraId="297182D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</w:t>
      </w:r>
    </w:p>
    <w:p w14:paraId="35A7C18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Row()</w:t>
      </w:r>
    </w:p>
    <w:p w14:paraId="7B076DB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.visibility(Visibility.Hidden)</w:t>
      </w:r>
    </w:p>
    <w:p w14:paraId="60986F4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.width('90%')</w:t>
      </w:r>
    </w:p>
    <w:p w14:paraId="0EEC7BE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.height(88)</w:t>
      </w:r>
    </w:p>
    <w:p w14:paraId="32C5B11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.backgroundColor(0xAFEEEE)</w:t>
      </w:r>
    </w:p>
    <w:p w14:paraId="5E59A5F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</w:t>
      </w:r>
    </w:p>
    <w:p w14:paraId="2B80326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Row()</w:t>
      </w:r>
    </w:p>
    <w:p w14:paraId="205DA57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.width('90%')</w:t>
      </w:r>
    </w:p>
    <w:p w14:paraId="01514B7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.height (80)</w:t>
      </w:r>
    </w:p>
    <w:p w14:paraId="6A2B94E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.backgroundColor (0xAFEEEE)</w:t>
      </w:r>
    </w:p>
    <w:p w14:paraId="70852F6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</w:t>
      </w:r>
    </w:p>
    <w:p w14:paraId="2BE80DE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Row()</w:t>
      </w:r>
    </w:p>
    <w:p w14:paraId="6B88685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.visibility(Visibility.Visible)</w:t>
      </w:r>
    </w:p>
    <w:p w14:paraId="43EDFFC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.width('90%')</w:t>
      </w:r>
    </w:p>
    <w:p w14:paraId="2929244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.height (80)</w:t>
      </w:r>
    </w:p>
    <w:p w14:paraId="31A57C7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.backgroundColor(0xAFEEEE)</w:t>
      </w:r>
    </w:p>
    <w:p w14:paraId="00A38E3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</w:t>
      </w:r>
    </w:p>
    <w:p w14:paraId="7CC3753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Row()</w:t>
      </w:r>
    </w:p>
    <w:p w14:paraId="5A5B642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.visibility(Visibility.None)</w:t>
      </w:r>
    </w:p>
    <w:p w14:paraId="79F46CC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.width('90%')</w:t>
      </w:r>
    </w:p>
    <w:p w14:paraId="624ABE7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.height (80)</w:t>
      </w:r>
    </w:p>
    <w:p w14:paraId="70F33E9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.backgroundColor (0xAFEEEE)</w:t>
      </w:r>
    </w:p>
    <w:p w14:paraId="53D6764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54B6C73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22.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当Row组件设置direction属性为Direction.Ltr时，其子组件如何排列布局?（）</w:t>
      </w:r>
    </w:p>
    <w:p w14:paraId="6718B3A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沿垂直方向从上到下排列</w:t>
      </w:r>
    </w:p>
    <w:p w14:paraId="27BE5F0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沿水平方向从右向左排列</w:t>
      </w:r>
    </w:p>
    <w:p w14:paraId="5E59D98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沿垂直方向从下到上排列</w:t>
      </w:r>
    </w:p>
    <w:p w14:paraId="14D8449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沿水平方向从左向右排列</w:t>
      </w:r>
    </w:p>
    <w:p w14:paraId="6D02492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056DED1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23.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下列关于自定义弹窗组件使用方法的描述错误的是（）</w:t>
      </w:r>
    </w:p>
    <w:p w14:paraId="3DE4D6A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@CustomDialog装饰器用于装饰自定义弹框，此装饰器内进行自定义内容(也就是弹框内容)</w:t>
      </w:r>
    </w:p>
    <w:p w14:paraId="1896C4D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可以自定义弹窗的样式，但是不能自定义弹窗动画</w:t>
      </w:r>
    </w:p>
    <w:p w14:paraId="64B2A0A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可以实现嵌套自定义弹窗</w:t>
      </w:r>
    </w:p>
    <w:p w14:paraId="7B245DA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通过CustomDialogController类显示自定义弹窗</w:t>
      </w:r>
    </w:p>
    <w:p w14:paraId="4BB1E9D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4BFBFBF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24.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关于Web组件，下面描述错误的是:（）</w:t>
      </w:r>
    </w:p>
    <w:p w14:paraId="78DDBF4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使用Web组件访问在线和离线网页都需要添加ohos.permission.INTERNET权限</w:t>
      </w:r>
    </w:p>
    <w:p w14:paraId="00DC27C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Web组件支持onConfirm、onConsole等多种事件，例如网页调用confirm()告警时触发</w:t>
      </w:r>
    </w:p>
    <w:p w14:paraId="79995CB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Web组件支持fileAccess、javaScriptAccess等多种属性的设置，例如javaScriptAccess(true)表示允许执行JavaScript脚本</w:t>
      </w:r>
    </w:p>
    <w:p w14:paraId="3E95676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45D3004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25.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以下说法描述错误的是（）</w:t>
      </w:r>
    </w:p>
    <w:p w14:paraId="1FD9378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TextInput输入框提示文字可以通过placeholderColor和placeholderFont修改颜色和样式</w:t>
      </w:r>
    </w:p>
    <w:p w14:paraId="2D88EB6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资源文件统一存放在entry/src/main/resources路径下，便于统一维护</w:t>
      </w:r>
    </w:p>
    <w:p w14:paraId="35F3B79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文本超长".."显示需要textOverlow配合maxLines同时设置才会生效</w:t>
      </w:r>
    </w:p>
    <w:p w14:paraId="628F512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Button按钮的样式可以通过Button.Type控制，只能设置Capsule和Normal两种</w:t>
      </w:r>
    </w:p>
    <w:p w14:paraId="632A253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2D966C3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26.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下面哪个组件不能包含子组件:（）</w:t>
      </w:r>
    </w:p>
    <w:p w14:paraId="7FB472E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Row</w:t>
      </w:r>
    </w:p>
    <w:p w14:paraId="284D466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LoadingProgress</w:t>
      </w:r>
    </w:p>
    <w:p w14:paraId="0EB3316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Button</w:t>
      </w:r>
    </w:p>
    <w:p w14:paraId="1E9CCF7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Text</w:t>
      </w:r>
    </w:p>
    <w:p w14:paraId="7E899FC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79C44C2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27.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以下哪个生命周期回调适合在UIAbility中执行一次性的启动逻辑?（）</w:t>
      </w:r>
    </w:p>
    <w:p w14:paraId="3DB3E43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onDestroy()</w:t>
      </w:r>
    </w:p>
    <w:p w14:paraId="5B2DB86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onBackground()</w:t>
      </w:r>
    </w:p>
    <w:p w14:paraId="6A63B80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onCreate()</w:t>
      </w:r>
    </w:p>
    <w:p w14:paraId="7F0E2C9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onForeground()</w:t>
      </w:r>
    </w:p>
    <w:p w14:paraId="34FBFB9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385815D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28.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关于容器组件Row和Column，下面说法错误的是:（）</w:t>
      </w:r>
    </w:p>
    <w:p w14:paraId="7F20D51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Column的子组件在主轴方向上的对齐使用justifyContent属性来设置，其参数类型是FlexAlign</w:t>
      </w:r>
    </w:p>
    <w:p w14:paraId="14FBE9F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Column容器的主轴是垂直方向，交叉轴是水平方向；Row容器的主轴是水平方向，交叉轴是垂直方向</w:t>
      </w:r>
    </w:p>
    <w:p w14:paraId="36173EE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主轴和交叉轴始终是相互垂直的，Row和Column主轴的方向不一样</w:t>
      </w:r>
    </w:p>
    <w:p w14:paraId="0386B61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Row的子组件在交叉轴方向上的对齐方式使用alignItems属性来设置，其参数类型为HorizontalAlign</w:t>
      </w:r>
    </w:p>
    <w:p w14:paraId="032EF60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0C2B0E0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29.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UIAbility类拥有自身的上下文信息，该信息为()类的实例（）</w:t>
      </w:r>
    </w:p>
    <w:p w14:paraId="0273076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context</w:t>
      </w:r>
    </w:p>
    <w:p w14:paraId="142AD44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ExtensionContext</w:t>
      </w:r>
    </w:p>
    <w:p w14:paraId="72A8142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BaseContext</w:t>
      </w:r>
    </w:p>
    <w:p w14:paraId="563310C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UIAbility Context</w:t>
      </w:r>
    </w:p>
    <w:p w14:paraId="00E0556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4EB980F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30.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HAR的依赖配置成功后，可以引用HAR的ArkUI组件，下列有关引用HAR包组件代码正确的是（）</w:t>
      </w:r>
    </w:p>
    <w:p w14:paraId="05401A4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在组件内引用ArkUI组件必须使用Row容器组件包裹Row{MainPage}</w:t>
      </w:r>
    </w:p>
    <w:p w14:paraId="454CA62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ArkUI组件的导入方式与ts的导入方式一致，通过import导入HAR导出的ArkUI组件import {MainPage} from 'library';</w:t>
      </w:r>
    </w:p>
    <w:p w14:paraId="1A8CAAE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在组件内引用ArkUI组件可直接使用MainPage()</w:t>
      </w:r>
    </w:p>
    <w:p w14:paraId="50BA439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ArkUI组件的导入方式与ts的导入方式一致，通过import导入HAR导出的ArkUI组件import {MainPage()} from 'library';</w:t>
      </w:r>
    </w:p>
    <w:p w14:paraId="6F0475D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7FFDECD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31.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在HarmonyOS应用开发中，HAR包主要用于封装应用的能力资源和相关配置。以下哪个场景是HAR包的典型使用场景（）</w:t>
      </w:r>
    </w:p>
    <w:p w14:paraId="0999164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在应用开发过程中，用于存储临时的编译产物</w:t>
      </w:r>
    </w:p>
    <w:p w14:paraId="415B6D6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可发布到OHPM中心仓，供其他应用使用</w:t>
      </w:r>
    </w:p>
    <w:p w14:paraId="2366BDA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作为应用安装包，直接分发给用户进行安装</w:t>
      </w:r>
    </w:p>
    <w:p w14:paraId="34D958C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在应用运行时，动态加载以实现功能的扩展或更新</w:t>
      </w:r>
    </w:p>
    <w:p w14:paraId="645617C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4715E9B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32.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希望配置某个UIAbility为指定实例启动模式时，需要在其对应的module.json5文件中设置哪个字段?（）</w:t>
      </w:r>
    </w:p>
    <w:p w14:paraId="69783BF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launchType</w:t>
      </w:r>
    </w:p>
    <w:p w14:paraId="7C8EF54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entities</w:t>
      </w:r>
    </w:p>
    <w:p w14:paraId="3C38D60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launchMode</w:t>
      </w:r>
    </w:p>
    <w:p w14:paraId="248914B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actions</w:t>
      </w:r>
    </w:p>
    <w:p w14:paraId="76D74EC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0F827B1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33.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在应用包结构中，资源和三方库属于（）</w:t>
      </w:r>
    </w:p>
    <w:p w14:paraId="293EBBC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独立的模块</w:t>
      </w:r>
    </w:p>
    <w:p w14:paraId="0133365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Entry模块专属</w:t>
      </w:r>
    </w:p>
    <w:p w14:paraId="2763107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HAP的一部分</w:t>
      </w:r>
    </w:p>
    <w:p w14:paraId="336C3CC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packinfo文件的一部分</w:t>
      </w:r>
    </w:p>
    <w:p w14:paraId="67F73AE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085824F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34.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在context分区加密中，EL5属于以下哪个级别的加密（）</w:t>
      </w:r>
    </w:p>
    <w:p w14:paraId="089AB38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设备级加密区，设备开机后可访问的数据区。</w:t>
      </w:r>
    </w:p>
    <w:p w14:paraId="2BE0C80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用户级加密区，创建新文件在锁屏时，不可创建。</w:t>
      </w:r>
    </w:p>
    <w:p w14:paraId="40541DD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应用级加密区，创建新文件在锁屏时，可创建。</w:t>
      </w:r>
    </w:p>
    <w:p w14:paraId="60CC5E5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用户级加密区，创建新文件在锁屏时，可创建。</w:t>
      </w:r>
    </w:p>
    <w:p w14:paraId="6A22D7F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304174D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35.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在Stage线程模型中，用于执行耗时操作且支持设置调度优先级和负载均衡的线程是（）</w:t>
      </w:r>
    </w:p>
    <w:p w14:paraId="4228E39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UI线程</w:t>
      </w:r>
    </w:p>
    <w:p w14:paraId="6319248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Worker线程</w:t>
      </w:r>
    </w:p>
    <w:p w14:paraId="3C7F8D4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TaskPool Worker线程</w:t>
      </w:r>
    </w:p>
    <w:p w14:paraId="2C9AEF3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主线程</w:t>
      </w:r>
    </w:p>
    <w:p w14:paraId="61B9E9B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115C564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36.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当应用窗口处理点击事件后，WindowStage会进入哪个状态?（）</w:t>
      </w:r>
    </w:p>
    <w:p w14:paraId="3B550FF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SHOWN</w:t>
      </w:r>
    </w:p>
    <w:p w14:paraId="7827F8C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INACTIVE</w:t>
      </w:r>
    </w:p>
    <w:p w14:paraId="3F8BA00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HIDDEN</w:t>
      </w:r>
    </w:p>
    <w:p w14:paraId="08763E1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ACTIVE</w:t>
      </w:r>
    </w:p>
    <w:p w14:paraId="28171D5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358EF87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37.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在DevEco Studio的ArkTS工程目录结构中，ArkTS源码放在下列哪个目录下?（）</w:t>
      </w:r>
    </w:p>
    <w:p w14:paraId="5BE3E1E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oh_modules</w:t>
      </w:r>
    </w:p>
    <w:p w14:paraId="11F4E48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src &gt; main &gt; resources</w:t>
      </w:r>
    </w:p>
    <w:p w14:paraId="5B844E2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AppScope &gt; resources</w:t>
      </w:r>
    </w:p>
    <w:p w14:paraId="59CD48C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src &gt; main &gt;ets</w:t>
      </w:r>
    </w:p>
    <w:p w14:paraId="3E5EEA1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63A61EB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38.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下列关于鸿蒙元服务的描述错误的是（）</w:t>
      </w:r>
    </w:p>
    <w:p w14:paraId="63FC93F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元服务由鸿蒙系统应用程序框架管理</w:t>
      </w:r>
    </w:p>
    <w:p w14:paraId="0ED77FC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元服务具有免安装、即点即用、用完即走、轻量高效等特点</w:t>
      </w:r>
    </w:p>
    <w:p w14:paraId="37CCEA8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元服务是鸿蒙系统的一种轻量化应用形态</w:t>
      </w:r>
    </w:p>
    <w:p w14:paraId="31A542B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元服务使用完毕后需要手动卸载</w:t>
      </w:r>
    </w:p>
    <w:p w14:paraId="4B73F35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1D2FABC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多选题</w:t>
      </w:r>
    </w:p>
    <w:p w14:paraId="6D1B719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2E11491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46.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module.json5配置文件的name属性的命名规则正确的是（）</w:t>
      </w:r>
    </w:p>
    <w:p w14:paraId="56BC747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最大长度31字节</w:t>
      </w:r>
    </w:p>
    <w:p w14:paraId="012B7FB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必须以字母开头</w:t>
      </w:r>
    </w:p>
    <w:p w14:paraId="59E3C3B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最大长度17字节</w:t>
      </w:r>
    </w:p>
    <w:p w14:paraId="41C2527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由字母、数字和下划线组成</w:t>
      </w:r>
    </w:p>
    <w:p w14:paraId="3E9721A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1B1D213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47.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以下哪些描述符合元服务的通用友好设计原则?（）</w:t>
      </w:r>
    </w:p>
    <w:p w14:paraId="3FA8177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减少界面信息层级，减少层数嵌套和层级跳转</w:t>
      </w:r>
    </w:p>
    <w:p w14:paraId="16E3CC8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启动无开屏、无广告，无重复加载</w:t>
      </w:r>
    </w:p>
    <w:p w14:paraId="356EA6C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无需授权、无需登录、可一键退出</w:t>
      </w:r>
    </w:p>
    <w:p w14:paraId="7B1D840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界面信息简洁，重点信息突出，没有多余或不必要的信息</w:t>
      </w:r>
    </w:p>
    <w:p w14:paraId="6384420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1343D9E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48.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在ArkTS语法中，以下选项关于位运算符的说法正确的有哪些?（）</w:t>
      </w:r>
    </w:p>
    <w:p w14:paraId="0C57B9D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a &amp; b，按位与：如果a、b的对应位都为1，则将这个位设置为1，否则设置为0。</w:t>
      </w:r>
    </w:p>
    <w:p w14:paraId="19C0645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a|b，按位或：如果a、b的对应位中至少有一个为1，则将这个位设置为1，否则设置为0。</w:t>
      </w:r>
    </w:p>
    <w:p w14:paraId="70B566C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a^b，按位异或：如果a、b的对应位不同，则将这个位设置为1，否则设置为0。</w:t>
      </w:r>
    </w:p>
    <w:p w14:paraId="7EDED47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a&lt;&lt;b，左移：将a的二进制表示向左移b位。</w:t>
      </w:r>
    </w:p>
    <w:p w14:paraId="09F8460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4E3062D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49.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以下关于应用包名(Bundle name)的要求正确的是（）</w:t>
      </w:r>
    </w:p>
    <w:p w14:paraId="22E8298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包名长度可以为7 ~128个字符</w:t>
      </w:r>
    </w:p>
    <w:p w14:paraId="181E9EB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包名中的每一段可以使用任意字符</w:t>
      </w:r>
    </w:p>
    <w:p w14:paraId="34CAD9C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每一段必须以英文字母开头</w:t>
      </w:r>
    </w:p>
    <w:p w14:paraId="17A5A87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包名可以以点号(.)分隔，但不得连续出现</w:t>
      </w:r>
    </w:p>
    <w:p w14:paraId="18266B9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4525106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50.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在用户首选项中，关于deletePreferences接口下列说法正确的是（）</w:t>
      </w:r>
    </w:p>
    <w:p w14:paraId="3E3CB5E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可以将Preferences实例从内存中删除</w:t>
      </w:r>
    </w:p>
    <w:p w14:paraId="1F52890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成功删除后，Preferences实例中的数据不可恢复</w:t>
      </w:r>
    </w:p>
    <w:p w14:paraId="1D33700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成功删除后，Preferences实例将不存在</w:t>
      </w:r>
    </w:p>
    <w:p w14:paraId="5E6C806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不会删除Preferences实例对应的持久化文件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C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2025-11-26T06:46:41Z</dcterms:created>
  <dc:creator>20627</dc:creator>
  <cp:lastModifiedBy>超李四</cp:lastModifiedBy>
  <dcterms:modified xsi:type="dcterms:W3CDTF">2025-11-26T07:12:23Z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eyJoZGlkIjoiOWNiYTI0N2EzYzk5MWU4MWFmOGFhZWE1MGYzYWI0MjEiLCJ1c2VySWQiOiI4NjAwNjc3ODMifQ==</vt:lpwstr>
  </property>
  <property fmtid="{D5CDD505-2E9C-101B-9397-08002B2CF9AE}" pid="4" name="ICV">
    <vt:lpwstr>9D24AB2E81544AE683D0FF3F56CF5F36_12</vt:lpwstr>
  </property>
</Properties>
</file>