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E12F1">
      <w:pPr>
        <w:adjustRightInd w:val="0"/>
        <w:snapToGrid w:val="0"/>
        <w:spacing w:line="25" w:lineRule="atLeast"/>
        <w:ind w:firstLine="880"/>
        <w:rPr>
          <w:rFonts w:hint="eastAsia" w:eastAsia="黑体"/>
          <w:sz w:val="44"/>
        </w:rPr>
      </w:pPr>
    </w:p>
    <w:p w14:paraId="43C5AF43">
      <w:pPr>
        <w:adjustRightInd w:val="0"/>
        <w:snapToGrid w:val="0"/>
        <w:spacing w:line="25" w:lineRule="atLeast"/>
        <w:ind w:firstLine="803"/>
        <w:rPr>
          <w:rFonts w:hint="eastAsia"/>
          <w:b/>
          <w:spacing w:val="-20"/>
          <w:sz w:val="44"/>
        </w:rPr>
      </w:pPr>
    </w:p>
    <w:p w14:paraId="06AA27B1">
      <w:pPr>
        <w:adjustRightInd w:val="0"/>
        <w:snapToGrid w:val="0"/>
        <w:spacing w:line="300" w:lineRule="auto"/>
        <w:ind w:firstLine="803"/>
        <w:jc w:val="center"/>
        <w:rPr>
          <w:rFonts w:hint="eastAsia"/>
          <w:b/>
          <w:spacing w:val="-20"/>
          <w:sz w:val="44"/>
        </w:rPr>
      </w:pPr>
      <w:r>
        <w:rPr>
          <w:rFonts w:hint="eastAsia"/>
          <w:b/>
          <w:spacing w:val="-20"/>
          <w:sz w:val="44"/>
        </w:rPr>
        <w:t>天津科技大学本科生</w:t>
      </w:r>
    </w:p>
    <w:p w14:paraId="2F6B5126">
      <w:pPr>
        <w:adjustRightInd w:val="0"/>
        <w:snapToGrid w:val="0"/>
        <w:spacing w:line="300" w:lineRule="auto"/>
        <w:ind w:firstLine="803"/>
        <w:jc w:val="center"/>
        <w:rPr>
          <w:rFonts w:hint="eastAsia"/>
          <w:b/>
          <w:spacing w:val="-20"/>
          <w:sz w:val="44"/>
        </w:rPr>
      </w:pPr>
      <w:r>
        <w:rPr>
          <w:rFonts w:hint="eastAsia"/>
          <w:b/>
          <w:spacing w:val="-20"/>
          <w:sz w:val="44"/>
        </w:rPr>
        <w:t>毕业设计（论文）外文资料翻译</w:t>
      </w:r>
    </w:p>
    <w:p w14:paraId="737E311F">
      <w:pPr>
        <w:adjustRightInd w:val="0"/>
        <w:snapToGrid w:val="0"/>
        <w:spacing w:after="156" w:afterLines="50" w:line="300" w:lineRule="auto"/>
        <w:ind w:firstLine="600"/>
        <w:jc w:val="center"/>
        <w:rPr>
          <w:rFonts w:hint="eastAsia"/>
          <w:sz w:val="30"/>
        </w:rPr>
      </w:pPr>
    </w:p>
    <w:p w14:paraId="736F5413">
      <w:pPr>
        <w:adjustRightInd w:val="0"/>
        <w:snapToGrid w:val="0"/>
        <w:spacing w:after="156" w:afterLines="50" w:line="300" w:lineRule="auto"/>
        <w:ind w:firstLine="600"/>
        <w:jc w:val="center"/>
        <w:rPr>
          <w:rFonts w:hint="eastAsia"/>
          <w:sz w:val="30"/>
        </w:rPr>
      </w:pPr>
    </w:p>
    <w:p w14:paraId="6E3F88C7">
      <w:pPr>
        <w:adjustRightInd w:val="0"/>
        <w:snapToGrid w:val="0"/>
        <w:spacing w:after="156" w:afterLines="50" w:line="300" w:lineRule="auto"/>
        <w:ind w:firstLine="600"/>
        <w:jc w:val="center"/>
        <w:rPr>
          <w:rFonts w:hint="eastAsia"/>
          <w:sz w:val="30"/>
        </w:rPr>
      </w:pPr>
    </w:p>
    <w:p w14:paraId="328C3758">
      <w:pPr>
        <w:adjustRightInd w:val="0"/>
        <w:snapToGrid w:val="0"/>
        <w:spacing w:after="156" w:afterLines="50" w:line="300" w:lineRule="auto"/>
        <w:ind w:firstLine="600"/>
        <w:jc w:val="center"/>
        <w:rPr>
          <w:rFonts w:hint="eastAsia"/>
          <w:sz w:val="30"/>
        </w:rPr>
      </w:pPr>
    </w:p>
    <w:p w14:paraId="299BC852">
      <w:pPr>
        <w:adjustRightInd w:val="0"/>
        <w:snapToGrid w:val="0"/>
        <w:spacing w:after="156" w:afterLines="50" w:line="300" w:lineRule="auto"/>
        <w:ind w:firstLine="600"/>
        <w:jc w:val="center"/>
        <w:rPr>
          <w:sz w:val="30"/>
        </w:rPr>
      </w:pPr>
    </w:p>
    <w:p w14:paraId="5A4CA4B6">
      <w:pPr>
        <w:adjustRightInd w:val="0"/>
        <w:snapToGrid w:val="0"/>
        <w:spacing w:after="156" w:afterLines="50" w:line="300" w:lineRule="auto"/>
        <w:ind w:firstLine="600"/>
        <w:jc w:val="center"/>
        <w:rPr>
          <w:sz w:val="30"/>
        </w:rPr>
      </w:pPr>
    </w:p>
    <w:p w14:paraId="66ED8B8E">
      <w:pPr>
        <w:adjustRightInd w:val="0"/>
        <w:snapToGrid w:val="0"/>
        <w:spacing w:after="156" w:afterLines="50" w:line="300" w:lineRule="auto"/>
        <w:ind w:firstLine="600"/>
        <w:jc w:val="center"/>
        <w:rPr>
          <w:rFonts w:hint="eastAsia"/>
          <w:sz w:val="30"/>
        </w:rPr>
      </w:pPr>
    </w:p>
    <w:p w14:paraId="5D5B4944">
      <w:pPr>
        <w:adjustRightInd w:val="0"/>
        <w:snapToGrid w:val="0"/>
        <w:spacing w:after="156" w:afterLines="50" w:line="300" w:lineRule="auto"/>
        <w:ind w:firstLine="600"/>
        <w:jc w:val="center"/>
        <w:rPr>
          <w:rFonts w:hint="eastAsia"/>
          <w:sz w:val="30"/>
        </w:rPr>
      </w:pPr>
    </w:p>
    <w:p w14:paraId="6C7D7270">
      <w:pPr>
        <w:adjustRightInd w:val="0"/>
        <w:snapToGrid w:val="0"/>
        <w:spacing w:after="156" w:afterLines="50" w:line="300" w:lineRule="auto"/>
        <w:ind w:firstLine="600"/>
        <w:jc w:val="center"/>
        <w:rPr>
          <w:rFonts w:hint="eastAsia"/>
          <w:sz w:val="30"/>
        </w:rPr>
      </w:pPr>
    </w:p>
    <w:p w14:paraId="43CC82FB">
      <w:pPr>
        <w:adjustRightInd w:val="0"/>
        <w:snapToGrid w:val="0"/>
        <w:spacing w:after="156" w:afterLines="50" w:line="300" w:lineRule="auto"/>
        <w:ind w:firstLine="602"/>
        <w:jc w:val="center"/>
        <w:rPr>
          <w:rFonts w:hint="eastAsia"/>
          <w:b/>
          <w:sz w:val="30"/>
        </w:rPr>
      </w:pPr>
    </w:p>
    <w:p w14:paraId="463CEB19">
      <w:pPr>
        <w:adjustRightInd w:val="0"/>
        <w:snapToGrid w:val="0"/>
        <w:spacing w:after="156" w:afterLines="50" w:line="300" w:lineRule="auto"/>
        <w:rPr>
          <w:rFonts w:hint="eastAsia"/>
          <w:b/>
          <w:sz w:val="30"/>
        </w:rPr>
      </w:pPr>
    </w:p>
    <w:p w14:paraId="3C682791">
      <w:pPr>
        <w:tabs>
          <w:tab w:val="center" w:pos="5430"/>
        </w:tabs>
        <w:adjustRightInd w:val="0"/>
        <w:snapToGrid w:val="0"/>
        <w:spacing w:after="156" w:afterLines="50" w:line="300" w:lineRule="auto"/>
        <w:ind w:firstLine="2548" w:firstLineChars="846"/>
        <w:rPr>
          <w:rFonts w:hint="eastAsia"/>
          <w:b/>
          <w:sz w:val="30"/>
        </w:rPr>
      </w:pPr>
      <w:r>
        <w:rPr>
          <w:rFonts w:hint="eastAsia"/>
          <w:b/>
          <w:sz w:val="30"/>
        </w:rPr>
        <w:t>专业：数据科学与大数据技术</w:t>
      </w:r>
      <w:r>
        <w:rPr>
          <w:b/>
          <w:sz w:val="30"/>
        </w:rPr>
        <w:tab/>
      </w:r>
    </w:p>
    <w:p w14:paraId="12A95C68">
      <w:pPr>
        <w:adjustRightInd w:val="0"/>
        <w:snapToGrid w:val="0"/>
        <w:spacing w:after="156" w:afterLines="50" w:line="300" w:lineRule="auto"/>
        <w:ind w:firstLine="2548" w:firstLineChars="846"/>
        <w:rPr>
          <w:rFonts w:hint="default" w:eastAsia="宋体"/>
          <w:b/>
          <w:sz w:val="30"/>
          <w:lang w:val="en-US" w:eastAsia="zh-CN"/>
        </w:rPr>
      </w:pPr>
      <w:r>
        <w:rPr>
          <w:rFonts w:hint="eastAsia"/>
          <w:b/>
          <w:sz w:val="30"/>
        </w:rPr>
        <w:t>姓名：</w:t>
      </w:r>
      <w:r>
        <w:rPr>
          <w:rFonts w:hint="eastAsia"/>
          <w:b/>
          <w:sz w:val="30"/>
          <w:lang w:val="en-US" w:eastAsia="zh-CN"/>
        </w:rPr>
        <w:t>######</w:t>
      </w:r>
    </w:p>
    <w:p w14:paraId="07EC8083">
      <w:pPr>
        <w:adjustRightInd w:val="0"/>
        <w:snapToGrid w:val="0"/>
        <w:spacing w:after="156" w:afterLines="50" w:line="300" w:lineRule="auto"/>
        <w:ind w:firstLine="2548" w:firstLineChars="846"/>
        <w:rPr>
          <w:rFonts w:hint="default" w:eastAsia="宋体"/>
          <w:b/>
          <w:sz w:val="30"/>
          <w:lang w:val="en-US" w:eastAsia="zh-CN"/>
        </w:rPr>
      </w:pPr>
      <w:r>
        <w:rPr>
          <w:rFonts w:hint="eastAsia"/>
          <w:b/>
          <w:sz w:val="30"/>
        </w:rPr>
        <w:t>学号：2</w:t>
      </w:r>
      <w:r>
        <w:rPr>
          <w:rFonts w:hint="eastAsia"/>
          <w:b/>
          <w:sz w:val="30"/>
          <w:lang w:val="en-US" w:eastAsia="zh-CN"/>
        </w:rPr>
        <w:t>210****</w:t>
      </w:r>
    </w:p>
    <w:p w14:paraId="77C65D02">
      <w:pPr>
        <w:adjustRightInd w:val="0"/>
        <w:snapToGrid w:val="0"/>
        <w:spacing w:after="156" w:afterLines="50" w:line="300" w:lineRule="auto"/>
        <w:ind w:firstLine="2548" w:firstLineChars="846"/>
        <w:rPr>
          <w:rFonts w:hint="default" w:eastAsia="宋体"/>
          <w:b/>
          <w:sz w:val="30"/>
          <w:lang w:val="en-US" w:eastAsia="zh-CN"/>
        </w:rPr>
      </w:pPr>
      <w:r>
        <w:rPr>
          <w:rFonts w:hint="eastAsia"/>
          <w:b/>
          <w:sz w:val="30"/>
        </w:rPr>
        <w:t>指导教师：</w:t>
      </w:r>
      <w:r>
        <w:rPr>
          <w:rFonts w:hint="eastAsia"/>
          <w:b/>
          <w:sz w:val="30"/>
          <w:lang w:val="en-US" w:eastAsia="zh-CN"/>
        </w:rPr>
        <w:t>######</w:t>
      </w:r>
    </w:p>
    <w:p w14:paraId="61487D52">
      <w:pPr>
        <w:adjustRightInd w:val="0"/>
        <w:snapToGrid w:val="0"/>
        <w:spacing w:after="156" w:afterLines="50" w:line="300" w:lineRule="auto"/>
        <w:rPr>
          <w:rFonts w:hint="eastAsia"/>
          <w:b/>
          <w:sz w:val="30"/>
        </w:rPr>
      </w:pPr>
    </w:p>
    <w:p w14:paraId="2315138E">
      <w:pPr>
        <w:adjustRightInd w:val="0"/>
        <w:snapToGrid w:val="0"/>
        <w:spacing w:after="156" w:afterLines="50" w:line="300" w:lineRule="auto"/>
        <w:jc w:val="center"/>
        <w:rPr>
          <w:b/>
          <w:sz w:val="30"/>
        </w:rPr>
      </w:pPr>
      <w:r>
        <w:rPr>
          <w:rFonts w:hint="eastAsia"/>
          <w:b/>
          <w:spacing w:val="36"/>
          <w:sz w:val="28"/>
        </w:rPr>
        <w:t>202</w:t>
      </w:r>
      <w:r>
        <w:rPr>
          <w:rFonts w:hint="eastAsia"/>
          <w:b/>
          <w:spacing w:val="36"/>
          <w:sz w:val="28"/>
          <w:lang w:val="en-US" w:eastAsia="zh-CN"/>
        </w:rPr>
        <w:t>6</w:t>
      </w:r>
      <w:r>
        <w:rPr>
          <w:rFonts w:hint="eastAsia"/>
          <w:b/>
          <w:spacing w:val="36"/>
          <w:sz w:val="28"/>
        </w:rPr>
        <w:t>年3月11日</w:t>
      </w:r>
    </w:p>
    <w:p w14:paraId="27D2AB23">
      <w:pPr>
        <w:ind w:firstLine="420"/>
      </w:pPr>
    </w:p>
    <w:p w14:paraId="4B159BD2">
      <w:pPr>
        <w:adjustRightInd w:val="0"/>
        <w:snapToGrid w:val="0"/>
        <w:spacing w:line="25" w:lineRule="atLeast"/>
        <w:ind w:firstLine="480"/>
        <w:rPr>
          <w:sz w:val="24"/>
        </w:rPr>
      </w:pPr>
    </w:p>
    <w:p w14:paraId="78CB73E5">
      <w:pPr>
        <w:adjustRightInd w:val="0"/>
        <w:snapToGrid w:val="0"/>
        <w:spacing w:line="25" w:lineRule="atLeast"/>
        <w:ind w:firstLine="480"/>
        <w:rPr>
          <w:sz w:val="24"/>
        </w:rPr>
      </w:pPr>
    </w:p>
    <w:p w14:paraId="6435395F">
      <w:pPr>
        <w:rPr>
          <w:rFonts w:hint="eastAsia" w:ascii="Times New Roman" w:hAnsi="Times New Roman"/>
        </w:rPr>
        <w:sectPr>
          <w:headerReference r:id="rId3" w:type="default"/>
          <w:footerReference r:id="rId5" w:type="default"/>
          <w:headerReference r:id="rId4" w:type="even"/>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docGrid w:type="lines" w:linePitch="312" w:charSpace="0"/>
        </w:sectPr>
      </w:pPr>
    </w:p>
    <w:p w14:paraId="4836246E">
      <w:pPr>
        <w:adjustRightInd w:val="0"/>
        <w:snapToGrid w:val="0"/>
        <w:spacing w:line="25" w:lineRule="atLeast"/>
        <w:ind w:left="-5" w:firstLine="883"/>
        <w:jc w:val="center"/>
        <w:rPr>
          <w:rFonts w:hint="default" w:ascii="Times New Roman" w:hAnsi="Times New Roman" w:eastAsia="宋体" w:cs="Times New Roman"/>
          <w:b/>
          <w:bCs/>
          <w:sz w:val="44"/>
          <w:szCs w:val="44"/>
          <w:lang w:val="en-US" w:eastAsia="zh-CN"/>
        </w:rPr>
      </w:pPr>
      <w:r>
        <w:rPr>
          <w:rFonts w:hint="default" w:ascii="Times New Roman" w:hAnsi="Times New Roman" w:eastAsia="宋体" w:cs="Times New Roman"/>
          <w:b/>
          <w:bCs/>
          <w:sz w:val="44"/>
          <w:szCs w:val="44"/>
          <w:lang w:val="en-US" w:eastAsia="zh-CN"/>
        </w:rPr>
        <w:t>面向智慧城市视频监控分析应用的新型多目标视频摘要方法</w:t>
      </w:r>
    </w:p>
    <w:p w14:paraId="35146064">
      <w:pPr>
        <w:adjustRightInd w:val="0"/>
        <w:snapToGrid w:val="0"/>
        <w:spacing w:line="25" w:lineRule="atLeast"/>
        <w:ind w:left="-5" w:firstLine="883"/>
        <w:jc w:val="center"/>
        <w:rPr>
          <w:rFonts w:hint="default" w:ascii="Times New Roman" w:hAnsi="Times New Roman" w:eastAsia="宋体" w:cs="Times New Roman"/>
          <w:b/>
          <w:bCs/>
          <w:sz w:val="44"/>
          <w:szCs w:val="44"/>
        </w:rPr>
      </w:pPr>
    </w:p>
    <w:p w14:paraId="1E2A3DBC">
      <w:pPr>
        <w:adjustRightInd w:val="0"/>
        <w:snapToGrid w:val="0"/>
        <w:spacing w:line="25" w:lineRule="atLeast"/>
        <w:ind w:firstLine="3840" w:firstLineChars="1200"/>
        <w:jc w:val="both"/>
        <w:rPr>
          <w:rFonts w:hint="default" w:ascii="Times New Roman" w:hAnsi="Times New Roman" w:eastAsia="宋体" w:cs="Times New Roman"/>
          <w:sz w:val="32"/>
          <w:szCs w:val="32"/>
        </w:rPr>
      </w:pPr>
      <w:r>
        <w:rPr>
          <w:rFonts w:hint="default" w:ascii="Times New Roman" w:hAnsi="Times New Roman" w:eastAsia="宋体" w:cs="Times New Roman"/>
          <w:sz w:val="32"/>
          <w:szCs w:val="32"/>
        </w:rPr>
        <w:t>摘要</w:t>
      </w:r>
    </w:p>
    <w:p w14:paraId="38D7E6F6">
      <w:pPr>
        <w:adjustRightInd w:val="0"/>
        <w:snapToGrid w:val="0"/>
        <w:spacing w:line="400" w:lineRule="exact"/>
        <w:ind w:firstLine="48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对智慧城市应用场景中使用的监控视频进行摘要处理，在降低交易成本和提升可持续性方面具有重要意义。尽管视频摘要研究领域已有大量文献，但针对智慧城市监控视频的摘要方法仍较为匮乏且效果欠佳，因为这类视频数据需要同时保留物体特征与事件特征。本研究通过整合基于对象中心和事件中心的摘要方法，并结合ApacheKafka技术，实现了此类视频的有效摘要。在基于对象中心的摘要模块中，我们着重保留视频中物体的统计特征与运动特征；在事件中心摘要模块中，则确保视频中异常事件的完整呈现。我们通过多种评估指标详细展示了两个模块及集成系统的性能表现，并最终基于不同指标将本研究方法与现有文献中的视频摘要技术进行了性能对比。我们开发的以对象为中心的视频摘要方法，在保持视频统计特征的同时，成功率达到90%以上，并能以超过95%的效率实现视频压缩。基于事件中心的摘要方法可精准识别视频中的异常情况，准确率超过95%。实验对比结果表明，该原创方法在性能表现和多项评估指标上均优于现有文献研究，展现出显著优势。</w:t>
      </w:r>
    </w:p>
    <w:p w14:paraId="0C6DDF2F">
      <w:pPr>
        <w:adjustRightInd w:val="0"/>
        <w:snapToGrid w:val="0"/>
        <w:spacing w:line="400" w:lineRule="exact"/>
        <w:ind w:firstLine="480"/>
        <w:rPr>
          <w:rFonts w:hint="default" w:ascii="Times New Roman" w:hAnsi="Times New Roman" w:eastAsia="宋体" w:cs="Times New Roman"/>
          <w:bCs/>
          <w:iCs/>
          <w:sz w:val="24"/>
          <w:lang w:val="en-US" w:eastAsia="zh-CN"/>
        </w:rPr>
      </w:pPr>
    </w:p>
    <w:p w14:paraId="0D8ED302">
      <w:pPr>
        <w:adjustRightInd w:val="0"/>
        <w:snapToGrid w:val="0"/>
        <w:spacing w:line="400" w:lineRule="exact"/>
        <w:rPr>
          <w:rFonts w:hint="default" w:ascii="Times New Roman" w:hAnsi="Times New Roman" w:eastAsia="宋体" w:cs="Times New Roman"/>
          <w:bCs/>
          <w:iCs/>
          <w:szCs w:val="21"/>
        </w:rPr>
      </w:pPr>
      <w:r>
        <w:rPr>
          <w:rFonts w:hint="default" w:ascii="Times New Roman" w:hAnsi="Times New Roman" w:eastAsia="宋体" w:cs="Times New Roman"/>
          <w:b/>
          <w:iCs/>
          <w:sz w:val="24"/>
        </w:rPr>
        <w:t>关键词：</w:t>
      </w:r>
      <w:r>
        <w:rPr>
          <w:rFonts w:hint="default" w:ascii="Times New Roman" w:hAnsi="Times New Roman" w:eastAsia="宋体" w:cs="Times New Roman"/>
          <w:bCs/>
          <w:iCs/>
          <w:sz w:val="24"/>
          <w:lang w:val="en-US" w:eastAsia="zh-CN"/>
        </w:rPr>
        <w:t>视频摘要、视频分类、视频分析、Transformer模型、智慧城市</w:t>
      </w:r>
    </w:p>
    <w:p w14:paraId="16A41BDC">
      <w:pPr>
        <w:spacing w:line="400" w:lineRule="exact"/>
        <w:ind w:firstLine="480" w:firstLineChars="200"/>
        <w:jc w:val="left"/>
        <w:rPr>
          <w:rFonts w:hint="default" w:ascii="Times New Roman" w:hAnsi="Times New Roman" w:eastAsia="宋体" w:cs="Times New Roman"/>
          <w:sz w:val="24"/>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0131BA84">
      <w:pPr>
        <w:pStyle w:val="2"/>
        <w:bidi w:val="0"/>
        <w:rPr>
          <w:rFonts w:hint="default" w:ascii="Times New Roman" w:hAnsi="Times New Roman" w:eastAsia="宋体" w:cs="Times New Roman"/>
        </w:rPr>
      </w:pPr>
      <w:r>
        <w:rPr>
          <w:rFonts w:hint="default" w:ascii="Times New Roman" w:hAnsi="Times New Roman" w:eastAsia="宋体" w:cs="Times New Roman"/>
        </w:rPr>
        <w:t>1引言</w:t>
      </w:r>
    </w:p>
    <w:p w14:paraId="511D8AD1">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智慧城市是指在教育、医疗、安防、能源及交通等城市基础设施中，运用物联网（IoT）、大数据和人工智能（AI）技术打造的高科技城市。在这些城市基础设施的应用场景中，系统会通过分析各类传感器采集的数据来实现智能管理。在智慧城市相关应用中，最常用的传感器数据当属来自</w:t>
      </w:r>
      <w:r>
        <w:rPr>
          <w:rFonts w:hint="eastAsia" w:ascii="Times New Roman" w:hAnsi="Times New Roman" w:cs="Times New Roman"/>
          <w:bCs/>
          <w:iCs/>
          <w:sz w:val="24"/>
          <w:lang w:val="en-US" w:eastAsia="zh-CN"/>
        </w:rPr>
        <w:t>摄像头</w:t>
      </w:r>
      <w:r>
        <w:rPr>
          <w:rFonts w:hint="default" w:ascii="Times New Roman" w:hAnsi="Times New Roman" w:eastAsia="宋体" w:cs="Times New Roman"/>
          <w:bCs/>
          <w:iCs/>
          <w:sz w:val="24"/>
        </w:rPr>
        <w:t>的视频影像。</w:t>
      </w:r>
    </w:p>
    <w:p w14:paraId="79485A28">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影像设备在智能城市应用中占据重要地位，因此视频分析技术在此领域应用广泛。本研究旨在开发一种新型视频摘要方法，通过多场景适配方案对智能城市应用场景中采集的视频数据进行智能摘要处理。该方法可有效降低智能城市应用因视频分析技术带来的存储与计算成本，同时通过减少服务器资源消耗提升系统可持续性。为验证所提方法，我们首先对现有文献中基于智能城市概念开发的视频分析应用进行系统评估，相关研究细节将在后续章节展开详细阐述。</w:t>
      </w:r>
    </w:p>
    <w:p w14:paraId="21247628">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此外，本研究还对文献中聚焦于视频摘要生成的不同方法进行了分析与阐述。本研究章节将重点介绍针对视频摘要生成的相关方法。</w:t>
      </w:r>
    </w:p>
    <w:p w14:paraId="6577A613">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在一项研究中，探讨了利用机器学习的视频摘要方法，旨在消除因技术发展导致视频数据量增加而产生的</w:t>
      </w:r>
      <w:bookmarkStart w:id="0" w:name="bookmark1"/>
      <w:bookmarkEnd w:id="0"/>
      <w:r>
        <w:rPr>
          <w:rFonts w:hint="default" w:ascii="Times New Roman" w:hAnsi="Times New Roman" w:eastAsia="宋体" w:cs="Times New Roman"/>
          <w:bCs/>
          <w:iCs/>
          <w:sz w:val="24"/>
        </w:rPr>
        <w:t>内存成本和用户时间损耗[</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"bookmark2"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研究将视频摘要方法按单视角与多视角进行分类，并着重指出：通过基于深度学习的方法确定摘要特征，可显著提升摘要方法的有效性。研究聚焦于当前视频摘要领域的技术方法、数据集、应用场景、现存问题及未来发展机遇。在详细阐述这些应用之前，首先对视频摘要中常用概念进行说明[</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"bookmark2"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1]。若能将这些概念纳入本研究将极具参考价值</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视频精要概念指从原始视频中提取用于生成摘要视频的关键片段；分镜头脚本则是按场景呈现视频的视觉化呈现方式；关键帧则是从原始视频中提取的最重要画面帧。视频流媒体是指从视频源到终端显示器的持续传输过程。视频摘要技术主要分为静态视频摘要与动态视频摘要两大类[</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"bookmark2"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1]。静态</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摘要通过提取原始视频中的关键帧进行生成，具体做法是将原始视频中确定的关键帧按时间顺序添加到摘要视频中。动态摘要技术则通过整合原始视频中的关键场景和片段来生成摘要。摘要内容包含由视频多帧组成的片段和音频片段，即充分利用了视频流的视觉与音频特征。动态摘要技术可实现基于目标对象、事件、感知特征及特征提取的视频摘要功能。根据上述研究结果可知，本方法具备动态视频摘要特性。</w:t>
      </w:r>
    </w:p>
    <w:p w14:paraId="59AE1124">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另一项研究聚焦于文献中基于深度学习的视频摘要方法[</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"bookmark3"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2]。</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在此背景下，相关研究首次从模态角度对视频摘要方法进行分类。单模态方法仅通过特征提取和摘要学习实现视频摘要，而多模态方法还能利用文本元数据和视频类别的语义关系[</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"bookmark3"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2]。</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文献中的方法根据学习方式再次被划分为监督式、无监督式和弱监督式[</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"bookmark3"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2]。</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监督式方法使用由人工标注真实标签的数据集；无监督式方法仅需定量充足的数据进行训练，无需任何真实标签处理。</w:t>
      </w:r>
    </w:p>
    <w:p w14:paraId="5A4075FD">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由于此类方法未采用人工标注验证流程，相较于第一种方法，其开发时间损耗显著降低。弱监督式方法则直接进行真实标签标注。在摘要生成应用中采用监督学习之外的方法，旨在避免因人为错误导致的效率低下问题。</w:t>
      </w:r>
    </w:p>
    <w:p w14:paraId="00F05513">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在另一项研究中，采用多目标优化方法开发了静态视频摘要生成技术[</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"bookmark4"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3]。</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该方法通过颜色、纹理和形状特征进行摘要处理，并运用名为聚类与人工苔藓算法的元启发式优化策略生成摘要视频。某研究采用编码器-解码器架构的神经网络模型进行关键帧选择以实现视频摘要[</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"bookmark5"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4]。</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研究创新性地构建了融合卷积神经网络（CNN）、循环神经网络（RNN）及多层注意力机制神经网络组的摘要架构，相关方法在两个数据集上的评估结果显示成功率达到44%和60%。另有研究提出特征约束型视频摘要方法[</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"bookmark6"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5]。</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方法首先确定代表完整视频的候选图像帧，随后根据颜色、物体特征、差异度及跟踪信息等属性评估这些候选帧的重要性。在此阶段，研究人员采用数据库领域常用的遗憾最小化技术进行了摘要生成过程。该方法已在多个数据集上完成评估，结果显示其摘要生成性能达到60%的F值。另一项研究采用多模态神经网络方法对板球运动视频进行摘要处理[</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"bookmark7"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6]。</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研究采用的神经网络流程同时整合了视觉与音频特征：首先对板球投球动作进行分析，将获取的片段输入第二层网络；通过音频分析确定视频片段的重要性。研究者指出，多模态方法通过结合视听特征，能更有效地保留领域知识、内容特征及动态元素，从而生成更具表现力的体育视频摘要。另有研究采用行为特征谱进行自适应视频摘要处理[</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"bookmark8"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7]。在本文提出的方法中，我们采用</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"bookmark8"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了多种人工智能与计算机视觉技术来实现个性化视频摘</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"bookmark8"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要生成。另一项研究[8]</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提出了一种创新方案，通过提取视频中检测到人物的片段进行可疑场景识别应用</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"bookmark9"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。该</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研</w:t>
      </w:r>
      <w:bookmarkStart w:id="1" w:name="bookmark10"/>
      <w:bookmarkEnd w:id="1"/>
      <w:r>
        <w:rPr>
          <w:rFonts w:hint="default" w:ascii="Times New Roman" w:hAnsi="Times New Roman" w:eastAsia="宋体" w:cs="Times New Roman"/>
          <w:bCs/>
          <w:iCs/>
          <w:sz w:val="24"/>
        </w:rPr>
        <w:t>究显示，人体检测模块的准确率达到99.97%。此外，</w:t>
      </w:r>
      <w:bookmarkStart w:id="2" w:name="bookmark11"/>
      <w:bookmarkEnd w:id="2"/>
      <w:r>
        <w:rPr>
          <w:rFonts w:hint="default" w:ascii="Times New Roman" w:hAnsi="Times New Roman" w:eastAsia="宋体" w:cs="Times New Roman"/>
          <w:bCs/>
          <w:iCs/>
          <w:sz w:val="24"/>
        </w:rPr>
        <w:t>我们还开发了一种新型多模态融合方法用于实现在视频主题范围内的视频摘要生成[</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"bookmark12"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9]</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。该方法通过标注不同主题的电影并提取视频关键片段，将这些特征输入多模态Transformer模型进行训练。研究结果显示，摘要生成成功率达到了45.89%。另一项研究提出了一种事件导向型视频摘要新方法[</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"bookmark13"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10]，通过</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在视频中确定事件边界并生成事件重要性信号，该信号被直接用于摘要生成过程。另有研究为视频监控系统开发了基于k均值聚类与快速排序的摘要方法[</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"bookmark14"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11]，该方案采用蜘蛛猴算</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"bookmark14"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法进行特征选择，将标准化后的特征通过k均值聚类进</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"bookmark14"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行分组，最终通过距离依赖性方法将聚类结果纳入摘要</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"bookmark14"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视频中。</w:t>
      </w:r>
      <w:r>
        <w:rPr>
          <w:rFonts w:hint="default" w:ascii="Times New Roman" w:hAnsi="Times New Roman" w:eastAsia="宋体" w:cs="Times New Roman"/>
          <w:bCs/>
          <w:iCs/>
          <w:sz w:val="24"/>
        </w:rPr>
        <w:fldChar w:fldCharType="end"/>
      </w:r>
    </w:p>
    <w:p w14:paraId="3EC9C29F">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在数据摘要生成过程中，提取式摘要与抽象式摘要方法存在显著差异，尤其在文本摘要生成方法中表现尤为明显。</w:t>
      </w:r>
    </w:p>
    <w:p w14:paraId="17FEF910">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[12],[</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"bookmark15"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13]</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.原文中的句子在摘要文本中保持原样，这与提取式摘要生成过程一致。在抽象式摘要生成过程中，摘要文本中的句子会通过神经架构以原创方式生成。在此背景下，文献中部分视频摘要方法也被赋予了抽象特性[</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"bookmark16"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14]，</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"bookmark17"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15]</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"bookmark18"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16]。</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神经网络架构被用于其中一项研究中获取视频的自然语言描述[</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"bookmark16"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14]。</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关注摘要文本生成的研究采用rouge指标进行评估。该研究获得的rouge-1、rouge-2及rouge-L指标评估结果如下：</w:t>
      </w:r>
    </w:p>
    <w:p w14:paraId="41569E64">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分别为40.21、17.64和36.89。</w:t>
      </w:r>
    </w:p>
    <w:p w14:paraId="3AA6C7B8">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如前所述，视频摘要方法可分为基于特征提取和基于镜头分析两种类型。有研究提出了一种适用于两种摘要流程的综合关键帧选择方法[</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"bookmark19"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17]。</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该方法不仅利用静态图像提取的特征，还整合了视频中的运动信息，并在摘要处理的神经网络架构中引入了注意力机制。尽管所开发的神经网络架构每帧输入数据的镜头数量少于现有文献中同类基于镜头的摘要方法，但通过对比实验发现，其性能表现与其他文献研究结果高度接近。</w:t>
      </w:r>
    </w:p>
    <w:p w14:paraId="604520E8">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当对文献中聚焦于视频摘要的研究进行分析时，视频摘要方法存在以下差异：</w:t>
      </w:r>
    </w:p>
    <w:p w14:paraId="41663789">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•视频摘要生成中的动态与静态方法</w:t>
      </w:r>
    </w:p>
    <w:p w14:paraId="6A4AAB88">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•多模态或单模态</w:t>
      </w:r>
    </w:p>
    <w:p w14:paraId="4DFB65CD">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•以特征或事件为中心，</w:t>
      </w:r>
    </w:p>
    <w:p w14:paraId="72248333">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•多视角或单视角</w:t>
      </w:r>
    </w:p>
    <w:p w14:paraId="568F577C">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•提取性或吸收性</w:t>
      </w:r>
    </w:p>
    <w:p w14:paraId="4E38F7E9">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图</w:t>
      </w:r>
      <w:r>
        <w:rPr>
          <w:rFonts w:hint="default" w:ascii="Times New Roman" w:hAnsi="Times New Roman" w:eastAsia="宋体" w:cs="Times New Roman"/>
          <w:bCs/>
          <w:iCs/>
          <w:sz w:val="24"/>
        </w:rPr>
        <w:fldChar w:fldCharType="begin"/>
      </w:r>
      <w:r>
        <w:rPr>
          <w:rFonts w:hint="default" w:ascii="Times New Roman" w:hAnsi="Times New Roman" w:eastAsia="宋体" w:cs="Times New Roman"/>
          <w:bCs/>
          <w:iCs/>
          <w:sz w:val="24"/>
        </w:rPr>
        <w:instrText xml:space="preserve"> HYPERLINK \l "bookmark20" </w:instrText>
      </w:r>
      <w:r>
        <w:rPr>
          <w:rFonts w:hint="default" w:ascii="Times New Roman" w:hAnsi="Times New Roman" w:eastAsia="宋体" w:cs="Times New Roman"/>
          <w:bCs/>
          <w:iCs/>
          <w:sz w:val="24"/>
        </w:rPr>
        <w:fldChar w:fldCharType="separate"/>
      </w:r>
      <w:r>
        <w:rPr>
          <w:rFonts w:hint="default" w:ascii="Times New Roman" w:hAnsi="Times New Roman" w:eastAsia="宋体" w:cs="Times New Roman"/>
          <w:bCs/>
          <w:iCs/>
          <w:sz w:val="24"/>
        </w:rPr>
        <w:t>1</w:t>
      </w:r>
      <w:r>
        <w:rPr>
          <w:rFonts w:hint="default" w:ascii="Times New Roman" w:hAnsi="Times New Roman" w:eastAsia="宋体" w:cs="Times New Roman"/>
          <w:bCs/>
          <w:iCs/>
          <w:sz w:val="24"/>
        </w:rPr>
        <w:fldChar w:fldCharType="end"/>
      </w:r>
      <w:r>
        <w:rPr>
          <w:rFonts w:hint="default" w:ascii="Times New Roman" w:hAnsi="Times New Roman" w:eastAsia="宋体" w:cs="Times New Roman"/>
          <w:bCs/>
          <w:iCs/>
          <w:sz w:val="24"/>
        </w:rPr>
        <w:t>提供了一个用于分类视频摘要的示意图</w:t>
      </w:r>
    </w:p>
    <w:p w14:paraId="2A596562">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根据这些特征对现有文献中的视频摘要方法进行梳理。</w:t>
      </w:r>
    </w:p>
    <w:p w14:paraId="49AF4516">
      <w:pPr>
        <w:spacing w:line="400" w:lineRule="exact"/>
        <w:ind w:firstLine="480" w:firstLineChars="200"/>
        <w:rPr>
          <w:rFonts w:hint="default" w:ascii="Times New Roman" w:hAnsi="Times New Roman" w:eastAsia="宋体" w:cs="Times New Roman"/>
          <w:bCs/>
          <w:iCs/>
          <w:sz w:val="24"/>
        </w:rPr>
      </w:pPr>
      <w:r>
        <w:rPr>
          <w:rFonts w:hint="default" w:ascii="Times New Roman" w:hAnsi="Times New Roman" w:eastAsia="宋体" w:cs="Times New Roman"/>
          <w:bCs/>
          <w:iCs/>
          <w:sz w:val="24"/>
        </w:rPr>
        <w:t>通过分析现有智慧城市视频摘要方法及下一节提供的视频分析应用案例可以发现，这些研究在广泛场景下未能有效保留摘要视频中与智慧城市应用相关的关键信息。如后续示例所示，智慧城市视频应用主要聚焦于事件特征和统计特征分析，但现有研究通常仅针对其中单一维度展开。此外，以物体为中心的研究多局限于在摘要视频中添加特定类型物体的视频帧，未能完整保留物体运动轨迹、密度分布等通用统计信息。本研究旨在弥补现有文献中这些应用存在的不足。</w:t>
      </w:r>
    </w:p>
    <w:p w14:paraId="648206C6">
      <w:pPr>
        <w:bidi w:val="0"/>
        <w:rPr>
          <w:rFonts w:hint="default" w:ascii="Times New Roman" w:hAnsi="Times New Roman" w:eastAsia="宋体" w:cs="Times New Roman"/>
          <w:lang w:val="en-US" w:eastAsia="zh-CN"/>
        </w:rPr>
      </w:pPr>
    </w:p>
    <w:p w14:paraId="696CBA89">
      <w:pPr>
        <w:pStyle w:val="2"/>
        <w:bidi w:val="0"/>
        <w:rPr>
          <w:rFonts w:hint="default" w:ascii="Times New Roman" w:hAnsi="Times New Roman" w:eastAsia="宋体" w:cs="Times New Roman"/>
        </w:rPr>
      </w:pPr>
      <w:r>
        <w:rPr>
          <w:rFonts w:hint="default" w:ascii="Times New Roman" w:hAnsi="Times New Roman" w:eastAsia="宋体" w:cs="Times New Roman"/>
          <w:lang w:val="en-US" w:eastAsia="zh-CN"/>
        </w:rPr>
        <w:t>2智慧城市中的视频分析应用</w:t>
      </w:r>
    </w:p>
    <w:p w14:paraId="5207D4A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现有大量文献聚焦于视频分析技术在智慧城市中的应用研究。其中一项研究对边缘端运行的此类视频分析方法进行了系统性综述[</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众所周知，在智慧城市及各类物联网系统中，传感器数据通过边缘设备采集，部分数据分析可直接在边缘端完成，从而降低云端处理与计算成本。该研究详细阐述了边缘端视频分析技术的核心优势及其构成要素，具体包括：实现自动化高效视频监控、事件检测与预防机制，以及构建商业智能平台。相关视频分析应用的核心组件涵盖视频输入源、视频管理系统、目标检测与追踪、事件识别、数据存储、报表生成及用户界面等模块。智慧城市中的视频输入源主要包括监控摄像头、交通摄像头及社交网络信息流。在视频管理系统中，需要对流式处理、视频索引及存储流程进行管理。一项针对智慧城市领域开发的机器视觉应用研究进行了探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本文讨论的视频分析应用中，对视频摘要生成方法进行了全面覆盖。与第一部分所述的视频摘要研究类似，本研究聚焦的视频摘要方法主要根据两种不同分类方式进行划分。</w:t>
      </w:r>
    </w:p>
    <w:p w14:paraId="7582173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这些方法主要分为基于关键帧检测的视频摘要生成技术与基于视频快速浏览的视频摘要生成技术两大类。除上述分类外，视频摘要生成过程的动态与静态特性、输出摘要形式为图像或文本等特征，也被视为区分不同摘要方法的重要依据。本研究通过典型案例分析，展示了视频摘要技术在体育赛事、影视制作、安防监控及学术研究等领域的应用实践。其中，与智慧城市理念最具契合度的视频摘要应用场景当属监控系统领域。</w:t>
      </w:r>
    </w:p>
    <w:p w14:paraId="2E3D1682">
      <w:pPr>
        <w:spacing w:line="240" w:lineRule="auto"/>
        <w:ind w:firstLine="420" w:firstLineChars="200"/>
        <w:rPr>
          <w:position w:val="-60"/>
        </w:rPr>
      </w:pPr>
      <w:r>
        <w:rPr>
          <w:position w:val="-60"/>
        </w:rPr>
        <w:drawing>
          <wp:inline distT="0" distB="0" distL="0" distR="0">
            <wp:extent cx="5187315" cy="1916430"/>
            <wp:effectExtent l="0" t="0" r="9525" b="381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0"/>
                    <a:stretch>
                      <a:fillRect/>
                    </a:stretch>
                  </pic:blipFill>
                  <pic:spPr>
                    <a:xfrm>
                      <a:off x="0" y="0"/>
                      <a:ext cx="5187695" cy="1916603"/>
                    </a:xfrm>
                    <a:prstGeom prst="rect">
                      <a:avLst/>
                    </a:prstGeom>
                  </pic:spPr>
                </pic:pic>
              </a:graphicData>
            </a:graphic>
          </wp:inline>
        </w:drawing>
      </w:r>
    </w:p>
    <w:p w14:paraId="0B469622">
      <w:pPr>
        <w:pStyle w:val="4"/>
        <w:spacing w:before="187" w:line="230" w:lineRule="auto"/>
        <w:jc w:val="center"/>
        <w:rPr>
          <w:rFonts w:hint="default" w:ascii="Times New Roman" w:hAnsi="Times New Roman" w:eastAsia="宋体" w:cs="Times New Roman"/>
          <w:spacing w:val="6"/>
          <w:sz w:val="18"/>
          <w:szCs w:val="18"/>
          <w:lang w:val="en-US" w:eastAsia="zh-CN"/>
        </w:rPr>
      </w:pPr>
      <w:r>
        <w:rPr>
          <w:rFonts w:hint="default" w:ascii="Times New Roman" w:hAnsi="Times New Roman" w:eastAsia="宋体" w:cs="Times New Roman"/>
          <w:spacing w:val="6"/>
          <w:sz w:val="18"/>
          <w:szCs w:val="18"/>
        </w:rPr>
        <w:t>图1.视频摘要特征树</w:t>
      </w:r>
    </w:p>
    <w:p w14:paraId="4166D91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本研究强调，针对视频监控系统开发的摘要应用通常采用基于事件检测的方法。相关文献研究提出了一种适用于智慧城市场景下的机器视觉应用五层框架：第一层包含以视频分析为核心的智慧城市应用；第二层涉及视频源处理；第三层包含视频预处理阶段的帧增强与冗余帧剔除步骤；第四层涵盖人工与自动化特征提取流程；最后一层则包含视频摘要生成、分类识别及检测处理过程。研究还从不同智慧城市组件维度探讨了视频分析应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具体包括：</w:t>
      </w:r>
    </w:p>
    <w:p w14:paraId="43D5863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视频分析在监控应用中的应用：该技术主要针对智能家居、建筑物及公共场所监控设备采集的视频数据进行分析处理。具体应用场景包括异常检测、交通监控、犯罪侦查、事故处理、可疑事件识别以及人脸识别等。</w:t>
      </w:r>
    </w:p>
    <w:p w14:paraId="456F246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体育与娱乐活动中的娱乐分析：在体育及娱乐视频中，通常会应用观众人数统计、人群行为检测、运动员动作检测与追踪、解说员语音分析、精彩片段识别与总结等技术。此类应用场景亦可采用多模态特征提取技术。</w:t>
      </w:r>
    </w:p>
    <w:p w14:paraId="032BA16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•在智能健康应用范畴内的视频分析技术可举例说明：在线诊疗、智能救护车、机器人助手及残障护理应用均属典型应用场景。</w:t>
      </w:r>
    </w:p>
    <w:p w14:paraId="1B27722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•智能教育应用范围内的视频分析：示例包括生成教育视频摘要及确定课堂中学生注意力状态。</w:t>
      </w:r>
    </w:p>
    <w:p w14:paraId="17ED695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•智能车辆范围内的视频分析：示例包括基于视频的障碍物检测及驾驶员实时行为分析。</w:t>
      </w:r>
    </w:p>
    <w:p w14:paraId="380AB6A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•视频分析在智能交通控制应用中的实例包括：智能影像采集、交通密度分析、自动车牌识别、智能停车系统以及道路异常行为检测。</w:t>
      </w:r>
    </w:p>
    <w:p w14:paraId="5318BF4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•智能法医应用范围内的视频分析：犯罪活动的监控与检测、视频记录原创性的判定。</w:t>
      </w:r>
    </w:p>
    <w:p w14:paraId="1CB230C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智慧城市可与城市中的所有数字化要素相融合，因其应用范围极为广泛。因此，在前述研究中，与体育赛事、影视作品及教育内容等娱乐元素相关的视频摘要生成技术也被纳入智慧城市概念框架。我们开发的视频摘要技术所针对的目标对象并非人类用户，而是各类智能视频分析应用场景。此外，该技术旨在通过生成视频摘要来获取验证现有智慧城市视频应用成果的实证依据。如后续研究所示，智慧城市中的视频分析应用主要基于监控系统采集的视频素材开展。本研究的动机、目标及核心聚焦点将在下一章节进行详细阐述。</w:t>
      </w:r>
    </w:p>
    <w:p w14:paraId="4D9485A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另一项研究详细阐述了智慧城市视频分析应用中采用的方法、数据集、评估方法及硬件需求[</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研究深入解析了MobileNet、SingleShotDetector、YOLO（仅需一次检测）和EfficientDet等神经网络架构，并针对不同应用场景对这些模型的性能表现进行了对比分析。研究重点聚焦于在边缘计算资源上实现视频分析应用（如目标检测与跟踪）的技术方案。除模型性能对比外，还针对视频分析应用场景进行了多维度性能评估。</w:t>
      </w:r>
    </w:p>
    <w:p w14:paraId="1AAD215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w:t>
      </w:r>
      <w:r>
        <w:rPr>
          <w:rFonts w:hint="eastAsia" w:ascii="Times New Roman" w:hAnsi="Times New Roman" w:cs="Times New Roman"/>
          <w:bCs/>
          <w:iCs/>
          <w:sz w:val="24"/>
          <w:lang w:val="en-US" w:eastAsia="zh-CN"/>
        </w:rPr>
        <w:t>21]</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在</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一项研究中，我们对文献中基于人工智能（AI）支持的视觉物联网应用进行了全面综述。根据研究领域划分，所考察的应用场景涵盖智能监控、智能交通、气象监测、体育运动、健康医疗、安防系统及公共安全等领域。在智能监控应用方面，重点研究了人员检测、车辆及其他移动物体识别、视频/图像增强处理、图像背景与前景分离、行为模式识别、视频分割技术，以及边缘设备端执行的基础视频分析方法。智能交通应用方面则聚焦于交通实时监测系统、自动车牌识别技术及交通事故预警系统。此外，还针对通过视频技术实现云层覆盖、降雨量等气象参数监测的应用场景进行了专项分析。在体育应用领域，重点研究了各类体育运动动作检测技术及训练视频智能监控系统。在健康应用领域，重点探讨了智能医学影像技术、基于图像的诊断与诊疗应用，以及适用于家庭场景的口腔健康影像监测系统。针对安全与公共安全领域，从不同子应用方向展开研究：首先分析了用于森林火灾等自然灾害监测与控制的智能解决方案；最后聚焦于安全与公共安全应用范畴内的事故应急响应及建筑安全管理技术。</w:t>
      </w:r>
    </w:p>
    <w:p w14:paraId="4BD8809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22]一项</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研究开发了基于YOLO的智能交通监控方法。该方法通过在YOLO架构中引入幽灵卷积层来提升神经网络性能，作者将这种专用新型神经架构命名为GC-YOLOv9。所提方法在mAP@50评估指标上达到77.15%的准确率。研究还提出了一种基于人工智能的视频暴力行为检测方案[</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方案首先采用卷积神经网络（CNN）检测刀具、枪支等可疑物体，随后通过CNN结合基于长短期记忆（LSTM）的神经网络方法对包含可疑物体的视频帧进行暴力行为检测。研究强调，与现有文献方法相比，该创新方案性能提升了3.9%。</w:t>
      </w:r>
    </w:p>
    <w:p w14:paraId="1FA3DB7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另一项研究在智慧城市中开发了基于人工智能的实时事件监测方案[</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研究强调，通过人工智能驱动的实时事件影像处理技术，成功实现了事件目标检测、事件报告、数据分析及报警应用功能。在此背景下，研究团队首先构建了融合卷积神经网络（CNN）与RNN层的</w:t>
      </w:r>
    </w:p>
    <w:p w14:paraId="6C243E8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神经架构，用于事件与目标检测，并开发了展示该神经架构运行结果的用户仪表盘。该系统旨在实现城市管理者对工业物联网设备输出的神经架构数据进行人工调控。实验数据显示，所提出的神经架构在事件目标检测过程中成功率达到98%以上。</w:t>
      </w:r>
    </w:p>
    <w:p w14:paraId="288504C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文献中还提出另一种方法，针对智能医疗应用领域中的远程患者护理流程，开发了用于视频自动评估的神经网络架构[</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技术通过5G网络实现视频向医护人员的传输。本研究的核心创新在于：借助所开发的神经网络架构，彻底消除了医护人员需要人工逐个评估视频的繁琐流程。具体而言，该架构能精准评估远程患者护理过程中患者训练动作的准确性，在二分类任务中展现出超过90%的准确率表现。</w:t>
      </w:r>
    </w:p>
    <w:p w14:paraId="3A0DC96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我们开发了一种提升相机可靠性的方法，该方法能够通过深度学习进行推理运算并降低推理延迟[</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"bookmark29"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在此基础上，研究者重点采用名为CrossVision的技术方案，致力于降低计算成本，并对视场（FoV）存在重叠的不同相机图像执行备份操作。通过该方案，成功实现了分布式相机网络中协同作业与操作规划的有效实施。所提出的方法具备多视角特征，可同时满足上述各项技术需求。</w:t>
      </w:r>
    </w:p>
    <w:p w14:paraId="022E4C8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另一项研究聚焦于智慧城市中视频数据体量庞大引发的记忆问题。在此背景下，研究者开发了一种名为数字视网膜的新型压缩方法用于处理智慧城市视频数据[</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另一项研究致力于降低处理成本以提升基于DNN方法的推理速度[</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还有一项研究提出新型协调方案，旨在减少车牌查询等基于查询的视频成像方法中的延迟[</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29]。</w:t>
      </w:r>
      <w:r>
        <w:rPr>
          <w:rFonts w:hint="default" w:ascii="Times New Roman" w:hAnsi="Times New Roman" w:eastAsia="宋体" w:cs="Times New Roman"/>
          <w:bCs/>
          <w:iCs/>
          <w:sz w:val="24"/>
          <w:lang w:val="en-US" w:eastAsia="zh-CN"/>
        </w:rPr>
        <w:fldChar w:fldCharType="end"/>
      </w:r>
    </w:p>
    <w:p w14:paraId="3E04D28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另一项研究中，研究者采用三维卷积神经网络（3DCNN）进行视频镜头分割，并基于该方法开发了一种适用于监控视频的新型视频摘要生成方法[</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该方法首先对视频进行镜头分割，随后对获取的视频镜头进行二值化处理并执行关键帧检测。实验结果表明，所提出方法的视频摘要生成准确率接近88%。</w:t>
      </w:r>
    </w:p>
    <w:p w14:paraId="5054918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本研究重点在于智能城市视频中的人群密度分析[</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。所提出的方法首先采用CLAHE对视频帧进行对比度增强，随后利用InceptionV3卷积神经网络架构进行特征提取，最后通过循环神经网络架构GRU实现人群分析过程。该方法在人群分析过程中的成功率超过96%。</w:t>
      </w:r>
    </w:p>
    <w:p w14:paraId="660B002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该研究重点通过深度学习方法实现枪支与人脸检测，以构建安全智慧城市[</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32]在</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某具体方案中。所提出方法采用FRCNN架构执行上述检测流程，经测试训练后的FRCNN检测成功率高达77.02%。</w:t>
      </w:r>
    </w:p>
    <w:p w14:paraId="25D4BBE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某研究针对智能监控应用开展了多视角摘要与活动识别流程研究[</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该方法采用卷积神经网络（CNN）架构进行镜头分割处理，通过摘要流程有效节省了计算资源、带宽及传输时间。</w:t>
      </w:r>
    </w:p>
    <w:p w14:paraId="28A37E4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另一项研究通过分析道路事件视频记录数据来检测交通事故，并将检测到的视频片段用于生成摘要视频[</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研究者旨在通过该摘要处理流程降低存储成本。研究采用卷积神经网络（CNN）架构对视频进行事故检测，所开发的CNN架构在事故分类任务中取得了82.3%的成功率。</w:t>
      </w:r>
    </w:p>
    <w:p w14:paraId="5E36923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在一项文献研究中，探讨了智慧城市范畴内视频监控应用的相关研究[</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本研究从智慧政府、智能家居、智慧健康、智慧社会及智慧环境五个维度对智能视频监控应用进行分析，重点讨论了异常检测、犯罪事件检测、火灾检测及目标检测等应用场景。某研究提出了一种基于YOLO的智慧城市监控系统[</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"bookmark39"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方法的核心创新在于其软件架构设计允许神经模型在系统持续运行过程中通过新数据进行训练与更新，所采用的YOLO神经架构为YOLOv7版本。该方法聚焦于11种目标检测任务，神经模型的平均精度（mAP）达到70.6%。另一项研究针对智能停车应用场景，分析了物联网与机器学习技术的应用效果[</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在视频智能停车应用研究中发现，研究中采用了YOLO算法及多种神经网络架构。某项研究对人工智能支持的智能视频监控应用在公共安全领域的应用进行了评估[</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研究与其他文献研究的主要区别在于，其同时从政策法规框架下对视频监控应用进行了系统性评价。视频摘要应用的总体范围涵盖目标与动作识别、异常检测以及具有统计意义数据的提取等应用场景。另一项研究聚焦于智慧城市基础设施部门对所需视频资料的访问与分析需求[39]。另有研究开发了适用于不同光照条件视频的自适应目标追踪算法[</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文献中还提出了一种基于深度学习的通用事件处理方法[</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41]，该方法将交通管理、智能停车系统及安防</w:t>
      </w:r>
      <w:r>
        <w:rPr>
          <w:rFonts w:hint="default" w:ascii="Times New Roman" w:hAnsi="Times New Roman" w:eastAsia="宋体" w:cs="Times New Roman"/>
          <w:bCs/>
          <w:iCs/>
          <w:sz w:val="24"/>
          <w:lang w:val="en-US" w:eastAsia="zh-CN"/>
        </w:rPr>
        <w:fldChar w:fldCharType="end"/>
      </w:r>
    </w:p>
    <w:p w14:paraId="6AA3E7C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研究确定为事件处理的具体应用场景。</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表1提供了文献综述范围内涵盖研究的对比表。图2展示了智慧城市监控系统中视频分析方法的分类树结构。通过观察图2可以发现，由于人脸识别和车牌识别方法需要对视频每一帧进行分析，因此无法实现保留这些信息的摘要方法。表1中包含大量采用深度学习、优化算法以及其他无监督、有监督或半监督技术的研究方案。智慧城市应用场景中的视频数据通常未经标注，正因如此，大多数摘要任务主要通过基于深度学习特征的半监督方法来完成[6]，[9],[17].此外，部分研究方法采用深度学习获取的事件或对象中心特征来执行视频摘要任务。动态视频摘要技术通常应用于事件中心型视频摘要方法，而静态视频摘要技术则普遍用于对象中心型视频摘要方法。</w:t>
      </w:r>
    </w:p>
    <w:p w14:paraId="6135DE5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然而研究发现，针对视频监控应用开发的其他摘要方法，可将人工观测与计算机自动分析产生的全部处理成本大幅降低至较高水平。</w:t>
      </w:r>
    </w:p>
    <w:p w14:paraId="49B9AE81">
      <w:pPr>
        <w:pStyle w:val="2"/>
        <w:bidi w:val="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lang w:val="en-US" w:eastAsia="zh-CN"/>
        </w:rPr>
        <w:t>本研究的动机与CONTRUBITIONS</w:t>
      </w:r>
    </w:p>
    <w:p w14:paraId="5192C39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如前所述，本研究针对智慧城市视频监控领域提出了一种多功能且高效的视频摘要方法。通过梳理前文相关文献可以发现，现有视频摘要技术普遍采用保留内容核心意义的方式进行处理，其主要目的是为用户节省时间成本。众所周知，智慧城市系统生成的视频数据量庞大，而现有文献表明这些视频可应用于多种视频分析场景。值得注意的是，随着视频分析应用开发目标的多样化，采用创新方法的算法性能已显著提升，并将持续优化。未来在新型视频分析应用中，如何对海量视频数据进行整体处理并实现基于异常事件的手动或自动化分析，将面临重大挑战。这种分析方式效率低下，尤其对于以可持续发展为核心理念的智慧城市项目而言，更需突破现有技术瓶颈。所有这些情况均表明需要对监控视频进行总结分析，尤其是属于智慧城市系统中的视频。因此，我们针对该主题开展研究的初始动机与要求如下：</w:t>
      </w:r>
    </w:p>
    <w:p w14:paraId="1008B66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•在智慧城市范围内生成的监控视频占据大量存储空间，且针对事件及统计特征需对大量冗余数据进行人工或自动化分析。</w:t>
      </w:r>
    </w:p>
    <w:p w14:paraId="6BBFDBB4">
      <w:pPr>
        <w:bidi w:val="0"/>
        <w:jc w:val="center"/>
        <w:rPr>
          <w:rFonts w:hint="default" w:ascii="Times New Roman" w:hAnsi="Times New Roman" w:eastAsia="宋体" w:cs="Times New Roman"/>
          <w:lang w:val="en-US" w:eastAsia="zh-CN"/>
        </w:rPr>
      </w:pPr>
      <w:r>
        <w:rPr>
          <w:position w:val="-129"/>
        </w:rPr>
        <w:drawing>
          <wp:inline distT="0" distB="0" distL="0" distR="0">
            <wp:extent cx="5761355" cy="4121150"/>
            <wp:effectExtent l="0" t="0" r="14605" b="889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1"/>
                    <a:stretch>
                      <a:fillRect/>
                    </a:stretch>
                  </pic:blipFill>
                  <pic:spPr>
                    <a:xfrm>
                      <a:off x="0" y="0"/>
                      <a:ext cx="5761482" cy="4121270"/>
                    </a:xfrm>
                    <a:prstGeom prst="rect">
                      <a:avLst/>
                    </a:prstGeom>
                  </pic:spPr>
                </pic:pic>
              </a:graphicData>
            </a:graphic>
          </wp:inline>
        </w:drawing>
      </w:r>
    </w:p>
    <w:p w14:paraId="3E6F88B5">
      <w:pPr>
        <w:pStyle w:val="4"/>
        <w:spacing w:before="187" w:line="230" w:lineRule="auto"/>
        <w:jc w:val="center"/>
        <w:rPr>
          <w:rFonts w:hint="default" w:ascii="Times New Roman" w:hAnsi="Times New Roman" w:eastAsia="宋体" w:cs="Times New Roman"/>
          <w:sz w:val="18"/>
          <w:szCs w:val="18"/>
        </w:rPr>
      </w:pPr>
      <w:r>
        <w:rPr>
          <w:rFonts w:hint="default" w:ascii="Times New Roman" w:hAnsi="Times New Roman" w:eastAsia="宋体" w:cs="Times New Roman"/>
          <w:spacing w:val="6"/>
          <w:sz w:val="18"/>
          <w:szCs w:val="18"/>
        </w:rPr>
        <w:t>图</w:t>
      </w:r>
      <w:r>
        <w:rPr>
          <w:rFonts w:hint="eastAsia" w:ascii="Times New Roman" w:hAnsi="Times New Roman" w:cs="Times New Roman"/>
          <w:spacing w:val="6"/>
          <w:sz w:val="18"/>
          <w:szCs w:val="18"/>
          <w:lang w:val="en-US" w:eastAsia="zh-CN"/>
        </w:rPr>
        <w:t>2</w:t>
      </w:r>
      <w:r>
        <w:rPr>
          <w:rFonts w:hint="default" w:ascii="Times New Roman" w:hAnsi="Times New Roman" w:eastAsia="宋体" w:cs="Times New Roman"/>
          <w:spacing w:val="6"/>
          <w:sz w:val="18"/>
          <w:szCs w:val="18"/>
        </w:rPr>
        <w:t>智慧城市监控视频分析的应用分类树</w:t>
      </w:r>
    </w:p>
    <w:p w14:paraId="47EC6BC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尽管直接视频摘要方法已被应用于智慧城市视频分析领域，但针对视频监控系统生成视频的摘要方法尚未被提出。通常，该领域现有方法主要聚焦于电影、体育赛事、在线会议（如课程视频）等视频内容的摘要生成。</w:t>
      </w:r>
    </w:p>
    <w:p w14:paraId="20CB2DF6">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•数据摘要方法的实施目的至关重要。由于即使使用相同数据集开发的摘要方法，其摘要目的也存在显著差异，可能导致生成高度不相关的摘要视频输出。</w:t>
      </w:r>
    </w:p>
    <w:p w14:paraId="2298BE0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•需对现有视频分析方法进行评估，以明确智慧城市监控视频摘要的用途。</w:t>
      </w:r>
    </w:p>
    <w:p w14:paraId="008794B1">
      <w:pPr>
        <w:spacing w:line="240" w:lineRule="auto"/>
        <w:ind w:firstLine="480" w:firstLineChars="200"/>
        <w:rPr>
          <w:rFonts w:hint="eastAsia" w:ascii="Times New Roman" w:hAnsi="Times New Roman" w:cs="Times New Roman"/>
          <w:bCs/>
          <w:iCs/>
          <w:sz w:val="24"/>
          <w:lang w:val="en-US" w:eastAsia="zh-CN"/>
        </w:rPr>
      </w:pPr>
      <w:r>
        <w:rPr>
          <w:rFonts w:hint="default" w:ascii="Times New Roman" w:hAnsi="Times New Roman" w:eastAsia="宋体" w:cs="Times New Roman"/>
          <w:bCs/>
          <w:iCs/>
          <w:sz w:val="24"/>
          <w:lang w:val="en-US" w:eastAsia="zh-CN"/>
        </w:rPr>
        <w:t>•数据摘要方法可能存在显著差异。例如，模态类型、单模态或多模态方法、提取式或抽象式特征均可作为典型范例。在开发视频摘要系统时，必须深入分析并探讨其应具备的核心特性。前文所述文献分析工作聚焦于当前视频摘要技术及智慧城市视频</w:t>
      </w:r>
      <w:r>
        <w:rPr>
          <w:rFonts w:hint="eastAsia" w:ascii="Times New Roman" w:hAnsi="Times New Roman" w:cs="Times New Roman"/>
          <w:bCs/>
          <w:iCs/>
          <w:sz w:val="24"/>
          <w:lang w:val="en-US" w:eastAsia="zh-CN"/>
        </w:rPr>
        <w:t>。</w:t>
      </w:r>
    </w:p>
    <w:p w14:paraId="1D2C64FB">
      <w:pPr>
        <w:pStyle w:val="4"/>
        <w:spacing w:before="187" w:line="230" w:lineRule="auto"/>
        <w:jc w:val="center"/>
        <w:rPr>
          <w:rFonts w:hint="default" w:ascii="Times New Roman" w:hAnsi="Times New Roman" w:eastAsia="宋体" w:cs="Times New Roman"/>
          <w:spacing w:val="6"/>
          <w:sz w:val="18"/>
          <w:szCs w:val="18"/>
        </w:rPr>
      </w:pPr>
      <w:r>
        <w:rPr>
          <w:rFonts w:hint="default" w:ascii="Times New Roman" w:hAnsi="Times New Roman" w:eastAsia="宋体" w:cs="Times New Roman"/>
          <w:spacing w:val="6"/>
          <w:sz w:val="18"/>
          <w:szCs w:val="18"/>
        </w:rPr>
        <mc:AlternateContent>
          <mc:Choice Requires="wps">
            <w:drawing>
              <wp:anchor distT="0" distB="0" distL="114300" distR="114300" simplePos="0" relativeHeight="251662336" behindDoc="1" locked="0" layoutInCell="1" allowOverlap="1">
                <wp:simplePos x="0" y="0"/>
                <wp:positionH relativeFrom="column">
                  <wp:posOffset>391160</wp:posOffset>
                </wp:positionH>
                <wp:positionV relativeFrom="paragraph">
                  <wp:posOffset>2787015</wp:posOffset>
                </wp:positionV>
                <wp:extent cx="2999105" cy="107315"/>
                <wp:effectExtent l="0" t="0" r="0" b="0"/>
                <wp:wrapNone/>
                <wp:docPr id="7" name="文本框 7"/>
                <wp:cNvGraphicFramePr/>
                <a:graphic xmlns:a="http://schemas.openxmlformats.org/drawingml/2006/main">
                  <a:graphicData uri="http://schemas.microsoft.com/office/word/2010/wordprocessingShape">
                    <wps:wsp>
                      <wps:cNvSpPr txBox="1"/>
                      <wps:spPr>
                        <a:xfrm>
                          <a:off x="0" y="0"/>
                          <a:ext cx="2999105" cy="107315"/>
                        </a:xfrm>
                        <a:prstGeom prst="rect">
                          <a:avLst/>
                        </a:prstGeom>
                        <a:noFill/>
                        <a:ln>
                          <a:noFill/>
                        </a:ln>
                      </wps:spPr>
                      <wps:txbx>
                        <w:txbxContent>
                          <w:p w14:paraId="5BC6A4AC">
                            <w:pPr>
                              <w:spacing w:before="19" w:line="223" w:lineRule="auto"/>
                              <w:ind w:left="20"/>
                              <w:rPr>
                                <w:rFonts w:ascii="Arial" w:hAnsi="Arial" w:eastAsia="Arial" w:cs="Arial"/>
                                <w:sz w:val="12"/>
                                <w:szCs w:val="12"/>
                              </w:rPr>
                            </w:pPr>
                            <w:r>
                              <w:rPr>
                                <w:rFonts w:ascii="Arial" w:hAnsi="Arial" w:eastAsia="Arial" w:cs="Arial"/>
                                <w:spacing w:val="3"/>
                                <w:sz w:val="12"/>
                                <w:szCs w:val="12"/>
                              </w:rPr>
                              <w:t>[14]</w:t>
                            </w:r>
                            <w:r>
                              <w:rPr>
                                <w:rFonts w:ascii="Arial" w:hAnsi="Arial" w:eastAsia="Arial" w:cs="Arial"/>
                                <w:sz w:val="12"/>
                                <w:szCs w:val="12"/>
                              </w:rPr>
                              <w:t>DeeplearningMSR</w:t>
                            </w:r>
                            <w:r>
                              <w:rPr>
                                <w:rFonts w:ascii="Arial" w:hAnsi="Arial" w:eastAsia="Arial" w:cs="Arial"/>
                                <w:spacing w:val="3"/>
                                <w:sz w:val="12"/>
                                <w:szCs w:val="12"/>
                              </w:rPr>
                              <w:t>-</w:t>
                            </w:r>
                            <w:r>
                              <w:rPr>
                                <w:rFonts w:ascii="Arial" w:hAnsi="Arial" w:eastAsia="Arial" w:cs="Arial"/>
                                <w:sz w:val="12"/>
                                <w:szCs w:val="12"/>
                              </w:rPr>
                              <w:t>VTTROUGE</w:t>
                            </w:r>
                            <w:r>
                              <w:rPr>
                                <w:rFonts w:ascii="Arial" w:hAnsi="Arial" w:eastAsia="Arial" w:cs="Arial"/>
                                <w:spacing w:val="3"/>
                                <w:sz w:val="12"/>
                                <w:szCs w:val="12"/>
                              </w:rPr>
                              <w:t>-1</w:t>
                            </w:r>
                          </w:p>
                        </w:txbxContent>
                      </wps:txbx>
                      <wps:bodyPr lIns="0" tIns="0" rIns="0" bIns="0" upright="1"/>
                    </wps:wsp>
                  </a:graphicData>
                </a:graphic>
              </wp:anchor>
            </w:drawing>
          </mc:Choice>
          <mc:Fallback>
            <w:pict>
              <v:shape id="_x0000_s1026" o:spid="_x0000_s1026" o:spt="202" type="#_x0000_t202" style="position:absolute;left:0pt;margin-left:30.8pt;margin-top:219.45pt;height:8.45pt;width:236.15pt;z-index:-251654144;mso-width-relative:page;mso-height-relative:page;" filled="f" stroked="f" coordsize="21600,21600" o:gfxdata="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qwoZn2AAAAAoBAAAPAAAAAAAAAAEAIAAAACIAAABkcnMvZG93bnJldi54bWxQSwEC&#10;FAAUAAAACACHTuJAU4qYIrsBAAByAwAADgAAAAAAAAABACAAAAAnAQAAZHJzL2Uyb0RvYy54bWxQ&#10;SwUGAAAAAAYABgBZAQAAVAUAAAAA&#10;">
                <v:fill on="f" focussize="0,0"/>
                <v:stroke on="f"/>
                <v:imagedata o:title=""/>
                <o:lock v:ext="edit" aspectratio="f"/>
                <v:textbox inset="0mm,0mm,0mm,0mm">
                  <w:txbxContent>
                    <w:p w14:paraId="5BC6A4AC">
                      <w:pPr>
                        <w:spacing w:before="19" w:line="223" w:lineRule="auto"/>
                        <w:ind w:left="20"/>
                        <w:rPr>
                          <w:rFonts w:ascii="Arial" w:hAnsi="Arial" w:eastAsia="Arial" w:cs="Arial"/>
                          <w:sz w:val="12"/>
                          <w:szCs w:val="12"/>
                        </w:rPr>
                      </w:pPr>
                      <w:r>
                        <w:rPr>
                          <w:rFonts w:ascii="Arial" w:hAnsi="Arial" w:eastAsia="Arial" w:cs="Arial"/>
                          <w:spacing w:val="3"/>
                          <w:sz w:val="12"/>
                          <w:szCs w:val="12"/>
                        </w:rPr>
                        <w:t>[14]</w:t>
                      </w:r>
                      <w:r>
                        <w:rPr>
                          <w:rFonts w:ascii="Arial" w:hAnsi="Arial" w:eastAsia="Arial" w:cs="Arial"/>
                          <w:sz w:val="12"/>
                          <w:szCs w:val="12"/>
                        </w:rPr>
                        <w:t>DeeplearningMSR</w:t>
                      </w:r>
                      <w:r>
                        <w:rPr>
                          <w:rFonts w:ascii="Arial" w:hAnsi="Arial" w:eastAsia="Arial" w:cs="Arial"/>
                          <w:spacing w:val="3"/>
                          <w:sz w:val="12"/>
                          <w:szCs w:val="12"/>
                        </w:rPr>
                        <w:t>-</w:t>
                      </w:r>
                      <w:r>
                        <w:rPr>
                          <w:rFonts w:ascii="Arial" w:hAnsi="Arial" w:eastAsia="Arial" w:cs="Arial"/>
                          <w:sz w:val="12"/>
                          <w:szCs w:val="12"/>
                        </w:rPr>
                        <w:t>VTTROUGE</w:t>
                      </w:r>
                      <w:r>
                        <w:rPr>
                          <w:rFonts w:ascii="Arial" w:hAnsi="Arial" w:eastAsia="Arial" w:cs="Arial"/>
                          <w:spacing w:val="3"/>
                          <w:sz w:val="12"/>
                          <w:szCs w:val="12"/>
                        </w:rPr>
                        <w:t>-1</w:t>
                      </w:r>
                    </w:p>
                  </w:txbxContent>
                </v:textbox>
              </v:shape>
            </w:pict>
          </mc:Fallback>
        </mc:AlternateContent>
      </w:r>
      <w:r>
        <w:rPr>
          <w:rFonts w:hint="default" w:ascii="Times New Roman" w:hAnsi="Times New Roman" w:eastAsia="宋体" w:cs="Times New Roman"/>
          <w:spacing w:val="6"/>
          <w:sz w:val="18"/>
          <w:szCs w:val="18"/>
        </w:rPr>
        <mc:AlternateContent>
          <mc:Choice Requires="wps">
            <w:drawing>
              <wp:anchor distT="0" distB="0" distL="114300" distR="114300" simplePos="0" relativeHeight="251663360" behindDoc="1" locked="0" layoutInCell="1" allowOverlap="1">
                <wp:simplePos x="0" y="0"/>
                <wp:positionH relativeFrom="column">
                  <wp:posOffset>358140</wp:posOffset>
                </wp:positionH>
                <wp:positionV relativeFrom="paragraph">
                  <wp:posOffset>3140710</wp:posOffset>
                </wp:positionV>
                <wp:extent cx="3413760" cy="98425"/>
                <wp:effectExtent l="0" t="0" r="0" b="0"/>
                <wp:wrapNone/>
                <wp:docPr id="9" name="文本框 9"/>
                <wp:cNvGraphicFramePr/>
                <a:graphic xmlns:a="http://schemas.openxmlformats.org/drawingml/2006/main">
                  <a:graphicData uri="http://schemas.microsoft.com/office/word/2010/wordprocessingShape">
                    <wps:wsp>
                      <wps:cNvSpPr txBox="1"/>
                      <wps:spPr>
                        <a:xfrm>
                          <a:off x="0" y="0"/>
                          <a:ext cx="3413760" cy="98425"/>
                        </a:xfrm>
                        <a:prstGeom prst="rect">
                          <a:avLst/>
                        </a:prstGeom>
                        <a:noFill/>
                        <a:ln>
                          <a:noFill/>
                        </a:ln>
                      </wps:spPr>
                      <wps:txbx>
                        <w:txbxContent>
                          <w:p w14:paraId="266076A0">
                            <w:pPr>
                              <w:spacing w:before="20" w:line="218" w:lineRule="auto"/>
                              <w:ind w:left="20"/>
                              <w:rPr>
                                <w:rFonts w:ascii="Arial" w:hAnsi="Arial" w:eastAsia="Arial" w:cs="Arial"/>
                                <w:sz w:val="11"/>
                                <w:szCs w:val="11"/>
                              </w:rPr>
                            </w:pPr>
                            <w:r>
                              <w:rPr>
                                <w:rFonts w:ascii="Arial" w:hAnsi="Arial" w:eastAsia="Arial" w:cs="Arial"/>
                                <w:spacing w:val="3"/>
                                <w:sz w:val="11"/>
                                <w:szCs w:val="11"/>
                              </w:rPr>
                              <w:t>[15]</w:t>
                            </w:r>
                            <w:r>
                              <w:rPr>
                                <w:rFonts w:ascii="Arial" w:hAnsi="Arial" w:eastAsia="Arial" w:cs="Arial"/>
                                <w:sz w:val="11"/>
                                <w:szCs w:val="11"/>
                              </w:rPr>
                              <w:t>Deeplearning</w:t>
                            </w:r>
                            <w:r>
                              <w:rPr>
                                <w:rFonts w:ascii="Arial" w:hAnsi="Arial" w:eastAsia="Arial" w:cs="Arial"/>
                                <w:spacing w:val="3"/>
                                <w:sz w:val="11"/>
                                <w:szCs w:val="11"/>
                              </w:rPr>
                              <w:t>-</w:t>
                            </w:r>
                            <w:r>
                              <w:rPr>
                                <w:rFonts w:ascii="Arial" w:hAnsi="Arial" w:eastAsia="Arial" w:cs="Arial"/>
                                <w:sz w:val="11"/>
                                <w:szCs w:val="11"/>
                              </w:rPr>
                              <w:t>ROUGH</w:t>
                            </w:r>
                            <w:r>
                              <w:rPr>
                                <w:rFonts w:ascii="Arial" w:hAnsi="Arial" w:eastAsia="Arial" w:cs="Arial"/>
                                <w:spacing w:val="2"/>
                                <w:sz w:val="11"/>
                                <w:szCs w:val="11"/>
                              </w:rPr>
                              <w:t>0.56</w:t>
                            </w:r>
                            <w:r>
                              <w:rPr>
                                <w:rFonts w:ascii="Arial" w:hAnsi="Arial" w:eastAsia="Arial" w:cs="Arial"/>
                                <w:sz w:val="11"/>
                                <w:szCs w:val="11"/>
                              </w:rPr>
                              <w:t>Ab</w:t>
                            </w:r>
                          </w:p>
                        </w:txbxContent>
                      </wps:txbx>
                      <wps:bodyPr lIns="0" tIns="0" rIns="0" bIns="0" upright="1"/>
                    </wps:wsp>
                  </a:graphicData>
                </a:graphic>
              </wp:anchor>
            </w:drawing>
          </mc:Choice>
          <mc:Fallback>
            <w:pict>
              <v:shape id="_x0000_s1026" o:spid="_x0000_s1026" o:spt="202" type="#_x0000_t202" style="position:absolute;left:0pt;margin-left:28.2pt;margin-top:247.3pt;height:7.75pt;width:268.8pt;z-index:-251653120;mso-width-relative:page;mso-height-relative:page;" filled="f" stroked="f" coordsize="21600,21600" o:gfxdata="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XnIbV2AAAAAoBAAAPAAAAAAAAAAEAIAAAACIAAABkcnMvZG93bnJldi54bWxQSwEC&#10;FAAUAAAACACHTuJAL/jOqbsBAABxAwAADgAAAAAAAAABACAAAAAnAQAAZHJzL2Uyb0RvYy54bWxQ&#10;SwUGAAAAAAYABgBZAQAAVAUAAAAA&#10;">
                <v:fill on="f" focussize="0,0"/>
                <v:stroke on="f"/>
                <v:imagedata o:title=""/>
                <o:lock v:ext="edit" aspectratio="f"/>
                <v:textbox inset="0mm,0mm,0mm,0mm">
                  <w:txbxContent>
                    <w:p w14:paraId="266076A0">
                      <w:pPr>
                        <w:spacing w:before="20" w:line="218" w:lineRule="auto"/>
                        <w:ind w:left="20"/>
                        <w:rPr>
                          <w:rFonts w:ascii="Arial" w:hAnsi="Arial" w:eastAsia="Arial" w:cs="Arial"/>
                          <w:sz w:val="11"/>
                          <w:szCs w:val="11"/>
                        </w:rPr>
                      </w:pPr>
                      <w:r>
                        <w:rPr>
                          <w:rFonts w:ascii="Arial" w:hAnsi="Arial" w:eastAsia="Arial" w:cs="Arial"/>
                          <w:spacing w:val="3"/>
                          <w:sz w:val="11"/>
                          <w:szCs w:val="11"/>
                        </w:rPr>
                        <w:t>[15]</w:t>
                      </w:r>
                      <w:r>
                        <w:rPr>
                          <w:rFonts w:ascii="Arial" w:hAnsi="Arial" w:eastAsia="Arial" w:cs="Arial"/>
                          <w:sz w:val="11"/>
                          <w:szCs w:val="11"/>
                        </w:rPr>
                        <w:t>Deeplearning</w:t>
                      </w:r>
                      <w:r>
                        <w:rPr>
                          <w:rFonts w:ascii="Arial" w:hAnsi="Arial" w:eastAsia="Arial" w:cs="Arial"/>
                          <w:spacing w:val="3"/>
                          <w:sz w:val="11"/>
                          <w:szCs w:val="11"/>
                        </w:rPr>
                        <w:t>-</w:t>
                      </w:r>
                      <w:r>
                        <w:rPr>
                          <w:rFonts w:ascii="Arial" w:hAnsi="Arial" w:eastAsia="Arial" w:cs="Arial"/>
                          <w:sz w:val="11"/>
                          <w:szCs w:val="11"/>
                        </w:rPr>
                        <w:t>ROUGH</w:t>
                      </w:r>
                      <w:r>
                        <w:rPr>
                          <w:rFonts w:ascii="Arial" w:hAnsi="Arial" w:eastAsia="Arial" w:cs="Arial"/>
                          <w:spacing w:val="2"/>
                          <w:sz w:val="11"/>
                          <w:szCs w:val="11"/>
                        </w:rPr>
                        <w:t>0.56</w:t>
                      </w:r>
                      <w:r>
                        <w:rPr>
                          <w:rFonts w:ascii="Arial" w:hAnsi="Arial" w:eastAsia="Arial" w:cs="Arial"/>
                          <w:sz w:val="11"/>
                          <w:szCs w:val="11"/>
                        </w:rPr>
                        <w:t>Ab</w:t>
                      </w:r>
                    </w:p>
                  </w:txbxContent>
                </v:textbox>
              </v:shape>
            </w:pict>
          </mc:Fallback>
        </mc:AlternateContent>
      </w:r>
      <w:r>
        <w:rPr>
          <w:rFonts w:hint="default" w:ascii="Times New Roman" w:hAnsi="Times New Roman" w:eastAsia="宋体" w:cs="Times New Roman"/>
          <w:spacing w:val="6"/>
          <w:sz w:val="18"/>
          <w:szCs w:val="18"/>
        </w:rPr>
        <w:t>表1.智慧城市中视频摘要与/或视频分析应用相关文献研究对比分析</w:t>
      </w:r>
    </w:p>
    <w:p w14:paraId="77A722B0">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参考文献编号</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方法</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数据集</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评估指标</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分数</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简短描述</w:t>
      </w:r>
    </w:p>
    <w:p w14:paraId="1B40C047">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图像处理优化</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VSUMM</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83.25%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静态视频摘要</w:t>
      </w:r>
    </w:p>
    <w:p w14:paraId="277689ED">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神经编码器-解码器</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OVP、TVSum、SumMe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60.7%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基于关键镜头检测的视频摘要</w:t>
      </w:r>
    </w:p>
    <w:p w14:paraId="5D380182">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聚类与Regret最小化</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OVP</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50.59%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基于属性的视频摘要</w:t>
      </w:r>
    </w:p>
    <w:p w14:paraId="6B20206D">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[6]</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DPCS</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78.78%</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体育视频摘要的多模态方法</w:t>
      </w:r>
    </w:p>
    <w:p w14:paraId="04E5811A">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TVSum、SumMe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77.7%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采用目标行为检测的自适应视频摘要</w:t>
      </w:r>
    </w:p>
    <w:p w14:paraId="68C98929">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[8]</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TVSum</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98.7%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通过移除非人类帧进行视频摘要</w:t>
      </w:r>
    </w:p>
    <w:p w14:paraId="72DBD057">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SumMe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45.89%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基于主题的多模态视频摘要</w:t>
      </w:r>
    </w:p>
    <w:p w14:paraId="6ED10447">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自标注羽毛球比赛视频</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46.99%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事件中心视频摘要</w:t>
      </w:r>
    </w:p>
    <w:p w14:paraId="6CBDC5F3">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[11]</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优化、k-means、快速排序</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YouTube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采用不同机器学习技术的视频摘要方法</w:t>
      </w:r>
    </w:p>
    <w:p w14:paraId="72262FCE">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[14]</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MSR-VTT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ROUGE-1</w:t>
      </w:r>
    </w:p>
    <w:p w14:paraId="021BE02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ROUGE-2</w:t>
      </w:r>
    </w:p>
    <w:p w14:paraId="68A05BD7">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ROUGE-L</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40.21</w:t>
      </w:r>
    </w:p>
    <w:p w14:paraId="1B7F7CDE">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17.64</w:t>
      </w:r>
    </w:p>
    <w:p w14:paraId="7E1300D5">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36.59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抽象视频到文本摘要方法</w:t>
      </w:r>
    </w:p>
    <w:p w14:paraId="6A50EA0C">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ROUGH</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0.40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抽象视频到文本摘要方法</w:t>
      </w:r>
    </w:p>
    <w:p w14:paraId="10AA81FD">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[16]</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Switchboard</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ROUGE-1</w:t>
      </w:r>
    </w:p>
    <w:p w14:paraId="1CBE450D">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ROUGE-2</w:t>
      </w:r>
    </w:p>
    <w:p w14:paraId="017713E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ROUGE-L</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0.16</w:t>
      </w:r>
    </w:p>
    <w:p w14:paraId="4E594471">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0.32</w:t>
      </w:r>
    </w:p>
    <w:p w14:paraId="1543346C">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0.32</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抽象视频到文本摘要方法</w:t>
      </w:r>
    </w:p>
    <w:p w14:paraId="12697CD1">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VSUMM、TVSum、SumMe、RAI</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0.91</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基于深度学习的关键帧选择方法</w:t>
      </w:r>
    </w:p>
    <w:p w14:paraId="686A5AD2">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[42]</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67%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智慧城市视频分析中不同目标检测模型的性能分析</w:t>
      </w:r>
    </w:p>
    <w:p w14:paraId="6CB2FA23">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[22]</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BDD100K、Cityscapes</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mAP@0.5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77.15%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基于YOLO的智能城市监控方法</w:t>
      </w:r>
    </w:p>
    <w:p w14:paraId="787CB582">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[23]</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深度学习、物联网</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RW200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80.0%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基于边缘深度学习的事件检测方法</w:t>
      </w:r>
    </w:p>
    <w:p w14:paraId="0A76B409">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[24]</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YouTube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97.77%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智慧城市中基于边缘的学习目标检测方法</w:t>
      </w:r>
    </w:p>
    <w:p w14:paraId="0B4E29D4">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[26]</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EPFL、AICity、SALSA、BDD100K</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96.5%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智慧城市中基于边缘的学习目标检测方法</w:t>
      </w:r>
    </w:p>
    <w:p w14:paraId="3470859F">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[28]</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智慧城市视频中用于降低延迟的有效模型推理方法</w:t>
      </w:r>
    </w:p>
    <w:p w14:paraId="02773170">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RetinaNet-50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AnalyticAccuracy</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35.7%</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用于物联网系统中降低延迟的模型推理方法</w:t>
      </w:r>
    </w:p>
    <w:p w14:paraId="03471108">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YouTube、TVSum</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69.9%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基于深度学习的智能城市优先视频数据处理方法</w:t>
      </w:r>
    </w:p>
    <w:p w14:paraId="45BAF66B">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[31]</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93.09%</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基于深度学习的人群分析方法</w:t>
      </w:r>
    </w:p>
    <w:p w14:paraId="04D1DF0D">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[32]</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InternetMovieFirearmsDatabase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mAP@0.5</w:t>
      </w:r>
    </w:p>
    <w:p w14:paraId="4D0C2A9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mAP@0.75</w:t>
      </w:r>
    </w:p>
    <w:p w14:paraId="5CBE9830">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mAP@0.5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77.02%</w:t>
      </w:r>
    </w:p>
    <w:p w14:paraId="419E9053">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16.04%</w:t>
      </w:r>
    </w:p>
    <w:p w14:paraId="230094B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29.73%</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基于深度学习的智能城市安全场景火灾检测方法</w:t>
      </w:r>
    </w:p>
    <w:p w14:paraId="562B3C41">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[34]</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Syntechdataset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F1-Score</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87.1%</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基于深度学习的事件驱动交通监控方法</w:t>
      </w:r>
    </w:p>
    <w:p w14:paraId="5CF0C5D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[36]</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COCO2017、KITTI</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mAP@0.5</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87.8%</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基于YOLO的实时交通监控方法</w:t>
      </w:r>
    </w:p>
    <w:p w14:paraId="12274A73">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[40]</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深度学习、物联网</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OTB2013</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MPAT</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82.4%</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基于深度学习的高效目标跟踪方法</w:t>
      </w:r>
    </w:p>
    <w:p w14:paraId="2BAC4926">
      <w:pPr>
        <w:spacing w:after="120" w:afterAutospacing="0"/>
        <w:jc w:val="center"/>
        <w:rPr>
          <w:rFonts w:hint="eastAsia" w:ascii="宋体" w:hAnsi="宋体" w:eastAsia="宋体" w:cs="宋体"/>
          <w:b/>
          <w:bCs/>
          <w:sz w:val="19"/>
          <w:szCs w:val="19"/>
        </w:rPr>
      </w:pPr>
      <w:r>
        <w:rPr>
          <w:rFonts w:hint="eastAsia" w:ascii="宋体" w:hAnsi="宋体" w:eastAsia="宋体" w:cs="宋体"/>
          <w:b/>
          <w:bCs/>
          <w:sz w:val="19"/>
          <w:szCs w:val="19"/>
        </w:rPr>
        <w:t>视频处理相关方法及评估数据表</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Layout w:type="autofit"/>
        <w:tblCellMar>
          <w:top w:w="0" w:type="dxa"/>
          <w:left w:w="0" w:type="dxa"/>
          <w:bottom w:w="0" w:type="dxa"/>
          <w:right w:w="0" w:type="dxa"/>
        </w:tblCellMar>
      </w:tblPr>
      <w:tblGrid>
        <w:gridCol w:w="668"/>
        <w:gridCol w:w="1192"/>
        <w:gridCol w:w="3285"/>
        <w:gridCol w:w="1920"/>
        <w:gridCol w:w="770"/>
        <w:gridCol w:w="687"/>
      </w:tblGrid>
      <w:tr w14:paraId="1420D3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03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608436E">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参考文献编号</w:t>
            </w:r>
          </w:p>
        </w:tc>
        <w:tc>
          <w:tcPr>
            <w:tcW w:w="148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21E53FA">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方法</w:t>
            </w:r>
          </w:p>
        </w:tc>
        <w:tc>
          <w:tcPr>
            <w:tcW w:w="0" w:type="auto"/>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0C88D1C">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数据集</w:t>
            </w:r>
          </w:p>
        </w:tc>
        <w:tc>
          <w:tcPr>
            <w:tcW w:w="131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8A683B9">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评估指标</w:t>
            </w:r>
          </w:p>
        </w:tc>
        <w:tc>
          <w:tcPr>
            <w:tcW w:w="0" w:type="auto"/>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446A7D3">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分数</w:t>
            </w:r>
          </w:p>
        </w:tc>
        <w:tc>
          <w:tcPr>
            <w:tcW w:w="187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24B4F53">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简短描述</w:t>
            </w:r>
          </w:p>
        </w:tc>
      </w:tr>
      <w:tr w14:paraId="6E7C98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C85D16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w:t>
            </w:r>
          </w:p>
        </w:tc>
        <w:tc>
          <w:tcPr>
            <w:tcW w:w="148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8B8EAB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图像处理优化</w:t>
            </w:r>
          </w:p>
        </w:tc>
        <w:tc>
          <w:tcPr>
            <w:tcW w:w="0" w:type="auto"/>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C7E167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VSUMM</w:t>
            </w:r>
          </w:p>
        </w:tc>
        <w:tc>
          <w:tcPr>
            <w:tcW w:w="131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4D2B7A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7B241B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83.2%</w:t>
            </w:r>
          </w:p>
        </w:tc>
        <w:tc>
          <w:tcPr>
            <w:tcW w:w="187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1495EF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静态视频摘要</w:t>
            </w:r>
          </w:p>
        </w:tc>
      </w:tr>
      <w:tr w14:paraId="0F03C4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AE7417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568589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神经编码器-解码器</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5691FC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OVP、TVSum、SumMe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CD1DD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708436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60.7%</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398F033">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基于关键镜头检测的视频摘要</w:t>
            </w:r>
          </w:p>
        </w:tc>
      </w:tr>
      <w:tr w14:paraId="56BA5C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0C810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7810C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聚类与Regret最小化</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1B395B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OVP</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6255A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8C153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50.6%</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C80DDE9">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基于属性的视频摘要</w:t>
            </w:r>
          </w:p>
        </w:tc>
      </w:tr>
      <w:tr w14:paraId="45C7E4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5BAF5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59B3ED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FFD3BD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DPCS</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FD036C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F233F7">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78.8%</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6867FA">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体育视频摘要的多模态方法</w:t>
            </w:r>
          </w:p>
        </w:tc>
      </w:tr>
      <w:tr w14:paraId="6E08C2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78E8F2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[7]</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F8BF9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21A4299">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TVSum、SumMe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0B119B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56A79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77.7%</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52840B2">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采用目标行为检测的自适应视频摘要</w:t>
            </w:r>
          </w:p>
        </w:tc>
      </w:tr>
      <w:tr w14:paraId="6173E1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34A6C2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[8]</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E8C76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7FCCBE8">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TVSum</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78ED44">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61C2EC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b/>
              </w:rPr>
              <w:t>98.7%</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0B9C508">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通过移除非人类帧进行视频摘要</w:t>
            </w:r>
          </w:p>
        </w:tc>
      </w:tr>
      <w:tr w14:paraId="6E4723E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1E5FD5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5B3727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53E53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SumMe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640B8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A207B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45.9%</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68C50C">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基于主题的多模态视频摘要</w:t>
            </w:r>
          </w:p>
        </w:tc>
      </w:tr>
      <w:tr w14:paraId="2650F3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6A354F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[10]</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8DCCA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52B334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自标注羽毛球比赛视频</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E7C278">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19E4B5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47.0%</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D3C66D">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事件中心视频摘要</w:t>
            </w:r>
          </w:p>
        </w:tc>
      </w:tr>
      <w:tr w14:paraId="4E5EDD0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938B8A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[11]</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031BAA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优化、k-means、快速排序</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E3BA37">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YouTube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EC228E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4C05273">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91E7E5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采用不同机器学习技术的视频摘要方法</w:t>
            </w:r>
          </w:p>
        </w:tc>
      </w:tr>
      <w:tr w14:paraId="6DBDAE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FBFF0D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[14]</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0B5D87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2479B6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MSR-VTT</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2643E5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ROUGE-1</w:t>
            </w:r>
            <w:r>
              <w:rPr>
                <w:rFonts w:hint="eastAsia" w:ascii="宋体" w:hAnsi="宋体" w:eastAsia="宋体" w:cs="宋体"/>
              </w:rPr>
              <w:br w:type="textWrapping"/>
            </w:r>
            <w:r>
              <w:rPr>
                <w:rFonts w:hint="eastAsia" w:ascii="宋体" w:hAnsi="宋体" w:eastAsia="宋体" w:cs="宋体"/>
              </w:rPr>
              <w:t>ROUGE-2</w:t>
            </w:r>
            <w:r>
              <w:rPr>
                <w:rFonts w:hint="eastAsia" w:ascii="宋体" w:hAnsi="宋体" w:eastAsia="宋体" w:cs="宋体"/>
              </w:rPr>
              <w:br w:type="textWrapping"/>
            </w:r>
            <w:r>
              <w:rPr>
                <w:rFonts w:hint="eastAsia" w:ascii="宋体" w:hAnsi="宋体" w:eastAsia="宋体" w:cs="宋体"/>
              </w:rPr>
              <w:t>ROUGE-L</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26AB39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40.2</w:t>
            </w:r>
            <w:r>
              <w:rPr>
                <w:rFonts w:hint="eastAsia" w:ascii="宋体" w:hAnsi="宋体" w:eastAsia="宋体" w:cs="宋体"/>
              </w:rPr>
              <w:br w:type="textWrapping"/>
            </w:r>
            <w:r>
              <w:rPr>
                <w:rFonts w:hint="eastAsia" w:ascii="宋体" w:hAnsi="宋体" w:eastAsia="宋体" w:cs="宋体"/>
              </w:rPr>
              <w:t>17.6</w:t>
            </w:r>
            <w:r>
              <w:rPr>
                <w:rFonts w:hint="eastAsia" w:ascii="宋体" w:hAnsi="宋体" w:eastAsia="宋体" w:cs="宋体"/>
              </w:rPr>
              <w:br w:type="textWrapping"/>
            </w:r>
            <w:r>
              <w:rPr>
                <w:rFonts w:hint="eastAsia" w:ascii="宋体" w:hAnsi="宋体" w:eastAsia="宋体" w:cs="宋体"/>
              </w:rPr>
              <w:t>36.6</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98A86CA">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抽象视频到文本摘要方法</w:t>
            </w:r>
          </w:p>
        </w:tc>
      </w:tr>
      <w:tr w14:paraId="09217A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51C95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[15]</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63B9D6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50949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44DD37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ROUGH</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71D73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0.4</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96A4EC7">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抽象视频到文本摘要方法</w:t>
            </w:r>
          </w:p>
        </w:tc>
      </w:tr>
      <w:tr w14:paraId="2145B5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BE9A7F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[16]</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7D5191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2A283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Switchboard</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E2475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ROUGE-1</w:t>
            </w:r>
            <w:r>
              <w:rPr>
                <w:rFonts w:hint="eastAsia" w:ascii="宋体" w:hAnsi="宋体" w:eastAsia="宋体" w:cs="宋体"/>
              </w:rPr>
              <w:br w:type="textWrapping"/>
            </w:r>
            <w:r>
              <w:rPr>
                <w:rFonts w:hint="eastAsia" w:ascii="宋体" w:hAnsi="宋体" w:eastAsia="宋体" w:cs="宋体"/>
              </w:rPr>
              <w:t>ROUGE-2</w:t>
            </w:r>
            <w:r>
              <w:rPr>
                <w:rFonts w:hint="eastAsia" w:ascii="宋体" w:hAnsi="宋体" w:eastAsia="宋体" w:cs="宋体"/>
              </w:rPr>
              <w:br w:type="textWrapping"/>
            </w:r>
            <w:r>
              <w:rPr>
                <w:rFonts w:hint="eastAsia" w:ascii="宋体" w:hAnsi="宋体" w:eastAsia="宋体" w:cs="宋体"/>
              </w:rPr>
              <w:t>ROUGE-L</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2418E8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0.2</w:t>
            </w:r>
            <w:r>
              <w:rPr>
                <w:rFonts w:hint="eastAsia" w:ascii="宋体" w:hAnsi="宋体" w:eastAsia="宋体" w:cs="宋体"/>
              </w:rPr>
              <w:br w:type="textWrapping"/>
            </w:r>
            <w:r>
              <w:rPr>
                <w:rFonts w:hint="eastAsia" w:ascii="宋体" w:hAnsi="宋体" w:eastAsia="宋体" w:cs="宋体"/>
              </w:rPr>
              <w:t>0.3</w:t>
            </w:r>
            <w:r>
              <w:rPr>
                <w:rFonts w:hint="eastAsia" w:ascii="宋体" w:hAnsi="宋体" w:eastAsia="宋体" w:cs="宋体"/>
              </w:rPr>
              <w:br w:type="textWrapping"/>
            </w:r>
            <w:r>
              <w:rPr>
                <w:rFonts w:hint="eastAsia" w:ascii="宋体" w:hAnsi="宋体" w:eastAsia="宋体" w:cs="宋体"/>
              </w:rPr>
              <w:t>0.3</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F514D6C">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抽象视频到文本摘要方法</w:t>
            </w:r>
          </w:p>
        </w:tc>
      </w:tr>
      <w:tr w14:paraId="7683F7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95EB59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548A26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3B5860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VSUMM、TVSum、SumMe、RAI</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D2C5F34">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387744">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91.0%</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C0BBD5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基于深度学习的关键帧选择方法</w:t>
            </w:r>
          </w:p>
        </w:tc>
      </w:tr>
      <w:tr w14:paraId="5F4D8D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516D1A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D697F2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D19DC9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[42]</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96DDA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1D50E8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67.0%</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7EB4F2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智慧城市视频分析中不同目标检测模型的性能分析</w:t>
            </w:r>
          </w:p>
        </w:tc>
      </w:tr>
      <w:tr w14:paraId="29F801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99FBE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[22]</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432345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2B76B57">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BDD100K、Cityscapes</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91C97D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mAP@0.5</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A6DE5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77.2%</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9DA0A2">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基于YOLO的智能城市监控方法</w:t>
            </w:r>
          </w:p>
        </w:tc>
      </w:tr>
      <w:tr w14:paraId="2FF17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B8FCDA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23</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7B4D17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深度学习、物联网</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C0B9F9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RW200</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C622EC3">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F9D947">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80.0%</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0A3C8D7">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基于边缘深度学习的事件检测方法</w:t>
            </w:r>
          </w:p>
        </w:tc>
      </w:tr>
      <w:tr w14:paraId="7E6633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9C75B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24</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29800A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678410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YouTube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8912A58">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5DBD739">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b/>
              </w:rPr>
              <w:t>97.8%</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A8B67ED">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智慧城市中基于边缘的学习目标检测方法</w:t>
            </w:r>
          </w:p>
        </w:tc>
      </w:tr>
      <w:tr w14:paraId="4BD524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19BF4C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26</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62262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24F0CF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EPFL、AICity、SALSA、BDD100K</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D70D59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876ADA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96.5%</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18D30F">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智慧城市中基于边缘的学习目标检测方法</w:t>
            </w:r>
          </w:p>
        </w:tc>
      </w:tr>
      <w:tr w14:paraId="74A98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AED91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28</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65ACE3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79EB10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0A8789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C5A264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A96BF68">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智慧城市视频中用于降低延迟的有效模型推理方法</w:t>
            </w:r>
          </w:p>
        </w:tc>
      </w:tr>
      <w:tr w14:paraId="545F2CC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B3F261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29</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AD4C7B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F4B38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RetinaNet-50</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304303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AnalyticAccuracy</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FFEB8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35.7%</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A4F523D">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用于物联网系统中降低延迟的模型推理方法</w:t>
            </w:r>
          </w:p>
        </w:tc>
      </w:tr>
      <w:tr w14:paraId="04A46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01981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12C318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786B0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YouTube、TVSum</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279CED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5CD5F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69.9%</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AE6ABE">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基于深度学习的智能城市优先视频数据处理方法</w:t>
            </w:r>
          </w:p>
        </w:tc>
      </w:tr>
      <w:tr w14:paraId="6E98EA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E0B14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31</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0A29F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7D80F4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5E45C5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CF980C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93.1%</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13E513">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基于深度学习的人群分析方法</w:t>
            </w:r>
          </w:p>
        </w:tc>
      </w:tr>
      <w:tr w14:paraId="3C8F12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9ED4C7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32</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7F17AA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706F5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InternetMovieFirearmsDatabase</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1059A67">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mAP@0.5</w:t>
            </w:r>
            <w:r>
              <w:rPr>
                <w:rFonts w:hint="eastAsia" w:ascii="宋体" w:hAnsi="宋体" w:eastAsia="宋体" w:cs="宋体"/>
              </w:rPr>
              <w:br w:type="textWrapping"/>
            </w:r>
            <w:r>
              <w:rPr>
                <w:rFonts w:hint="eastAsia" w:ascii="宋体" w:hAnsi="宋体" w:eastAsia="宋体" w:cs="宋体"/>
              </w:rPr>
              <w:t>mAP@0.75</w:t>
            </w:r>
            <w:r>
              <w:rPr>
                <w:rFonts w:hint="eastAsia" w:ascii="宋体" w:hAnsi="宋体" w:eastAsia="宋体" w:cs="宋体"/>
              </w:rPr>
              <w:br w:type="textWrapping"/>
            </w:r>
            <w:r>
              <w:rPr>
                <w:rFonts w:hint="eastAsia" w:ascii="宋体" w:hAnsi="宋体" w:eastAsia="宋体" w:cs="宋体"/>
              </w:rPr>
              <w:t>mAP@0.5</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565308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77.0%</w:t>
            </w:r>
            <w:r>
              <w:rPr>
                <w:rFonts w:hint="eastAsia" w:ascii="宋体" w:hAnsi="宋体" w:eastAsia="宋体" w:cs="宋体"/>
              </w:rPr>
              <w:br w:type="textWrapping"/>
            </w:r>
            <w:r>
              <w:rPr>
                <w:rFonts w:hint="eastAsia" w:ascii="宋体" w:hAnsi="宋体" w:eastAsia="宋体" w:cs="宋体"/>
              </w:rPr>
              <w:t>16.0%</w:t>
            </w:r>
            <w:r>
              <w:rPr>
                <w:rFonts w:hint="eastAsia" w:ascii="宋体" w:hAnsi="宋体" w:eastAsia="宋体" w:cs="宋体"/>
              </w:rPr>
              <w:br w:type="textWrapping"/>
            </w:r>
            <w:r>
              <w:rPr>
                <w:rFonts w:hint="eastAsia" w:ascii="宋体" w:hAnsi="宋体" w:eastAsia="宋体" w:cs="宋体"/>
              </w:rPr>
              <w:t>29.7%</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CF6D5D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基于深度学习的智能城市安全场景火灾检测方法</w:t>
            </w:r>
          </w:p>
        </w:tc>
      </w:tr>
      <w:tr w14:paraId="03A523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2FD681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34</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D87823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CB363A">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Syntechdataset</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A420CA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F1-Score</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8CB27C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87.1%</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9D3DDEA">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基于深度学习的事件驱动交通监控方法</w:t>
            </w:r>
          </w:p>
        </w:tc>
      </w:tr>
      <w:tr w14:paraId="7FEFE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PrEx>
        <w:trPr>
          <w:trHeight w:val="0" w:hRule="atLeast"/>
          <w:jc w:val="center"/>
        </w:trPr>
        <w:tc>
          <w:tcPr>
            <w:tcW w:w="103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2C39E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36</w:t>
            </w:r>
          </w:p>
        </w:tc>
        <w:tc>
          <w:tcPr>
            <w:tcW w:w="148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F2C72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CA8506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COCO2017、KITTI</w:t>
            </w:r>
          </w:p>
        </w:tc>
        <w:tc>
          <w:tcPr>
            <w:tcW w:w="13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4B3EB23">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mAP@0.5</w:t>
            </w:r>
          </w:p>
        </w:tc>
        <w:tc>
          <w:tcPr>
            <w:tcW w:w="0" w:type="auto"/>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3A8F1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b/>
              </w:rPr>
              <w:t>87.8%</w:t>
            </w:r>
          </w:p>
        </w:tc>
        <w:tc>
          <w:tcPr>
            <w:tcW w:w="18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9B7F86">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基于YOLO的实时交通监控方法</w:t>
            </w:r>
          </w:p>
        </w:tc>
      </w:tr>
      <w:tr w14:paraId="1E48680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hemeFill="background1"/>
        </w:tblPrEx>
        <w:trPr>
          <w:trHeight w:val="0" w:hRule="atLeast"/>
          <w:jc w:val="center"/>
        </w:trPr>
        <w:tc>
          <w:tcPr>
            <w:tcW w:w="103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8135E6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40</w:t>
            </w:r>
          </w:p>
        </w:tc>
        <w:tc>
          <w:tcPr>
            <w:tcW w:w="148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93EA23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深度学习、物联网</w:t>
            </w:r>
          </w:p>
        </w:tc>
        <w:tc>
          <w:tcPr>
            <w:tcW w:w="203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65B3299">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OTB2013</w:t>
            </w:r>
          </w:p>
        </w:tc>
        <w:tc>
          <w:tcPr>
            <w:tcW w:w="131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31F2D8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MPAT</w:t>
            </w:r>
          </w:p>
        </w:tc>
        <w:tc>
          <w:tcPr>
            <w:tcW w:w="77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B5722D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82.4%</w:t>
            </w:r>
          </w:p>
        </w:tc>
        <w:tc>
          <w:tcPr>
            <w:tcW w:w="187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733EF9F">
            <w:pPr>
              <w:snapToGrid w:val="0"/>
              <w:ind w:left="0" w:leftChars="0" w:right="0" w:rightChars="0" w:firstLine="0" w:firstLineChars="0"/>
              <w:jc w:val="right"/>
              <w:rPr>
                <w:rFonts w:hint="eastAsia" w:ascii="宋体" w:hAnsi="宋体" w:eastAsia="宋体" w:cs="宋体"/>
              </w:rPr>
            </w:pPr>
            <w:r>
              <w:rPr>
                <w:rFonts w:hint="eastAsia" w:ascii="宋体" w:hAnsi="宋体" w:eastAsia="宋体" w:cs="宋体"/>
              </w:rPr>
              <w:t>基于深度学习的高效目标跟踪方法</w:t>
            </w:r>
          </w:p>
        </w:tc>
      </w:tr>
    </w:tbl>
    <w:p w14:paraId="51D15174">
      <w:pPr>
        <w:spacing w:line="240" w:lineRule="auto"/>
        <w:ind w:firstLine="480" w:firstLineChars="200"/>
        <w:rPr>
          <w:rFonts w:hint="default" w:ascii="Times New Roman" w:hAnsi="Times New Roman" w:eastAsia="宋体" w:cs="Times New Roman"/>
          <w:bCs/>
          <w:iCs/>
          <w:sz w:val="24"/>
          <w:lang w:val="en-US" w:eastAsia="zh-CN"/>
        </w:rPr>
      </w:pPr>
    </w:p>
    <w:p w14:paraId="537F0AD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分析领域。通过系统梳理现有研究发现，智慧城市视频分析方法普遍围绕以下问题展开解决方案：</w:t>
      </w:r>
    </w:p>
    <w:p w14:paraId="2716CC5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•基于视频对象检测、跟踪及分析操作的应用程序</w:t>
      </w:r>
    </w:p>
    <w:p w14:paraId="1CC41D0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•用于检测视频中暴力事件、灾难事故等异常情况并执行相关分析的应用程序</w:t>
      </w:r>
    </w:p>
    <w:p w14:paraId="3144731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•采用流调度与边缘计算等技术的应用程序，可最大限度提升视频分析方法中机器学习、数据挖掘及图像处理等技术的执行效率。</w:t>
      </w:r>
    </w:p>
    <w:p w14:paraId="3E9A2A6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•对异常事件的手动观察，尤其针对从事城市行政管理或基础设施建设人员的情况，且未纳入文献研究范畴。</w:t>
      </w:r>
    </w:p>
    <w:p w14:paraId="4853B66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通过对视频摘要化领域内应用案例的分析所得出的结论如下：</w:t>
      </w:r>
    </w:p>
    <w:p w14:paraId="5E77F11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•能够利用专门化序列图像帧关系进行视频摘要的神经架构，或通过特定视角获取关系的架构</w:t>
      </w:r>
      <w:r>
        <w:rPr>
          <w:rFonts w:hint="eastAsia" w:ascii="Times New Roman" w:hAnsi="Times New Roman" w:cs="Times New Roman"/>
          <w:bCs/>
          <w:iCs/>
          <w:sz w:val="24"/>
          <w:lang w:val="en-US" w:eastAsia="zh-CN"/>
        </w:rPr>
        <w:t>。</w:t>
      </w:r>
    </w:p>
    <w:p w14:paraId="517B3F2C">
      <w:pPr>
        <w:spacing w:before="17"/>
        <w:rPr/>
      </w:pPr>
      <w:r>
        <w:t>可采用不同的数据挖掘或机器学习方法来处理经典图像处理与分析技术。</w:t>
      </w:r>
    </w:p>
    <w:p w14:paraId="7004730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•在多模态神经架构中，除视频数据外，音频数据亦可应用于神经架构中。</w:t>
      </w:r>
    </w:p>
    <w:p w14:paraId="26976AD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•视频摘要可采用目标检测-跟踪、活动识别、直方图分析等功能。当神经网络架构不用于摘要生成时，则可采用数据挖掘与机器学习方法，如聚类分析、优化算法等。</w:t>
      </w:r>
    </w:p>
    <w:p w14:paraId="141EF9C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所实现的视频摘要方法本质上可支持多视角分析，尤其适用于体育视频等应用场景。</w:t>
      </w:r>
    </w:p>
    <w:p w14:paraId="718B5F8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•摘要生成方法可基于关键帧检测或关键镜头选择。基于上述文献研究结果，我们开发的视频摘要应用系统具有以下特征与贡献：</w:t>
      </w:r>
    </w:p>
    <w:p w14:paraId="1A98454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•我们在智慧城市框架下开发的视频摘要方法需要生成两种不同质量的摘要视频，包括异常事件序列以及保留目标检测与跟踪特征。</w:t>
      </w:r>
    </w:p>
    <w:p w14:paraId="6195B3A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针对基于事件的视频摘要方法，需要开发多种神经网络架构，并根据其记忆容量、计算成本和准确度指标进行比较。在此背景下，LSTM层或注意力层需评估这些特征，以便提取图像特征，并通过预训练与非预训练的CNN架构学习序列关联关系。</w:t>
      </w:r>
    </w:p>
    <w:p w14:paraId="08D3B0E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•经过训练的模型需将视频序列分类为二元正常-异常状态，异常视频序列将被纳入摘要视频中。因此，摘要性能的评估应基于相关模型的分类性能进行。</w:t>
      </w:r>
    </w:p>
    <w:p w14:paraId="1255761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•在分类过程中无需对异常事件进行内部分类，因为在汇总过程中，主要标准是事件是否异常，而非其类型。</w:t>
      </w:r>
    </w:p>
    <w:p w14:paraId="12BA85F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•在采用目标检测与跟踪技术的视频分析方法中，其主要目的通常在于执行这些操作，或通过这些操作解决诸如交通密度、人群分析等问题。</w:t>
      </w:r>
    </w:p>
    <w:p w14:paraId="1B448B86">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•最能保留该过程相关信息的方法是热图。通过热图，可最大限度地可视化检测到的物体及其运动信息。</w:t>
      </w:r>
    </w:p>
    <w:p w14:paraId="569D7B8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当前大多数智慧城市视频监控系统采用边缘计算或云端处理方式进行目标检测或跟踪。针对此类方案，应采用以下方法：将目标检测生成的热力图应用于视频摘要处理过程，并在组合时通过优化算法筛选出与该热力图特征相似的n帧图像。</w:t>
      </w:r>
    </w:p>
    <w:p w14:paraId="32EC136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•对于当前未执行目标检测或跟踪的方法，应通过基于光流分析创建热图来执行相同的优化过程。</w:t>
      </w:r>
    </w:p>
    <w:p w14:paraId="6685621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•为评估两种方法的效果，需对比原始视频与摘要视频中检测到的物体数量。此外，优化过程中的参数设置应根据上述对比结果进行调整。</w:t>
      </w:r>
    </w:p>
    <w:p w14:paraId="7FA56B8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•可见，以目标检测为核心的摘要生成过程是以关键帧选择为特征的摘要方法；而基于事件异常的摘要</w:t>
      </w:r>
    </w:p>
    <w:p w14:paraId="7B0E2FC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生成过程则以关键镜头判定为特征的摘要方法。两种方法均无需多视角或多模态特征。由于所开发方法的输出为视频，其摘要生成过程属于提取式处</w:t>
      </w:r>
      <w:r>
        <w:rPr>
          <w:rFonts w:hint="default" w:ascii="Times New Roman" w:hAnsi="Times New Roman" w:eastAsia="宋体" w:cs="Times New Roman"/>
          <w:bCs/>
          <w:iCs/>
          <w:sz w:val="24"/>
          <w:lang w:val="en-US" w:eastAsia="zh-CN"/>
        </w:rPr>
        <w:tab/>
      </w:r>
      <w:r>
        <w:rPr>
          <w:rFonts w:hint="default" w:ascii="Times New Roman" w:hAnsi="Times New Roman" w:eastAsia="宋体" w:cs="Times New Roman"/>
          <w:bCs/>
          <w:iCs/>
          <w:sz w:val="24"/>
          <w:lang w:val="en-US" w:eastAsia="zh-CN"/>
        </w:rPr>
        <w:t>理。</w:t>
      </w:r>
    </w:p>
    <w:p w14:paraId="48AB66B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•例如，通过视频分析方法生成视频报告需要进行抽象化处理或采用多模态技术。我们的目标是生成摘要视频，以便将这些方法以低成本集成到智慧城市系统中。因此，无需采用多模态技术。</w:t>
      </w:r>
    </w:p>
    <w:p w14:paraId="3806369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•目前开发的方法尚无法实现多视角视频摘要功能，但智慧城市监控系统已集成多个影像设备。为避免遗漏关键特征或事件，采用对各影像设备视频进行独立摘要的方案将更具准确性。</w:t>
      </w:r>
    </w:p>
    <w:p w14:paraId="12D7EC5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•应采用ApacheKafka技术来整合所开发的方法，并确保在边缘计算与云计算环境中实现自适应集成。</w:t>
      </w:r>
    </w:p>
    <w:p w14:paraId="3E5D3B6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所提出方法的贡献如下所示；</w:t>
      </w:r>
    </w:p>
    <w:p w14:paraId="49FA57A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•为智慧城市视频监控开发的这种摘要方法，不仅能为人工监控保留有价值的信息，还能确保摘要视频中完整保留关键特征，从而满足文献记载的视频分析应用需求及现有智慧城市系统的要求。</w:t>
      </w:r>
    </w:p>
    <w:p w14:paraId="6F113DF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•在基于事件异常的视频摘要方法中开发的注意力层Transformer模型，其性能表现超过95%（96.7%），且该模型推理过程所需的内存与处理成本也相当低。</w:t>
      </w:r>
    </w:p>
    <w:p w14:paraId="510D4CA6">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从异常视频片段中筛选出代表事件关键节点的图像帧，本研究采用Transformer模型计算的注意力分数进行筛选。该创新方法具有显著优势：无需专门针对关键帧检测过程进行新模型训练，既保持了模型的可扩展性，又实现了高效的数据处理。</w:t>
      </w:r>
    </w:p>
    <w:p w14:paraId="70E0AE2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•在基于目标检测与跟踪的视频摘要方法中，关键帧的选择通过基于热图相似性的优化过程实现。</w:t>
      </w:r>
    </w:p>
    <w:p w14:paraId="2F06CE4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评估摘要生成方法时，通过物体检测过程生成热图的对象计数流程平均准确率达93.4%，而光流分析流程的评估结果平均准确率为92.7%。这表明所生成的摘要视频在保持统计特性的同时，展现出极高的性能表现。</w:t>
      </w:r>
    </w:p>
    <w:p w14:paraId="2CBA43C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•因此，本研究确定了智慧城市视频多用途摘要的主要要求，并提出了满足这些要求的不同方法。</w:t>
      </w:r>
    </w:p>
    <w:p w14:paraId="34145E7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我们提出了各项技术需求并进行了对比分析，采用ApacheKafka技术实现与所有智慧城市系统的无缝集成。选择Kafka技术的核心优势在于其具备数据流存储与回放能力。相比之下，Flink和Spark主要以事务处理为导向，数据存储能力存在明显局限。通过本研究开发的方法，有效减少了基于事件的视频人工观测时间损耗、自动化分析过程中的处理成本，以及聚焦于目标检测与跟踪的视频分析应用所需处理资源消耗。此外，该方法还能根据智慧城市管理方制定的策略框架，对原始视频进行智能删除决策，从而避免不必要的存储资源浪费。</w:t>
      </w:r>
    </w:p>
    <w:p w14:paraId="6BFD3C9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•所提出方法的优势以及对处理、存储和内存成本的最小化，为智慧城市（特别是在可持续性框架下）提供了额外的重要贡献。</w:t>
      </w:r>
    </w:p>
    <w:p w14:paraId="057F630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旅游活动会对景区的自然环境造成损害，包括餐馆和酒店产生的生活污水、废气、固体废物，以及旅游娱乐设施运营产生的噪音。然而，当游客数量超过景区生态系统所能承受的范围时，有必要人为地减轻景区的调整压力或限制游客数量。通过这种双向调节，可以平衡景区的旅游承载能力和生态环境。</w:t>
      </w:r>
    </w:p>
    <w:p w14:paraId="508A526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旅游设施承载力是指旅游目的地各种设施的完备程度，是衡量旅游地满足游客需求能力的重要评价指标[31]。它包括停车场数量、酒店床位数、交通便利程度、通讯等基础设施的完备程度、水、电、气等基本能源的供应能力，以及景区的投资规模和密度。游客的心理承载力是游客对旅游体验是否满意的重要因素，它指的是游客在不影响旅游体验的情况下所能承受的最大拥挤程度。</w:t>
      </w:r>
    </w:p>
    <w:p w14:paraId="382B61F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旅游数据可视化信息平台的主要功能是统计、分析和展示获取的旅游统计数据的不同类型，本文研究的主要数据源包括旅客的出行信息、旅客的预订信息、旅客的位置信息等。</w:t>
      </w:r>
    </w:p>
    <w:p w14:paraId="7F886E0A">
      <w:pPr>
        <w:pStyle w:val="3"/>
        <w:bidi w:val="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r>
        <w:rPr>
          <w:rFonts w:hint="default" w:ascii="Times New Roman" w:hAnsi="Times New Roman" w:eastAsia="宋体" w:cs="Times New Roman"/>
          <w:lang w:val="en-US" w:eastAsia="zh-CN"/>
        </w:rPr>
        <w:t>提出的方法</w:t>
      </w:r>
    </w:p>
    <w:p w14:paraId="4E56B58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如前所述，本研究为智慧城市视频监控应用开发了一种新型多功能视频摘要方法。该方法旨在针对事件导向型与对象导向型视频监控场景分别生成两种不同摘要视频。在此背景下，我们开发了两种差异化摘要方案：第一种采用遗传算法进行视频摘要，适用于以特征检测或目标追踪为核心的视频分析场景，通过合并n帧关键帧实现特征最大程度保留；第二种通过神经网络架构对异常视频序列进行分类（正常/异常），通过融合异常视</w:t>
      </w:r>
      <w:bookmarkStart w:id="3" w:name="bookmark45"/>
      <w:bookmarkEnd w:id="3"/>
      <w:r>
        <w:rPr>
          <w:rFonts w:hint="default" w:ascii="Times New Roman" w:hAnsi="Times New Roman" w:eastAsia="宋体" w:cs="Times New Roman"/>
          <w:bCs/>
          <w:iCs/>
          <w:sz w:val="24"/>
          <w:lang w:val="en-US" w:eastAsia="zh-CN"/>
        </w:rPr>
        <w:t>频序列构建视频摘要系统。图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展示了完整视频摘要方法的框图结构。如图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所示，物联网边缘设备采集的实时视频通过Kafka流传输至视频分析队列。在智慧城市场景中，视频分析算法可选择在边缘设备或云端进行计算处理。ApacheKafka是视频分析应用中当前不可或缺的核心组件，对视频流的有效处理至关重要。因此，我们致力于使开发的方法能与ApacheKafka实现无缝集成。本方案的两大基础摘要组件将分别通过Kafka主题处理视频数据批次。需要说明的是，以特征为中心的摘要处理方法主要针对两种应用场景：众所周知，在智慧城市监控应用的视频分析系统中，目标检测和/或跟踪操作通常在边缘设备端执行。若将本视频摘要方案集成至此类系统，通过基于边缘端目标检测生成的热力图，并将其应用于遗传算法中，仅需将遗传算法运算成本转嫁至当前系统。但若将本视频摘要系统集成到当前不具</w:t>
      </w:r>
    </w:p>
    <w:p w14:paraId="5A1CED5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备目标检测功能的智慧城市视频监控系统中，则需采用通过光流分析获取的热力图进行目标检测，从而实现流程优化。这涉及处理成本问题。遗传算法的核心目标在于筛选出特定数量的帧，使其生成的热力图与代表完整视频的热力图最为接近。在第二种方法中，我们训练了多个执行视频分类任务的神经网络架构。在视频分类过程中，需要采用既能学习视觉特征又能捕捉帧间关联性的方法。因此，我们采用预训练与非预训练的卷积神经网络架构，在神经网络的初始层提取视觉特征，并运用注意力机制或RNN机制的神经架构通过这些特征来学习帧间关联性。通过不同配置组合训练多种神经网络架构，并根据性能指标、损失函数及参数量等特征进行对比分析。如图3所示，在检测到异常视频序列时，系统会通过确保这些异常序列被纳入摘要视频来执行视频摘要处理流程。为深入理解这些方法的特点（包括对已开发方法的详细解释及评估指标），我们认为有必要将其分别归类进行考察。</w:t>
      </w:r>
    </w:p>
    <w:p w14:paraId="2D243406">
      <w:pPr>
        <w:spacing w:line="240" w:lineRule="auto"/>
        <w:ind w:firstLine="420" w:firstLineChars="200"/>
        <w:jc w:val="center"/>
        <w:rPr>
          <w:rFonts w:hint="default" w:ascii="Times New Roman" w:hAnsi="Times New Roman" w:eastAsia="宋体" w:cs="Times New Roman"/>
          <w:bCs/>
          <w:iCs/>
          <w:sz w:val="24"/>
          <w:lang w:val="en-US" w:eastAsia="zh-CN"/>
        </w:rPr>
      </w:pPr>
      <w:r>
        <w:rPr>
          <w:position w:val="-84"/>
        </w:rPr>
        <w:drawing>
          <wp:inline distT="0" distB="0" distL="0" distR="0">
            <wp:extent cx="2913380" cy="2687320"/>
            <wp:effectExtent l="0" t="0" r="12700" b="1016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2"/>
                    <a:stretch>
                      <a:fillRect/>
                    </a:stretch>
                  </pic:blipFill>
                  <pic:spPr>
                    <a:xfrm>
                      <a:off x="0" y="0"/>
                      <a:ext cx="2913887" cy="2687818"/>
                    </a:xfrm>
                    <a:prstGeom prst="rect">
                      <a:avLst/>
                    </a:prstGeom>
                  </pic:spPr>
                </pic:pic>
              </a:graphicData>
            </a:graphic>
          </wp:inline>
        </w:drawing>
      </w:r>
    </w:p>
    <w:p w14:paraId="602A4B95">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图3所提方法的整体框图</w:t>
      </w:r>
    </w:p>
    <w:p w14:paraId="23E8546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基于对象的视频摘要在基于对象的视频摘要领域，根据系统将集成的智慧城市系统的当前特征，已开发出两种不同的场景适配方法。其中第一种方法主要聚焦于当前智能城市系统通常在边缘设备端执行目标检测或跟踪操作。该方法需要通过目标检测结果生成原始视频的热力图。随后，遗传算法基于这些帧组合生成的热力图与原始视频热力图之间的结构相似性（SSIM），从原始视频中筛选出n帧关键帧。通过这种方式，系统仅需承担遗传算法在视频摘要生成过程中产生的处理成本。第二种应用场景涉及尚未实施目标检测的智慧城市场景，此时原始视频热力图需基于光流分析结果构建。在获取参考热力图后，遗传算法筛选出的图像帧生成的热力图同样需进行光流分析处理。相较于目标检测，光流分析的处理成本更低。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展示了以事件为中心的视频摘要模块整体流程框图。如前所述，且如图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所示，两种方法均采用了热图分析。基于目标检测生成的热图分析过程遵循以下步骤：</w:t>
      </w:r>
    </w:p>
    <w:p w14:paraId="482A1AE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•热图中的空矩阵按帧尺寸创建。</w:t>
      </w:r>
    </w:p>
    <w:p w14:paraId="51A0DB1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•对检测到的物体信息逐一进行了考量。</w:t>
      </w:r>
    </w:p>
    <w:p w14:paraId="0E8321F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•为更新矩阵，每个物体覆盖区域内的像素值均增加1。</w:t>
      </w:r>
    </w:p>
    <w:p w14:paraId="7AD733B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•该热图矩阵通过视频帧数进行除法运算以实现热图标准化。</w:t>
      </w:r>
    </w:p>
    <w:p w14:paraId="4A0F4A7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简而言之，所提出的热力图方法能够从目标检测输出中分析运动与位置密度特征。通过利用每帧检测到的目标坐标，实时更新帧维度上的密度矩阵数值。该热力图会根据帧数进行归一化处理，最终构建出能够表征视频整体运动特征与目标分布规律的密度模型。</w:t>
      </w:r>
    </w:p>
    <w:p w14:paraId="0AE8ED36">
      <w:pPr>
        <w:spacing w:line="240" w:lineRule="auto"/>
        <w:ind w:firstLine="420" w:firstLineChars="200"/>
        <w:jc w:val="center"/>
        <w:rPr>
          <w:position w:val="-62"/>
        </w:rPr>
      </w:pPr>
      <w:r>
        <w:rPr>
          <w:position w:val="-62"/>
        </w:rPr>
        <w:drawing>
          <wp:inline distT="0" distB="0" distL="0" distR="0">
            <wp:extent cx="3021965" cy="1983105"/>
            <wp:effectExtent l="0" t="0" r="10795" b="13335"/>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3"/>
                    <a:stretch>
                      <a:fillRect/>
                    </a:stretch>
                  </pic:blipFill>
                  <pic:spPr>
                    <a:xfrm>
                      <a:off x="0" y="0"/>
                      <a:ext cx="3022599" cy="1983412"/>
                    </a:xfrm>
                    <a:prstGeom prst="rect">
                      <a:avLst/>
                    </a:prstGeom>
                  </pic:spPr>
                </pic:pic>
              </a:graphicData>
            </a:graphic>
          </wp:inline>
        </w:drawing>
      </w:r>
    </w:p>
    <w:p w14:paraId="58F10DB9">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图4.基于对象的视频摘要方法框图</w:t>
      </w:r>
    </w:p>
    <w:p w14:paraId="5E26033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未进行目标检测的情况下，如前所述采用光流分析法。光流计算通过测定连续帧间的像素级运动，可分析空间与时间运动强度。该过程是视频分析应用（如基于运动的异常检测与行为分析）中的关键预处理步骤。在光流处理流程中，首先将图像从RGB颜色空间转换为灰度空间。完成该转换后，光流分析步骤将通过以下数学表达式进行说明；</w:t>
      </w:r>
    </w:p>
    <w:p w14:paraId="498AB37A">
      <w:pPr>
        <w:spacing w:line="240" w:lineRule="auto"/>
        <w:ind w:firstLine="420" w:firstLineChars="200"/>
        <w:rPr>
          <w:rFonts w:hint="default" w:ascii="Times New Roman" w:hAnsi="Times New Roman" w:eastAsia="宋体" w:cs="Times New Roman"/>
          <w:bCs/>
          <w:iCs/>
          <w:sz w:val="24"/>
          <w:lang w:val="en-US" w:eastAsia="zh-CN"/>
        </w:rPr>
      </w:pPr>
      <w:r>
        <w:drawing>
          <wp:inline distT="0" distB="0" distL="114300" distR="114300">
            <wp:extent cx="3048000" cy="1285875"/>
            <wp:effectExtent l="0" t="0" r="0" b="952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4"/>
                    <a:stretch>
                      <a:fillRect/>
                    </a:stretch>
                  </pic:blipFill>
                  <pic:spPr>
                    <a:xfrm>
                      <a:off x="0" y="0"/>
                      <a:ext cx="3048000" cy="1285875"/>
                    </a:xfrm>
                    <a:prstGeom prst="rect">
                      <a:avLst/>
                    </a:prstGeom>
                    <a:noFill/>
                    <a:ln>
                      <a:noFill/>
                    </a:ln>
                  </pic:spPr>
                </pic:pic>
              </a:graphicData>
            </a:graphic>
          </wp:inline>
        </w:drawing>
      </w:r>
    </w:p>
    <w:p w14:paraId="72CDD18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本应以彩色或黑色/灰色调呈现的图表。此类图表可包括照片、插图、多色图表及流程图。</w:t>
      </w:r>
    </w:p>
    <w:p w14:paraId="265F014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仅由黑色线条和形状构成的图形。此类图形不应包含任何阴影或半色调灰度，仅应呈现纯黑白二色。</w:t>
      </w:r>
    </w:p>
    <w:p w14:paraId="00E9643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当考察给定的等价关系</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时；</w:t>
      </w:r>
    </w:p>
    <w:p w14:paraId="2C7C21F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•F(x，y)：以(x，y)坐标表示的光流矢量</w:t>
      </w:r>
    </w:p>
    <w:p w14:paraId="09FFAE0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•U(x，y)：表示水平运动的光流分量</w:t>
      </w:r>
    </w:p>
    <w:p w14:paraId="0723239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•V(x，y)：表示垂直运动的光流分量</w:t>
      </w:r>
    </w:p>
    <w:p w14:paraId="203C4AF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•M(x，y)：在(x，y)坐标系中的位移幅值</w:t>
      </w:r>
    </w:p>
    <w:p w14:paraId="73863F4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I(x，y)：图像I中(x，y)坐标处的像素值。本文采用的光流分析方法会为整个视频生成光流热力图。针对两种场景开发的以个体为中心的摘要方法中，首先为遗传算法种群中的个体分别创建热力图。随后对整个视频的热力图及个体热力图进行SSIM计算，从而得出每个个体的适应度值。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展示了执行摘要过程的遗传算法步骤，有必要对图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的各步骤进行单独说明。首先，种群中的个体基因数量等于视频总帧数，每个基因携带该帧是否被选中的信息，因此属于二进制编码形式。在遗传算法术语中，个体被称为染色体，而采用这种编码方式的染色体则称为二进制编码染色体。在构建初始种群</w:t>
      </w:r>
      <w:bookmarkStart w:id="4" w:name="bookmark46"/>
      <w:bookmarkEnd w:id="4"/>
      <w:r>
        <w:rPr>
          <w:rFonts w:hint="default" w:ascii="Times New Roman" w:hAnsi="Times New Roman" w:eastAsia="宋体" w:cs="Times New Roman"/>
          <w:bCs/>
          <w:iCs/>
          <w:sz w:val="24"/>
          <w:lang w:val="en-US" w:eastAsia="zh-CN"/>
        </w:rPr>
        <w:t>时，需确保所选帧数等于最大帧数上限。初始阶段随机生成的染色体数量等于最大种群规模。遗传算法中的交叉步骤用于维持遗传多样性。本方法通过随机选择染色体进行交叉操作，并通过生成新基因来实现基因变异。</w:t>
      </w:r>
    </w:p>
    <w:p w14:paraId="17EADEA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采用交叉比为0.5的随机数生成机制。若选定帧数超过最大帧数限制，则部分随机选取帧的筛选值将被统一设</w:t>
      </w:r>
      <w:bookmarkStart w:id="5" w:name="bookmark49"/>
      <w:bookmarkEnd w:id="5"/>
      <w:r>
        <w:rPr>
          <w:rFonts w:hint="default" w:ascii="Times New Roman" w:hAnsi="Times New Roman" w:eastAsia="宋体" w:cs="Times New Roman"/>
          <w:bCs/>
          <w:iCs/>
          <w:sz w:val="24"/>
          <w:lang w:val="en-US" w:eastAsia="zh-CN"/>
        </w:rPr>
        <w:t>为0。突变过程以2%的概率触发，当条件满足时，通过判定相关基因的逻辑表达式状态（若为1则设为1，若为0则设为0）来实现。当超过最大帧数上限时，系统将采用交叉过程中的筛选方法进行帧数缩减。完成上述操作后，通过SSIM指标对各染色体热图及原始视频热图进行评估。该指标通过计算两幅图像间的结构相似度与感知相似度，综合考虑亮度、对比度及结构信息生成相似度评分。该指标在视频图像处理、压缩编码、图像质量评估及修复流程中应用广泛。SSIM指标的数学表达式如下[</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43]。</w:t>
      </w:r>
      <w:r>
        <w:rPr>
          <w:rFonts w:hint="default" w:ascii="Times New Roman" w:hAnsi="Times New Roman" w:eastAsia="宋体" w:cs="Times New Roman"/>
          <w:bCs/>
          <w:iCs/>
          <w:sz w:val="24"/>
          <w:lang w:val="en-US" w:eastAsia="zh-CN"/>
        </w:rPr>
        <w:fldChar w:fldCharType="end"/>
      </w:r>
    </w:p>
    <w:p w14:paraId="54EB796E">
      <w:pPr>
        <w:spacing w:line="240" w:lineRule="auto"/>
        <w:ind w:firstLine="420" w:firstLineChars="200"/>
      </w:pPr>
      <w:r>
        <w:drawing>
          <wp:inline distT="0" distB="0" distL="114300" distR="114300">
            <wp:extent cx="2762250" cy="1329055"/>
            <wp:effectExtent l="0" t="0" r="11430" b="1206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5"/>
                    <a:stretch>
                      <a:fillRect/>
                    </a:stretch>
                  </pic:blipFill>
                  <pic:spPr>
                    <a:xfrm>
                      <a:off x="0" y="0"/>
                      <a:ext cx="2762250" cy="1329055"/>
                    </a:xfrm>
                    <a:prstGeom prst="rect">
                      <a:avLst/>
                    </a:prstGeom>
                    <a:noFill/>
                    <a:ln>
                      <a:noFill/>
                    </a:ln>
                  </pic:spPr>
                </pic:pic>
              </a:graphicData>
            </a:graphic>
          </wp:inline>
        </w:drawing>
      </w:r>
    </w:p>
    <w:p w14:paraId="3821505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当考察给定的等价关系</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时；</w:t>
      </w:r>
    </w:p>
    <w:p w14:paraId="7BEB2F9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•l(x，y):比较两幅图像的平均亮度，•c(x，y):比较两幅图像的对比度水平，•s(x，y):比较两幅图像的结构顺序，</w:t>
      </w:r>
    </w:p>
    <w:p w14:paraId="4DC9CE6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•α,β,γ:确定各组件的重要性权重，通常这三个值均取为1</w:t>
      </w:r>
    </w:p>
    <w:p w14:paraId="227C00A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•μx：图像x的平均亮度，</w:t>
      </w:r>
    </w:p>
    <w:p w14:paraId="379B207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•µy：图像y的平均亮度，</w:t>
      </w:r>
    </w:p>
    <w:p w14:paraId="27868C8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•C1：用于防止除以零的小常数，•σx：图像x（对比度）的标准差，σy：标准</w:t>
      </w:r>
    </w:p>
    <w:p w14:paraId="332D806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图像Y的达德偏差</w:t>
      </w:r>
    </w:p>
    <w:p w14:paraId="3864320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•C2：用于防止除以零的小常量，</w:t>
      </w:r>
    </w:p>
    <w:p w14:paraId="06F08EC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•σxyx与y之间的协方差（结构阶次相似性）</w:t>
      </w:r>
    </w:p>
    <w:p w14:paraId="7CBD01B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•C3：常量。</w:t>
      </w:r>
    </w:p>
    <w:p w14:paraId="3DBAD51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在计算各染色体的适应度值后，采用锦标赛法进行筛选。上述过程将根据代数次数重复执行。本质上，代数次数决定了遗传算法将运行的迭代次数。</w:t>
      </w:r>
    </w:p>
    <w:p w14:paraId="275B5D6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评估基于遗传算法开发的以对象为中心的视频摘要方法，我们对比了原始视频与摘要视频中的物体数量。具体计算方式为：将摘要视频中检测到的物体数量除以摘要视频的帧数，所得数值再乘以原始视频的帧数。最终结果的计算采用原始视频中选定移动物体（如车辆）的数量作为基准，通过精准度计算得出最终数值。</w:t>
      </w:r>
    </w:p>
    <w:p w14:paraId="07B4314F">
      <w:pPr>
        <w:spacing w:line="240" w:lineRule="auto"/>
        <w:ind w:firstLine="420" w:firstLineChars="200"/>
        <w:jc w:val="center"/>
        <w:rPr>
          <w:position w:val="-84"/>
        </w:rPr>
      </w:pPr>
      <w:r>
        <w:rPr>
          <w:position w:val="-84"/>
        </w:rPr>
        <w:drawing>
          <wp:inline distT="0" distB="0" distL="0" distR="0">
            <wp:extent cx="3022600" cy="2675255"/>
            <wp:effectExtent l="0" t="0" r="10160" b="6985"/>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6"/>
                    <a:stretch>
                      <a:fillRect/>
                    </a:stretch>
                  </pic:blipFill>
                  <pic:spPr>
                    <a:xfrm>
                      <a:off x="0" y="0"/>
                      <a:ext cx="3022600" cy="2675366"/>
                    </a:xfrm>
                    <a:prstGeom prst="rect">
                      <a:avLst/>
                    </a:prstGeom>
                  </pic:spPr>
                </pic:pic>
              </a:graphicData>
            </a:graphic>
          </wp:inline>
        </w:drawing>
      </w:r>
    </w:p>
    <w:p w14:paraId="7FF9A88E">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图5.基于对象中心视频摘要方法中遗传算法流程的框图。</w:t>
      </w:r>
    </w:p>
    <w:p w14:paraId="6FE409C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选择这种评估方法的初衷，是为了降低基于目标检测进行统计分析的视频分析应用的处理成本，这也是我们选择该方法进行摘要生成的原因。在优化过程中运用热力图技术，实际上确保了所提出的方法不仅在目标数量上得以保留，还能完整保留与局部目标密度及运动特征相关的参数。考虑到目标检测与跟踪是众多数据分析应用的核心环节，所选评估指标也被认为是判断摘要视频遗传算法阶段计算出的适应度（SSIM值）质量的重要依据。最后需要说明的是，我们开发的系统并不适用于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"bookmark44"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所示的部分以目标为中心的视频分析应用场景。首要原因在于面部识别或车牌识别等操作需要对视频所有帧进行检测。因此，在摘要视频上执行人脸或车牌识别操作会导致方法论存在缺陷且缺乏逻辑性。第二个原因在于，用于可疑物体检测等操作的视频分析应用依赖于物体类别识别，而这些异常物体无法通过我们这种旨在实现视频泛化的分析方法进行呈现。这种以物体为中心的摘要方法的局限性，将通过我们以事件为中心的摘要方法得到弥补。此外，如前所述，本研究方法的核心目标是生成具有视频泛化能力的摘要内容。对于专注于统计异常情况检测的智能视频分析系统，我们通过平均所有帧热力图数据构建了参考热力图。</w:t>
      </w:r>
    </w:p>
    <w:p w14:paraId="1BD0141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基于光流或目标检测的视频分析中，与该热图结构相似度最高的n帧被确定为视频异常关键帧，作为本方法的输出结果。通过该方法获得的最正常与异常关键帧也将</w:t>
      </w:r>
      <w:bookmarkStart w:id="6" w:name="bookmark53"/>
      <w:bookmarkEnd w:id="6"/>
      <w:r>
        <w:rPr>
          <w:rFonts w:hint="default" w:ascii="Times New Roman" w:hAnsi="Times New Roman" w:eastAsia="宋体" w:cs="Times New Roman"/>
          <w:bCs/>
          <w:iCs/>
          <w:sz w:val="24"/>
          <w:lang w:val="en-US" w:eastAsia="zh-CN"/>
        </w:rPr>
        <w:t>纳入实验结果中。</w:t>
      </w:r>
    </w:p>
    <w:p w14:paraId="07FB9B4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B.事件中心型视频摘要</w:t>
      </w:r>
    </w:p>
    <w:p w14:paraId="31A4B60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我们先前提出的视频摘要方法旨在为基于目标检测或跟踪的视频分析应用保留视频中的关键特征。而本研究提出的事件导向型视频摘要方法，既适用于侧重事件分析的视频分析场景，也契合智慧城市工作人员进行人工事件监控的需求。此外，我们希望将两种摘要方法的实现方式拓展至智能城市的各类人工或计算机辅助监控应用场景。需要说明的是，本文提出的以对象为中心的视频摘要方法在视频分析领域中，其适用性对某些以对象为中心的分析方法存在局限性。例如，在某些以对象为中心的分析方法中，火灾检测、枪击事件识别及可疑物体检测等操作需直接基于图像数据执行。换言之，本文所开展的分析应用目的并非获取统计结果，而是用于异常情况的实时检测。通过分析实验结果中训练集与测试集所用视频的特征可以发现，我们即将开发的事件中心型视频摘要方法，将有效弥补以物体为中心的视频摘要方法在异常物体检测类视频分析应用中的不足。以具体场景为例，像刀具这类既可能作为暴力工具又存在于日常生活中的物体，若采用以物体为中心的方法进行检测，容易产生误导性结果。而本方法通过将视频作为连续流而非单帧图像进行分析，能够对可疑物体实际处于危险情境的视频序列进行有效研判。因此，作为系统核心组件的第二部分，我们提出的事件中心型视频摘要方法构建了一个集成系统，可全面覆盖智慧城市视频监控场景下的各类视频分析应用需求，但面部识别、车牌识别等连续性视频分析应用仍需另寻解决方案。由于我们提出的方法所输出的摘要视频包含异常场景，因此我们希望避免解决方案过于复杂。为此，我们采用执行二分类任务的神经网络架构对视频片段进行评估，从而实现摘要视频中异常情况的存在检测。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展示了所提出的事件中心型视频摘要方法的流程框图。如图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所示，基本流程是通过神经网络架构对Kafka队列中的视频批次进行特定时间段（本例中为3秒）的分类处理。此时，由于无需对神经网络架构中特定时间段内所有视频帧进行评估，因此应从视频批次中按均匀间隔选取帧进行处理。</w:t>
      </w:r>
    </w:p>
    <w:p w14:paraId="1E0876EB">
      <w:pPr>
        <w:spacing w:line="240" w:lineRule="auto"/>
        <w:ind w:firstLine="420" w:firstLineChars="200"/>
        <w:jc w:val="center"/>
        <w:rPr>
          <w:position w:val="-101"/>
        </w:rPr>
      </w:pPr>
      <w:r>
        <w:rPr>
          <w:position w:val="-101"/>
        </w:rPr>
        <w:drawing>
          <wp:inline distT="0" distB="0" distL="0" distR="0">
            <wp:extent cx="2669540" cy="3206750"/>
            <wp:effectExtent l="0" t="0" r="12700" b="889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7"/>
                    <a:stretch>
                      <a:fillRect/>
                    </a:stretch>
                  </pic:blipFill>
                  <pic:spPr>
                    <a:xfrm>
                      <a:off x="0" y="0"/>
                      <a:ext cx="2670047" cy="3206787"/>
                    </a:xfrm>
                    <a:prstGeom prst="rect">
                      <a:avLst/>
                    </a:prstGeom>
                  </pic:spPr>
                </pic:pic>
              </a:graphicData>
            </a:graphic>
          </wp:inline>
        </w:drawing>
      </w:r>
    </w:p>
    <w:p w14:paraId="3D5973AB">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图6.事件中心型视频摘要流程</w:t>
      </w:r>
    </w:p>
    <w:p w14:paraId="5459BDF0">
      <w:pPr>
        <w:spacing w:line="400" w:lineRule="exact"/>
        <w:ind w:firstLine="480" w:firstLineChars="200"/>
        <w:rPr>
          <w:rFonts w:hint="eastAsia"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预处理阶段，必须确保输入帧的尺寸适配神经网络架构的输入要求。针对视频批量分类任务，我们开发了多种神经网络架构方案，这些方案均采用全节点计算方式。通过不同评估标准对方案进行对比分析，具体方法将在实验结果部分详细说明。上文展示的各阶段仅呈现训练完成的神经网络架构推理过程。要全面理解所开发神经架构的性能特征，需详细解析其训练过程。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分类任务专用神经架构的训练流程。训练过程中采用了多个包含异常视频内容的数据集，相关定量指标与异常特征信息详见实验结果部分。由于最终分类任务将应用于摘要生成场景，直接使用数据集中的原始视频版本并非合理选择。由于数据集中大多数视频除了异常片段外还包含正常视频序列，且我们训练的神经模型将用于分类任务（该分类结果将应用于摘要生成过程），因此需要从异常视频中提取并去除正常序列。实际上，通过使用训练数据中的正常标签对这些经过清洗的正常序列进行评估，将显著提升神经网络架构在同一视频中区分正常与异常场景的能力。这种计算机辅助人工标注方法</w:t>
      </w:r>
      <w:r>
        <w:rPr>
          <w:rFonts w:hint="eastAsia" w:ascii="Times New Roman" w:hAnsi="Times New Roman" w:eastAsia="宋体" w:cs="Times New Roman"/>
          <w:bCs/>
          <w:iCs/>
          <w:sz w:val="24"/>
          <w:lang w:val="en-US" w:eastAsia="zh-CN"/>
        </w:rPr>
        <w:t>。</w:t>
      </w:r>
    </w:p>
    <w:p w14:paraId="70DDE04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满足数据集中上述要求，本研究采用了特定方法。具体实施时，数据集中的每个视频均以三秒片段形式呈现，正常视频序列标注为“正常”，异常视频序列标注为“异常”。在序列筛选过程中，我们特别注意确保从每个视频中选取的正常与异常序列分布不呈现高度异质性。同时，从正常视频中选取最多三个秒时长的片段进行标注，并纳入训练数据集。关于最终训练数据集的定量信息详见实验结果部分。</w:t>
      </w:r>
    </w:p>
    <w:p w14:paraId="243BA5F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要实现这种方法的神经架构必须具备多种功能。由于输入的视频数据本质上是由一系列图像组成的序列，首先需要通过卷积神经网络（CNN）架构提取这些帧的视觉特征。若在单张图像上进行分类处理，CNN提取的特征可经由展平操作处理，后续流程则可通过全连接层（FCL）结构完成。但本研究涉及的多张图像之间存在时间依赖性，因此必须采用能同时学习结构内多元素间关系的神经架构来处理CNN提取的特征。尽管如此，我们在实验结果中仍包含了仅基于CNN和FCL架构构建的神经架构训练结果。在处理时间依赖性数据关联学习时，人们首先想到的往往是RNN架构与注意力层。因此，我们还分别训练了采用RNN架构与注意力架构的神经网络模型。众所周知，迁移学习方法常用于神经网络架构的训练，尤其在数据集有限的情况下。我们通过在部分模型的卷积神经网络（CNN）层中引入预训练神经架构，成功实现了基于该方法的神经网络训练。实验结果表明，在深度学习框架内，采用不同架构组合的配置方案能够有效完成分类任务。因此，在深入探讨待比较分类器神经架构的结构之前，有必要先详细阐释卷积神经网络、迁移学习、注意力LSTM及注意力机制等核心概念。</w:t>
      </w:r>
    </w:p>
    <w:p w14:paraId="4D01E57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卷积神经网络（CNN）架构的核心目标是以层次化方式提升视觉数据特征学习能力。基础CNN架构包含卷积层、池化层和全连接层三大核心组件。在卷积层中，系统通过滤波器对图像进行特征提取，有效捕捉边缘、纹理等关键视觉特征。滤波器在图像上进行滑动平移操作，生成特征图。池化层通过保留特征图中的高值特征来降低模型计算成本，其中平均池化和最大池化是最常用的两种池化方式。全连接层由经典神经元构成，作为模型末端处理单元，负责整合卷积层与池化层输出的特</w:t>
      </w:r>
    </w:p>
    <w:p w14:paraId="2ABAA88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征信息，最终完成分类任务。例如，在进行五类分类任务的模型中，包含五个神经元的全连接层应当位于最末端。在卷积神经网络架构中，中间全连接层通常设置在最后一个池化层与输出全连接层之间，以此增强学习能力。与CNN架构密切相关的重要概念是迁移学习过程。特别是在数据集规模不足的定量训练场景中，从零开始训练的卷积层在特征提取能力上可能难以达到理想水平。针对这种情况，像AlexNet、VGGNet、ResNet和Inception这类基于海量数据集训练的CNN架构，会将其全连接层分离出来，用于构建其他CNN架构的卷积层。在此训练过程中，已学习的滤波器参数值可保持恒定，仅需对神经网络架构中的全连接层或特定层级组进行训练。另一方面，卷积层预训练参数的初始值仅在训练初期使用，其学习参数则可在微调阶段进行更新。在需要采用卷积神经网络（CNN）架构处理视频数据的场景中，这些神经层必须以时间分布形式进行配置。通过这种方式，可以提取视频多帧特征。特别是在神经网络架构处理视频数据时，若仅依赖全连接层对卷积层提取的特征进行处理，可能难以获得高性能结果——具体效果取决于应用场景。因此，通过查阅文献发现，卷积网络学习到的特征通常会结合RNN或注意力机制架构进行处理，这类架构具有强大的序列结构学习能力，从而有效解决了以视频数据为输入的数据处理难题。正因如此，我们意识到需要训练多种神经网络架构并进行性能对比。这也凸显了讨论RNN架构与注意力机制优势的必要性。RNN架构应采用与传统神经网络截然不同的循环式处理方式：循环神经网络（RNN）通过在序列数据中存储前序步骤信息，并在后续步骤中运用这些信息，从而实现高效的数据处理。RNN方法主要采用两种常见架构类型：LSTM结构与门控循环单元（GRU）结构。如前所述，在我们开发的神经网络架构中，曾将LSTM结构与卷积神经网络（CNN）架构相结合使用。LSTM结构本质上包含三个核心组件：遗忘门负责判定需要被遗忘的信息；输入门承担向神经元单元添加新信息的功能；输出门则调控神经元状态向下一状态的传递。在此背景下，这些运算过程的数学表达式可表示为</w:t>
      </w:r>
      <w:r>
        <w:rPr>
          <w:rFonts w:hint="eastAsia" w:ascii="Times New Roman" w:hAnsi="Times New Roman" w:eastAsia="宋体" w:cs="Times New Roman"/>
          <w:bCs/>
          <w:iCs/>
          <w:sz w:val="24"/>
          <w:lang w:val="en-US" w:eastAsia="zh-CN"/>
        </w:rPr>
        <w:t>。</w:t>
      </w:r>
    </w:p>
    <w:p w14:paraId="404DC4F8">
      <w:pPr>
        <w:spacing w:line="240" w:lineRule="auto"/>
        <w:ind w:firstLine="420" w:firstLineChars="200"/>
        <w:jc w:val="center"/>
        <w:rPr>
          <w:position w:val="-46"/>
        </w:rPr>
      </w:pPr>
      <w:r>
        <w:rPr>
          <w:position w:val="-46"/>
        </w:rPr>
        <w:drawing>
          <wp:inline distT="0" distB="0" distL="0" distR="0">
            <wp:extent cx="4951095" cy="1308100"/>
            <wp:effectExtent l="0" t="0" r="1905" b="254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8"/>
                    <a:stretch>
                      <a:fillRect/>
                    </a:stretch>
                  </pic:blipFill>
                  <pic:spPr>
                    <a:xfrm>
                      <a:off x="0" y="0"/>
                      <a:ext cx="4951095" cy="1308100"/>
                    </a:xfrm>
                    <a:prstGeom prst="rect">
                      <a:avLst/>
                    </a:prstGeom>
                  </pic:spPr>
                </pic:pic>
              </a:graphicData>
            </a:graphic>
          </wp:inline>
        </w:drawing>
      </w:r>
    </w:p>
    <w:p w14:paraId="7A4F27A0">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图7.神经模型构建步骤。</w:t>
      </w:r>
    </w:p>
    <w:p w14:paraId="2662804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遗忘门、输入门及输出门结构如下。</w:t>
      </w:r>
    </w:p>
    <w:p w14:paraId="67F480E3">
      <w:pPr>
        <w:spacing w:line="240" w:lineRule="auto"/>
        <w:ind w:firstLine="420" w:firstLineChars="200"/>
        <w:rPr>
          <w:rFonts w:hint="default" w:ascii="Times New Roman" w:hAnsi="Times New Roman" w:eastAsia="宋体" w:cs="Times New Roman"/>
          <w:bCs/>
          <w:iCs/>
          <w:sz w:val="24"/>
          <w:lang w:val="en-US" w:eastAsia="zh-CN"/>
        </w:rPr>
      </w:pPr>
      <w:r>
        <w:drawing>
          <wp:inline distT="0" distB="0" distL="114300" distR="114300">
            <wp:extent cx="3390900" cy="1457325"/>
            <wp:effectExtent l="0" t="0" r="7620" b="571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9"/>
                    <a:stretch>
                      <a:fillRect/>
                    </a:stretch>
                  </pic:blipFill>
                  <pic:spPr>
                    <a:xfrm>
                      <a:off x="0" y="0"/>
                      <a:ext cx="3390900" cy="1457325"/>
                    </a:xfrm>
                    <a:prstGeom prst="rect">
                      <a:avLst/>
                    </a:prstGeom>
                    <a:noFill/>
                    <a:ln>
                      <a:noFill/>
                    </a:ln>
                  </pic:spPr>
                </pic:pic>
              </a:graphicData>
            </a:graphic>
          </wp:inline>
        </w:drawing>
      </w:r>
    </w:p>
    <w:p w14:paraId="66273EC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分析给定方程时，展示了如何计算每个LSTM单元中的Ct（细胞状态）和ht（隐藏状态）信息。所有方程中，σ为Sigmoid函数，tanh为双曲正切函数。ft表示遗忘决策，Wf为权重，bf为偏置项。通过计算遗忘决策，可确定细胞状态中保留的部分。it为输入门决策，Ct~为细胞状态候选值，Ct为更新后的细胞状态。ot为输出决策。xt为输入向量。LSTM相较于其他RNN的优势可通过学习长期依赖关系、保持梯度以及灵活的记忆机制来体现。文献中除视频处理外，其还应用于自然语言处理、时间序列估计以及心电图/脑电图等医学信号分析。另一个需要解释的神经元元件是注意力机制。得益于注意力机制，输入数据的不同部分会被赋予不同的权重，从而使模型能够聚焦于更关键的信息。在此过程中，模型会处理一系列输入数据（x1、x2，...，xt）。系统会为每个输入元素计算重要性评分，这些评分经softmax函数归一化后转化为权重值。最终通过将权重与对应输入元素相乘，即可获得模型的输出结果。在注意力机制术语中，三个核心要素至关重要：键(K)表示模型需要学习的信息，查询(Q)体现输入元素所承载的信息，而值(V)则对应输入元素的实际数值。此外，在下文将阐述的注意力评分计算过程中，还会使用归一化尺寸因子dk进行标准化处理。</w:t>
      </w:r>
    </w:p>
    <w:p w14:paraId="6881F0C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T表示转置过程。根据使用方式的不同，注意力机制可分为Bahdanau注意力、Luong注意力、自注意力和</w:t>
      </w:r>
    </w:p>
    <w:p w14:paraId="3212305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多头注意力等多种类型。其中最著名的神经网络应用是Transformer模型。Transformer采用纯注意力机制，无需依赖RNN和LSTM等序列架构。</w:t>
      </w:r>
    </w:p>
    <w:p w14:paraId="40DF01C0">
      <w:pPr>
        <w:spacing w:line="240" w:lineRule="auto"/>
        <w:ind w:firstLine="480" w:firstLineChars="200"/>
        <w:jc w:val="center"/>
      </w:pPr>
      <w:r>
        <w:rPr>
          <w:rFonts w:hint="default" w:ascii="Times New Roman" w:hAnsi="Times New Roman" w:eastAsia="宋体" w:cs="Times New Roman"/>
          <w:bCs/>
          <w:iCs/>
          <w:sz w:val="24"/>
          <w:lang w:val="en-US" w:eastAsia="zh-CN"/>
        </w:rPr>
        <w:t>注意力</w:t>
      </w:r>
      <w:r>
        <w:drawing>
          <wp:inline distT="0" distB="0" distL="114300" distR="114300">
            <wp:extent cx="3562350" cy="552450"/>
            <wp:effectExtent l="0" t="0" r="3810" b="1143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0"/>
                    <a:stretch>
                      <a:fillRect/>
                    </a:stretch>
                  </pic:blipFill>
                  <pic:spPr>
                    <a:xfrm>
                      <a:off x="0" y="0"/>
                      <a:ext cx="3562350" cy="552450"/>
                    </a:xfrm>
                    <a:prstGeom prst="rect">
                      <a:avLst/>
                    </a:prstGeom>
                    <a:noFill/>
                    <a:ln>
                      <a:noFill/>
                    </a:ln>
                  </pic:spPr>
                </pic:pic>
              </a:graphicData>
            </a:graphic>
          </wp:inline>
        </w:drawing>
      </w:r>
    </w:p>
    <w:p w14:paraId="1046EC7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综合所有研究数据，我们认为采用卷积神经网络（CNN）与Transformer架构相结合的方式开发事件导向型视频分类器是合理选择。在本研究方法中，通过注意力机制对视频进行异常与正常分类时，该机制不仅能识别关键数据特征，还可同步计算各帧的重要性评分。尽管如此，为确保研究质量仍需对不同神经网络架构进行训练与性能对比。因此，我们最终确定采用四种神经分类器进行训练，其具体特征如下：</w:t>
      </w:r>
    </w:p>
    <w:p w14:paraId="3B1C906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•一种由非预训练时间分布卷积层和LSTM层组成的神经架构（CNN-LSTM）</w:t>
      </w:r>
    </w:p>
    <w:p w14:paraId="4B36540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•一种由预训练的时序分布式卷积层和LSTM层组成的神经架构（PRECNN-LSTM）</w:t>
      </w:r>
    </w:p>
    <w:p w14:paraId="39752E3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•一种由非预训练时序分布式卷积层与带注意力机制的Transformer模块组成的神经架构（CNN-Transformer）</w:t>
      </w:r>
    </w:p>
    <w:p w14:paraId="4B988A6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•一种神经架构，由预训练的时序分布式卷积层和带有注意力机制的Transformer模块（PRECNN-Transformer）组成</w:t>
      </w:r>
    </w:p>
    <w:p w14:paraId="03103C4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在采用预训练卷积层的神经架构中，我们采用了VGG19神经架构。图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展示了训练模型的示意图。所示示意图代表推理阶段的神经架构。</w:t>
      </w:r>
    </w:p>
    <w:p w14:paraId="2827A1C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C.与APACHEKAFKA的系统集成</w:t>
      </w:r>
    </w:p>
    <w:p w14:paraId="24B4C1D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在使用Transformer模块训练神经架构时，注意力分数未作为输出结果呈现；但在模型推理前编译这些架构时，注意力分数也被纳入模型的输出配置中。</w:t>
      </w:r>
    </w:p>
    <w:p w14:paraId="257DB64B">
      <w:pPr>
        <w:spacing w:line="240" w:lineRule="auto"/>
        <w:ind w:firstLine="420" w:firstLineChars="200"/>
        <w:jc w:val="center"/>
      </w:pPr>
      <w:r>
        <w:drawing>
          <wp:inline distT="0" distB="0" distL="114300" distR="114300">
            <wp:extent cx="2905125" cy="5476875"/>
            <wp:effectExtent l="0" t="0" r="5715" b="952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1"/>
                    <a:stretch>
                      <a:fillRect/>
                    </a:stretch>
                  </pic:blipFill>
                  <pic:spPr>
                    <a:xfrm>
                      <a:off x="0" y="0"/>
                      <a:ext cx="2905125" cy="5476875"/>
                    </a:xfrm>
                    <a:prstGeom prst="rect">
                      <a:avLst/>
                    </a:prstGeom>
                    <a:noFill/>
                    <a:ln>
                      <a:noFill/>
                    </a:ln>
                  </pic:spPr>
                </pic:pic>
              </a:graphicData>
            </a:graphic>
          </wp:inline>
        </w:drawing>
      </w:r>
    </w:p>
    <w:p w14:paraId="311A3459">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图8.神经模型框图（a：CNN-LSTM与PRECNN-LSTM，b：</w:t>
      </w:r>
    </w:p>
    <w:p w14:paraId="7521A860">
      <w:pPr>
        <w:spacing w:line="240" w:lineRule="auto"/>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CNN-Transformer与PRECNN-Transformer）</w:t>
      </w:r>
    </w:p>
    <w:p w14:paraId="2C38ED4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ApacheKafka是一款用于分布式消息队列和实时数据流处理的流处理技术，常被应用于提升系统效率，尤其在涉及数据流处理的物联网应用场景中表现突出。本研究采用Kafka技术高效管理视频流传输，并实现两种不同摘要方法的集成化应用。在阐述集成系统方案前，有必要先对Kafka技术术语中的核心概念进行说明。</w:t>
      </w:r>
    </w:p>
    <w:p w14:paraId="27C9FFE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•生产者：向Kafka发送数据的应用程序。示例包括传感器数据、日志文件数据，或本例中的原始图像帧数据。</w:t>
      </w:r>
    </w:p>
    <w:p w14:paraId="7E865E5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•消费者：从Kafka接收数据并进行处理的应用程序。在本案例中，我们的摘要应用程序可表述为消费者。</w:t>
      </w:r>
    </w:p>
    <w:p w14:paraId="3B1280F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•代理服务器：这些服务器运行在Kafka集群中，负责数据的传输、存储及扩展管理。</w:t>
      </w:r>
    </w:p>
    <w:p w14:paraId="78761C8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•主题：这是Kafka中的数据分类。生产者将数据发送至特定主题，消费者则从主题接收数据。</w:t>
      </w:r>
    </w:p>
    <w:p w14:paraId="6EB19B9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•分区机制：Kafka通过将主题划分为多个分区，实现数据的并行处理。</w:t>
      </w:r>
    </w:p>
    <w:p w14:paraId="72001D9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•偏移量：指分区中每条消息的序列号。</w:t>
      </w:r>
    </w:p>
    <w:p w14:paraId="518E70E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我们集成ApacheKafka的视频摘要系统框图。为测试该集成系统，我们在树莓派4上安装了Kaf-ka框架，将来自训练数据集的视频片段进行整合后通过RawVideoTopic平台发布。客户端组件运行于笔记本电脑，实时接收RawVideoTopic提供的视频帧流。在摘要流程启动前，系统会根据预设的帧数或时间限制筛选待处理视频批次。完成每个视频批次的摘要后，系统会利用视频起止帧的偏移编号为生成的摘要视频命名并进行录制。所有训练操作均在GoogleColab平台上执行，该平台配备A100GPU架构，内存容量达80GB（含显存40GB）。作为云端服务器的笔记本电脑搭载2.8GHz处理器和6GB英伟达显卡。</w:t>
      </w:r>
    </w:p>
    <w:p w14:paraId="2D0D075B">
      <w:pPr>
        <w:pStyle w:val="3"/>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3.2.系统评估与数据集</w:t>
      </w:r>
    </w:p>
    <w:p w14:paraId="065B8C76">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A系统评价</w:t>
      </w:r>
    </w:p>
    <w:p w14:paraId="5DCAF734">
      <w:pPr>
        <w:spacing w:line="240" w:lineRule="auto"/>
        <w:ind w:firstLine="480" w:firstLineChars="200"/>
        <w:rPr>
          <w:rFonts w:hint="eastAsia" w:ascii="Times New Roman" w:hAnsi="Times New Roman" w:cs="Times New Roman"/>
          <w:bCs/>
          <w:iCs/>
          <w:sz w:val="24"/>
          <w:lang w:val="en-US" w:eastAsia="zh-CN"/>
        </w:rPr>
      </w:pPr>
      <w:r>
        <w:rPr>
          <w:rFonts w:hint="default" w:ascii="Times New Roman" w:hAnsi="Times New Roman" w:eastAsia="宋体" w:cs="Times New Roman"/>
          <w:bCs/>
          <w:iCs/>
          <w:sz w:val="24"/>
          <w:lang w:val="en-US" w:eastAsia="zh-CN"/>
        </w:rPr>
        <w:t>由于我们开发的方法具有多功能性和模块化特性，每个组件都需要单独评估，集成系统的整体性能也需要分别进行测试。在评估以对象为中心的视频摘要模块时，应采用传统交通监控视频或室内闭路电视影像作为基准。在此背景下，我们的核心目标是确保当基于原始视频统计特征提取的视频分析方法应用于摘要视频时，能获得相同或超过90%的相似性结果。为此，我们将采用基于对象计数、对象相关热图采集以及帧内局部对象密度对比的评估方法，对下述数据集中的视频进行分析。在采用对象检测技术实现的视频摘要过程中，由于遗传算法计算的适应度分数基于原始视频与摘要视频中对象检测相关热图(H)的结构相似性得出，因此该方法的首次评估将在摘要视频生成过程中同步完成。通过这种方式，可对视频的整体统计信息保护性能进行评估（GSCP）。在以物体数量为评估标准的技术中，会根据视频摘要帧和原始视频帧的帧数对检测到的物体数量进行归一化处理(N)，并据此进行评估。评估结果中获得的视频摘要物体数量准确率被定义为摘要统计准确率（SAS）。该流程已被广泛应用于结合光流分析与基于物体检测的热图方法的评估技术中。最后，通过对比视频摘要帧与原始视频帧的帧数，计算视频摘要率，该比率即表示视频摘要效率（VSE）</w:t>
      </w:r>
      <w:r>
        <w:rPr>
          <w:rFonts w:hint="eastAsia" w:ascii="Times New Roman" w:hAnsi="Times New Roman" w:cs="Times New Roman"/>
          <w:bCs/>
          <w:iCs/>
          <w:sz w:val="24"/>
          <w:lang w:val="en-US" w:eastAsia="zh-CN"/>
        </w:rPr>
        <w:t>。</w:t>
      </w:r>
    </w:p>
    <w:p w14:paraId="0237DD75">
      <w:pPr>
        <w:spacing w:line="240" w:lineRule="auto"/>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下文给出了以对象为中心的摘要生成过程中所使用的评估指标的数学表达式。</w:t>
      </w:r>
    </w:p>
    <w:p w14:paraId="56374468">
      <w:pPr>
        <w:spacing w:line="240" w:lineRule="auto"/>
        <w:ind w:firstLine="420" w:firstLineChars="200"/>
        <w:jc w:val="center"/>
      </w:pPr>
      <w:r>
        <w:drawing>
          <wp:inline distT="0" distB="0" distL="114300" distR="114300">
            <wp:extent cx="2583180" cy="889635"/>
            <wp:effectExtent l="0" t="0" r="7620" b="952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2"/>
                    <a:stretch>
                      <a:fillRect/>
                    </a:stretch>
                  </pic:blipFill>
                  <pic:spPr>
                    <a:xfrm>
                      <a:off x="0" y="0"/>
                      <a:ext cx="2583180" cy="889635"/>
                    </a:xfrm>
                    <a:prstGeom prst="rect">
                      <a:avLst/>
                    </a:prstGeom>
                    <a:noFill/>
                    <a:ln>
                      <a:noFill/>
                    </a:ln>
                  </pic:spPr>
                </pic:pic>
              </a:graphicData>
            </a:graphic>
          </wp:inline>
        </w:drawing>
      </w:r>
    </w:p>
    <w:p w14:paraId="1598DB2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事件中心型视频摘要生成过程的性能与分类模型的性能存在直接关联。我们将采用机器学习领域的经典评估指标对模型进行性能评估。为验证该模型在事件中心型视频摘要生成中的表现，视频内容将根据模型覆盖时长进行片段化处理。整个视频将通过二进制编码向量(V)表示，其中正常片段与异常片段的维度与视频片段数量保持一致。随后对完整视频进行分类处理，摘要生成组件将输出相同向量。通过MSE值和F1分数指标对两个向量进行评估后，可获得摘要损失（SLOSS）与准确率（SACC）等关键参数。具体而言，召回率和精确率的计算基于真阳性（同时被两个向量标记为异常的元素数量，TP）、假阳性（在汇总向量中标记为异常但在原始向量中为正常的元素数量，FP）以及假阴性（在汇总向量中标记为正常但在原始向量中为异常的元素数量，FN）三个指标。随后通过这些数值计算F1分数指标。最终将异常片段所占视频帧数的最优值与生成汇总视频的帧数进行对比，以计算事件中心化摘要效率（EVSE）。此外，评估过程中还采用了VSE指标。用于评估事件中心化摘要模块的各指标数学表达式如下所示。</w:t>
      </w:r>
    </w:p>
    <w:p w14:paraId="017EB770">
      <w:pPr>
        <w:spacing w:line="240" w:lineRule="auto"/>
        <w:ind w:firstLine="420" w:firstLineChars="200"/>
        <w:rPr>
          <w:rFonts w:hint="default" w:ascii="Times New Roman" w:hAnsi="Times New Roman" w:eastAsia="宋体" w:cs="Times New Roman"/>
          <w:bCs/>
          <w:iCs/>
          <w:sz w:val="24"/>
          <w:lang w:val="en-US" w:eastAsia="zh-CN"/>
        </w:rPr>
      </w:pPr>
      <w:r>
        <w:drawing>
          <wp:inline distT="0" distB="0" distL="114300" distR="114300">
            <wp:extent cx="2825115" cy="1801495"/>
            <wp:effectExtent l="0" t="0" r="9525" b="1206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3"/>
                    <a:stretch>
                      <a:fillRect/>
                    </a:stretch>
                  </pic:blipFill>
                  <pic:spPr>
                    <a:xfrm>
                      <a:off x="0" y="0"/>
                      <a:ext cx="2825115" cy="1801495"/>
                    </a:xfrm>
                    <a:prstGeom prst="rect">
                      <a:avLst/>
                    </a:prstGeom>
                    <a:noFill/>
                    <a:ln>
                      <a:noFill/>
                    </a:ln>
                  </pic:spPr>
                </pic:pic>
              </a:graphicData>
            </a:graphic>
          </wp:inline>
        </w:drawing>
      </w:r>
    </w:p>
    <w:p w14:paraId="2F1D28A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集成系统评估中，我们将针对每个案例研究定期对比生产者向Kafka主题发送的帧数与消费者消耗的帧数。通过这种方式，可确定整个帧流过程中Kafka队列中未被处理的帧数，并在特定时间点计算流处理效率。虽然该分析针对各模块单独进行，但当模块集成使用时，系统整体的流处理效率也将被计算。在此框架下，集成系统评估将通过考察对象导向型流处理效率（OCSPE）、事件导向型流处理效率（OCSPE）及集成系统流处理效率（ISSPE）等指标完成。为评估边缘设备的生产性能，需对比实时记录的帧数与边缘设备向Kafka队列发送的帧数，并采用边缘生产效率（EPE）指标进行量化。相关指标的数学表达式如下所示。</w:t>
      </w:r>
    </w:p>
    <w:p w14:paraId="37928405">
      <w:pPr>
        <w:spacing w:line="240" w:lineRule="auto"/>
        <w:ind w:firstLine="420" w:firstLineChars="200"/>
      </w:pPr>
      <w:r>
        <w:drawing>
          <wp:inline distT="0" distB="0" distL="114300" distR="114300">
            <wp:extent cx="3056255" cy="1419860"/>
            <wp:effectExtent l="0" t="0" r="6985" b="1270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4"/>
                    <a:stretch>
                      <a:fillRect/>
                    </a:stretch>
                  </pic:blipFill>
                  <pic:spPr>
                    <a:xfrm>
                      <a:off x="0" y="0"/>
                      <a:ext cx="3056255" cy="1419860"/>
                    </a:xfrm>
                    <a:prstGeom prst="rect">
                      <a:avLst/>
                    </a:prstGeom>
                    <a:noFill/>
                    <a:ln>
                      <a:noFill/>
                    </a:ln>
                  </pic:spPr>
                </pic:pic>
              </a:graphicData>
            </a:graphic>
          </wp:inline>
        </w:drawing>
      </w:r>
    </w:p>
    <w:p w14:paraId="09CF5C6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B.数据集</w:t>
      </w:r>
    </w:p>
    <w:p w14:paraId="6073A99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明确本研究方法将重点关注的问题、开发过程中需考量的关键要素以及方法论阐释后，我们开展了针对两个子模块评估、事件中心化摘要模块训练与评估所需的数据集研究。在数据集研究框架内，我们确定了前两部分研究中采用的数据集特征，并筛选出适合本研究的其他适用数据集。由于无法在各模块独立开发与评估阶段获取符合集成系统评估标准的数据集，研究团队最终得出结论：采用多数据集组合将更具实践价值。在呈现研究范围内各数据集对比结果前，我们首先分别探讨了各模块对数据集质量的要求，并对集成系统评估所需数据集质量指标进行了专项评估。具体而言，针对对象中心化摘要方法开发与评估所需的数据集质量要求如下：</w:t>
      </w:r>
    </w:p>
    <w:p w14:paraId="3799685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•由于以对象为中心的视频摘要模块采用基于光流方法获取的热图并通过遗传算法实现，因此该模块不包含任何监督学习方法。</w:t>
      </w:r>
    </w:p>
    <w:p w14:paraId="6D270CD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•因此，该模块仅在评估阶段需要数据集。</w:t>
      </w:r>
    </w:p>
    <w:p w14:paraId="7D7D04F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•由于该模块的主要目的是在视频分析中保留与目标相关的统计特性，因此将通过对比应用简单视频分析工具所获得的结果来实现。</w:t>
      </w:r>
    </w:p>
    <w:p w14:paraId="0F80946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例如对摘要视频和原始视频进行交通密度分析、人群分析等。</w:t>
      </w:r>
    </w:p>
    <w:p w14:paraId="64CE0EF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•在此背景下，为评估相关模块，需要包含室内或室外区域人员视频数据集以及通过监测轻型与重型车辆交通获取的视频数据集。</w:t>
      </w:r>
    </w:p>
    <w:p w14:paraId="4CFA3F7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为实现并评估事件中心型视频摘要模块，需要一个数据集，其属性如下所示；</w:t>
      </w:r>
    </w:p>
    <w:p w14:paraId="21F736F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•为在相关方法框架内开发神经网络架构，需构建包含抢劫、骚扰、斗殴、逮捕、破坏公物、暴力行为、枪支使用、袭击、交通事故、爆炸、火灾及盗窃等异常场景视频数据集，用于训练过程。</w:t>
      </w:r>
    </w:p>
    <w:p w14:paraId="6957DC0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•有必要在此处标记视频片段，尤其是涉及异常活动的片段。</w:t>
      </w:r>
    </w:p>
    <w:p w14:paraId="56A24B2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•在测试过程中，部分视频需具备足够时长，以便通过该方法识别其中异常活动并生成摘要视频。</w:t>
      </w:r>
    </w:p>
    <w:p w14:paraId="3503376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为此，我们整理了前两节中不同视频分析应用所用数据集与通过关键词（如“视频流量监测”、“人群分析”、“异常事件检测”）开展在线调研时获取数据集的对比表，该表格已收录于表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w:t>
      </w:r>
    </w:p>
    <w:p w14:paraId="0E3894A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结合表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及前文所述的数据集要求；</w:t>
      </w:r>
    </w:p>
    <w:p w14:paraId="116E9F82">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•尽管参考文献[</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44]中给出的数据集所关注的问题</w:t>
      </w:r>
      <w:r>
        <w:rPr>
          <w:rFonts w:hint="default" w:ascii="Times New Roman" w:hAnsi="Times New Roman" w:eastAsia="宋体" w:cs="Times New Roman"/>
          <w:bCs/>
          <w:iCs/>
          <w:sz w:val="24"/>
          <w:lang w:val="en-US" w:eastAsia="zh-CN"/>
        </w:rPr>
        <w:fldChar w:fldCharType="end"/>
      </w:r>
    </w:p>
    <w:p w14:paraId="09B8F98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"bookmark59"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48]是</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视频摘要方法，其内容与智慧城市中的视频分析应用不兼容。</w:t>
      </w:r>
    </w:p>
    <w:p w14:paraId="1FF4546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•因此，在视频分析领域范围内使用已发表的数据集是恰当的方法。</w:t>
      </w:r>
    </w:p>
    <w:p w14:paraId="1A21325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•在考虑此类性质的数据集时，参考文献[</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中给出的数据集[</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不具备开展待开发方法培训与评估所需的必要资质。</w:t>
      </w:r>
    </w:p>
    <w:p w14:paraId="75FA1DDC">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•为评估以对象为中心的摘要模块，我们从数据集</w:t>
      </w:r>
    </w:p>
    <w:p w14:paraId="10B94996">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64]中获取了符合流量监测标准的视频</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。该数据集中254个视频均为从同一成像设备拍摄的长视频片段（时长5秒）。我们通过重新组合这些视频片段，获得了需要进行摘要处理的完整长视频。（案例研究I与II）</w:t>
      </w:r>
    </w:p>
    <w:p w14:paraId="5E45322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•我们考虑使用数据集[</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59]来</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评估以对象为中心的摘要模块在保留人群分析结果方面的性能，但该数据集仅包含2000帧画面。因此，我们通过将所有帧合并为20帧/秒的视频进行了第二次评估（案例研究III和IV）。</w:t>
      </w:r>
    </w:p>
    <w:p w14:paraId="1E0CC97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•使用UCF-Crime[</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HWID-12[</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和RLVS[</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数据集训练模型，该模型将执行以事件为中心的摘要分类过程。</w:t>
      </w:r>
    </w:p>
    <w:p w14:paraId="1E08B19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•目前，RLVS和HWID-12数据集中的每个视频都包含时长较短的片段。UCF-Crime数据集中的视频还包含与异常事件无关的长时长视频序列。</w:t>
      </w:r>
    </w:p>
    <w:p w14:paraId="3687918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•这对于训练将用于视频摘要方法的模型而言尤其不是理想情况。</w:t>
      </w:r>
    </w:p>
    <w:p w14:paraId="2CE0D9F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•为解决这一问题，对UCF-Crime数据集中的700段视频进行了软件辅助人工视频裁剪处理。</w:t>
      </w:r>
    </w:p>
    <w:p w14:paraId="03496D3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•数据集中未使用正常视频进行训练过程，仅包含异常视频中发现的正常视频序列。训练数据集中所有视频的时长均为3秒。</w:t>
      </w:r>
    </w:p>
    <w:p w14:paraId="650C76F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•从每个数据集中提取了2000个视频片段，最终从UCF-Crime数据集中手动提取出共计2000个视频序列。最终数据集包含6000个视频片段。</w:t>
      </w:r>
    </w:p>
    <w:p w14:paraId="3C34570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•在这6000个视频中，1000个被预留用于测试。剩余的5000个视频将用于模型训练（案例研究V）。</w:t>
      </w:r>
    </w:p>
    <w:p w14:paraId="29A5865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通过整合上述数据集，旨在构建兼具高定量与定性丰富度的训练集。用于模型测试的视频素材涵盖不同环境、光照条件及摄像机角度，从而充分展现了所开发方法在各类监控应用场景中的适应性。</w:t>
      </w:r>
    </w:p>
    <w:p w14:paraId="01024011">
      <w:pPr>
        <w:pStyle w:val="2"/>
        <w:bidi w:val="0"/>
        <w:rPr>
          <w:rFonts w:hint="default" w:ascii="Times New Roman" w:hAnsi="Times New Roman" w:eastAsia="宋体" w:cs="Times New Roman"/>
          <w:lang w:val="en-US" w:eastAsia="zh-CN"/>
        </w:rPr>
      </w:pPr>
      <w:r>
        <w:rPr>
          <w:rFonts w:hint="eastAsia" w:cs="Times New Roman"/>
          <w:lang w:val="en-US" w:eastAsia="zh-CN"/>
        </w:rPr>
        <w:t>6</w:t>
      </w:r>
      <w:r>
        <w:rPr>
          <w:rFonts w:hint="default" w:ascii="Times New Roman" w:hAnsi="Times New Roman" w:eastAsia="宋体" w:cs="Times New Roman"/>
          <w:lang w:val="en-US" w:eastAsia="zh-CN"/>
        </w:rPr>
        <w:t>.</w:t>
      </w:r>
      <w:r>
        <w:rPr>
          <w:rFonts w:hint="eastAsia" w:cs="Times New Roman"/>
          <w:lang w:val="en-US" w:eastAsia="zh-CN"/>
        </w:rPr>
        <w:t>实验结果</w:t>
      </w:r>
    </w:p>
    <w:p w14:paraId="2B9C3D57">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A.以对象为中心的视频摘要模块实验结果</w:t>
      </w:r>
    </w:p>
    <w:p w14:paraId="5C8AC10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为评估基于目标检测生成热图的对象中心化摘要模块方法的性能，我们首先将数据集[</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中的视频进行整合，并与不同遗传算法参数配置及适应度函数进行对比分析（案例研究I）。对比结果详见表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在本研究中应用遗传算法时采用deap库，其超参数范围通过大量实验确定。当超参数值偏离设定范围时，遗传算法产生的适应度值会低于0.75。我们持续优化遗传算法配置直至适应度分数超过90%（该阈值为可接受标准），并获得最小可能的代数与种群规模。本视频范围内采用的遗传算法参数配置方案，也将应用于后续聚焦目标追踪的案例研究。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展示了案例研究I实验中生成摘要视频的GCSP、LCSP、SAS及OVSE评分。在案例研究I中，我们采用YOLOv5s模型进行热力图生成与评估流程。图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展示了从摘要视频中提取的正常与异常关键帧。图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则呈现了摘要视频及原始视频的热力图，这些结果均基于最高性能模型生成。</w:t>
      </w:r>
    </w:p>
    <w:p w14:paraId="3D1DC434">
      <w:pPr>
        <w:spacing w:line="240" w:lineRule="auto"/>
        <w:ind w:firstLine="420" w:firstLineChars="200"/>
        <w:rPr>
          <w:rFonts w:hint="default" w:ascii="Times New Roman" w:hAnsi="Times New Roman" w:eastAsia="宋体" w:cs="Times New Roman"/>
          <w:bCs/>
          <w:iCs/>
          <w:sz w:val="24"/>
          <w:lang w:val="en-US" w:eastAsia="zh-CN"/>
        </w:rPr>
      </w:pPr>
      <w:r>
        <w:drawing>
          <wp:inline distT="0" distB="0" distL="114300" distR="114300">
            <wp:extent cx="5272405" cy="3260725"/>
            <wp:effectExtent l="0" t="0" r="635" b="63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5"/>
                    <a:stretch>
                      <a:fillRect/>
                    </a:stretch>
                  </pic:blipFill>
                  <pic:spPr>
                    <a:xfrm>
                      <a:off x="0" y="0"/>
                      <a:ext cx="5272405" cy="3260725"/>
                    </a:xfrm>
                    <a:prstGeom prst="rect">
                      <a:avLst/>
                    </a:prstGeom>
                    <a:noFill/>
                    <a:ln>
                      <a:noFill/>
                    </a:ln>
                  </pic:spPr>
                </pic:pic>
              </a:graphicData>
            </a:graphic>
          </wp:inline>
        </w:drawing>
      </w:r>
    </w:p>
    <w:p w14:paraId="35B0FD6F">
      <w:pPr>
        <w:spacing w:line="400" w:lineRule="exact"/>
        <w:ind w:firstLine="3060" w:firstLineChars="1700"/>
        <w:jc w:val="both"/>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w:t>
      </w:r>
      <w:r>
        <w:rPr>
          <w:rFonts w:hint="eastAsia" w:ascii="Times New Roman" w:hAnsi="Times New Roman" w:cs="Times New Roman"/>
          <w:bCs/>
          <w:iCs/>
          <w:sz w:val="18"/>
          <w:szCs w:val="18"/>
          <w:lang w:val="en-US" w:eastAsia="zh-CN"/>
        </w:rPr>
        <w:t>9</w:t>
      </w:r>
      <w:r>
        <w:rPr>
          <w:rFonts w:hint="default" w:ascii="Times New Roman" w:hAnsi="Times New Roman" w:eastAsia="宋体" w:cs="Times New Roman"/>
          <w:bCs/>
          <w:iCs/>
          <w:sz w:val="18"/>
          <w:szCs w:val="18"/>
          <w:lang w:val="en-US" w:eastAsia="zh-CN"/>
        </w:rPr>
        <w:t>基于ApacheKafka的集成系统</w:t>
      </w:r>
    </w:p>
    <w:p w14:paraId="5E3C7CDD">
      <w:pPr>
        <w:spacing w:line="400" w:lineRule="exact"/>
        <w:ind w:firstLine="3060" w:firstLineChars="1700"/>
        <w:jc w:val="both"/>
        <w:rPr>
          <w:rFonts w:hint="default" w:ascii="Times New Roman" w:hAnsi="Times New Roman" w:eastAsia="宋体" w:cs="Times New Roman"/>
          <w:bCs/>
          <w:iCs/>
          <w:sz w:val="18"/>
          <w:szCs w:val="18"/>
          <w:lang w:val="en-US" w:eastAsia="zh-CN"/>
        </w:rPr>
      </w:pPr>
      <w:bookmarkStart w:id="7" w:name="bookmark57"/>
      <w:bookmarkEnd w:id="7"/>
      <w:r>
        <w:rPr>
          <w:rFonts w:hint="default" w:ascii="Times New Roman" w:hAnsi="Times New Roman" w:eastAsia="宋体" w:cs="Times New Roman"/>
          <w:bCs/>
          <w:iCs/>
          <w:sz w:val="18"/>
          <w:szCs w:val="18"/>
          <w:lang w:val="en-US" w:eastAsia="zh-CN"/>
        </w:rPr>
        <w:t>表2.数据集对比表。</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463"/>
        <w:gridCol w:w="2133"/>
        <w:gridCol w:w="1763"/>
        <w:gridCol w:w="3163"/>
      </w:tblGrid>
      <w:tr w14:paraId="48E7D9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835F5E6">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参考文献编号</w:t>
            </w:r>
          </w:p>
        </w:tc>
        <w:tc>
          <w:tcPr>
            <w:tcW w:w="213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DED1610">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数据集名称</w:t>
            </w:r>
          </w:p>
        </w:tc>
        <w:tc>
          <w:tcPr>
            <w:tcW w:w="17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8B8E620">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用途</w:t>
            </w:r>
          </w:p>
        </w:tc>
        <w:tc>
          <w:tcPr>
            <w:tcW w:w="31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2FD49B1">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量化信息</w:t>
            </w:r>
          </w:p>
        </w:tc>
      </w:tr>
      <w:tr w14:paraId="46A8B6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F755CA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[44]</w:t>
            </w:r>
          </w:p>
        </w:tc>
        <w:tc>
          <w:tcPr>
            <w:tcW w:w="213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F817D0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VSUMM</w:t>
            </w:r>
          </w:p>
        </w:tc>
        <w:tc>
          <w:tcPr>
            <w:tcW w:w="17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EDCA08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视频摘要</w:t>
            </w:r>
          </w:p>
        </w:tc>
        <w:tc>
          <w:tcPr>
            <w:tcW w:w="31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DE6E38D">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50个视频，250个字幕</w:t>
            </w:r>
          </w:p>
        </w:tc>
      </w:tr>
      <w:tr w14:paraId="01318F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6F97A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[45]</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65946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OVP</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9F2292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视频分割</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F9385C4">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3,659个视频</w:t>
            </w:r>
          </w:p>
        </w:tc>
      </w:tr>
      <w:tr w14:paraId="260AD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6FAC40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[46]</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28CA99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TVSum</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9797C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视频摘要</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61D0F1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50个视频，1,000条标注</w:t>
            </w:r>
          </w:p>
        </w:tc>
      </w:tr>
      <w:tr w14:paraId="694A7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34C17E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[47]</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366005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SumMe</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CFE4B8">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视频摘要</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6ED12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25个视频，390条摘要</w:t>
            </w:r>
          </w:p>
        </w:tc>
      </w:tr>
      <w:tr w14:paraId="5D9E93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BF4121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[48]</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95924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MST-VTT</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FEA4D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视频字幕</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1D159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10,000个视频</w:t>
            </w:r>
          </w:p>
        </w:tc>
      </w:tr>
      <w:tr w14:paraId="72CD18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5E69B2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[49]</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03CF9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BDD100K</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B3C3C9">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驾驶视频</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C2354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100,000个视频</w:t>
            </w:r>
          </w:p>
        </w:tc>
      </w:tr>
      <w:tr w14:paraId="7CDA48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F00B13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8D076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UCF-50</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63AC4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动作识别</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840DC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6,681个视频，用于50种活动</w:t>
            </w:r>
          </w:p>
        </w:tc>
      </w:tr>
      <w:tr w14:paraId="0A26EC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C7076A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[51]</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E4E73A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UCF-Crime</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F1A0EE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异常检测</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A524526">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700个视频，用于14种异常事件</w:t>
            </w:r>
          </w:p>
        </w:tc>
      </w:tr>
      <w:tr w14:paraId="4A399B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A2852A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[52]</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84A4A2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COCO2017</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F18FB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目标检测</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59E26B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165,000张图像</w:t>
            </w:r>
          </w:p>
        </w:tc>
      </w:tr>
      <w:tr w14:paraId="41AC69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5FF01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[53]</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298DD9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KITTI</w:t>
            </w:r>
          </w:p>
        </w:tc>
        <w:tc>
          <w:tcPr>
            <w:tcW w:w="17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4EB1113">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自动驾驶</w:t>
            </w:r>
          </w:p>
        </w:tc>
        <w:tc>
          <w:tcPr>
            <w:tcW w:w="31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7BA354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389个视频</w:t>
            </w:r>
          </w:p>
        </w:tc>
      </w:tr>
      <w:tr w14:paraId="7CC8F9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3A4F017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[54]</w:t>
            </w:r>
          </w:p>
        </w:tc>
        <w:tc>
          <w:tcPr>
            <w:tcW w:w="2133" w:type="dxa"/>
            <w:tcBorders>
              <w:top w:val="nil"/>
              <w:left w:val="nil"/>
              <w:bottom w:val="nil"/>
              <w:right w:val="nil"/>
            </w:tcBorders>
            <w:noWrap w:val="0"/>
            <w:tcMar>
              <w:top w:w="120" w:type="dxa"/>
              <w:left w:w="120" w:type="dxa"/>
              <w:bottom w:w="120" w:type="dxa"/>
              <w:right w:w="120" w:type="dxa"/>
            </w:tcMar>
            <w:vAlign w:val="center"/>
          </w:tcPr>
          <w:p w14:paraId="1B78A0C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Cityscapes</w:t>
            </w:r>
          </w:p>
        </w:tc>
        <w:tc>
          <w:tcPr>
            <w:tcW w:w="1763" w:type="dxa"/>
            <w:tcBorders>
              <w:top w:val="nil"/>
              <w:left w:val="nil"/>
              <w:bottom w:val="nil"/>
              <w:right w:val="nil"/>
            </w:tcBorders>
            <w:noWrap w:val="0"/>
            <w:tcMar>
              <w:top w:w="120" w:type="dxa"/>
              <w:left w:w="120" w:type="dxa"/>
              <w:bottom w:w="120" w:type="dxa"/>
              <w:right w:w="120" w:type="dxa"/>
            </w:tcMar>
            <w:vAlign w:val="center"/>
          </w:tcPr>
          <w:p w14:paraId="51CF218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视频分割</w:t>
            </w:r>
          </w:p>
        </w:tc>
        <w:tc>
          <w:tcPr>
            <w:tcW w:w="3163" w:type="dxa"/>
            <w:tcBorders>
              <w:top w:val="nil"/>
              <w:left w:val="nil"/>
              <w:bottom w:val="nil"/>
              <w:right w:val="nil"/>
            </w:tcBorders>
            <w:noWrap w:val="0"/>
            <w:tcMar>
              <w:top w:w="120" w:type="dxa"/>
              <w:left w:w="120" w:type="dxa"/>
              <w:bottom w:w="120" w:type="dxa"/>
              <w:right w:w="120" w:type="dxa"/>
            </w:tcMar>
            <w:vAlign w:val="center"/>
          </w:tcPr>
          <w:p w14:paraId="1F2AD0A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20,000张图像</w:t>
            </w:r>
          </w:p>
        </w:tc>
      </w:tr>
      <w:tr w14:paraId="47FCDD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7F0C6A5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[55]</w:t>
            </w:r>
          </w:p>
        </w:tc>
        <w:tc>
          <w:tcPr>
            <w:tcW w:w="2133" w:type="dxa"/>
            <w:tcBorders>
              <w:top w:val="nil"/>
              <w:left w:val="nil"/>
              <w:bottom w:val="nil"/>
              <w:right w:val="nil"/>
            </w:tcBorders>
            <w:noWrap w:val="0"/>
            <w:tcMar>
              <w:top w:w="120" w:type="dxa"/>
              <w:left w:w="120" w:type="dxa"/>
              <w:bottom w:w="120" w:type="dxa"/>
              <w:right w:w="120" w:type="dxa"/>
            </w:tcMar>
            <w:vAlign w:val="center"/>
          </w:tcPr>
          <w:p w14:paraId="07E6127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VIRAT</w:t>
            </w:r>
          </w:p>
        </w:tc>
        <w:tc>
          <w:tcPr>
            <w:tcW w:w="1763" w:type="dxa"/>
            <w:tcBorders>
              <w:top w:val="nil"/>
              <w:left w:val="nil"/>
              <w:bottom w:val="nil"/>
              <w:right w:val="nil"/>
            </w:tcBorders>
            <w:noWrap w:val="0"/>
            <w:tcMar>
              <w:top w:w="120" w:type="dxa"/>
              <w:left w:w="120" w:type="dxa"/>
              <w:bottom w:w="120" w:type="dxa"/>
              <w:right w:w="120" w:type="dxa"/>
            </w:tcMar>
            <w:vAlign w:val="center"/>
          </w:tcPr>
          <w:p w14:paraId="400FD018">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动作识别</w:t>
            </w:r>
          </w:p>
        </w:tc>
        <w:tc>
          <w:tcPr>
            <w:tcW w:w="3163" w:type="dxa"/>
            <w:tcBorders>
              <w:top w:val="nil"/>
              <w:left w:val="nil"/>
              <w:bottom w:val="nil"/>
              <w:right w:val="nil"/>
            </w:tcBorders>
            <w:noWrap w:val="0"/>
            <w:tcMar>
              <w:top w:w="120" w:type="dxa"/>
              <w:left w:w="120" w:type="dxa"/>
              <w:bottom w:w="120" w:type="dxa"/>
              <w:right w:w="120" w:type="dxa"/>
            </w:tcMar>
            <w:vAlign w:val="center"/>
          </w:tcPr>
          <w:p w14:paraId="2B5BC8A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12.5小时视频</w:t>
            </w:r>
          </w:p>
        </w:tc>
      </w:tr>
      <w:tr w14:paraId="3F58EE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573CC36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[56]</w:t>
            </w:r>
          </w:p>
        </w:tc>
        <w:tc>
          <w:tcPr>
            <w:tcW w:w="2133" w:type="dxa"/>
            <w:tcBorders>
              <w:top w:val="nil"/>
              <w:left w:val="nil"/>
              <w:bottom w:val="nil"/>
              <w:right w:val="nil"/>
            </w:tcBorders>
            <w:noWrap w:val="0"/>
            <w:tcMar>
              <w:top w:w="120" w:type="dxa"/>
              <w:left w:w="120" w:type="dxa"/>
              <w:bottom w:w="120" w:type="dxa"/>
              <w:right w:w="120" w:type="dxa"/>
            </w:tcMar>
            <w:vAlign w:val="center"/>
          </w:tcPr>
          <w:p w14:paraId="52C2B4B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CUHK</w:t>
            </w:r>
          </w:p>
        </w:tc>
        <w:tc>
          <w:tcPr>
            <w:tcW w:w="1763" w:type="dxa"/>
            <w:tcBorders>
              <w:top w:val="nil"/>
              <w:left w:val="nil"/>
              <w:bottom w:val="nil"/>
              <w:right w:val="nil"/>
            </w:tcBorders>
            <w:noWrap w:val="0"/>
            <w:tcMar>
              <w:top w:w="120" w:type="dxa"/>
              <w:left w:w="120" w:type="dxa"/>
              <w:bottom w:w="120" w:type="dxa"/>
              <w:right w:w="120" w:type="dxa"/>
            </w:tcMar>
            <w:vAlign w:val="center"/>
          </w:tcPr>
          <w:p w14:paraId="67DEF14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人群计数</w:t>
            </w:r>
          </w:p>
        </w:tc>
        <w:tc>
          <w:tcPr>
            <w:tcW w:w="3163" w:type="dxa"/>
            <w:tcBorders>
              <w:top w:val="nil"/>
              <w:left w:val="nil"/>
              <w:bottom w:val="nil"/>
              <w:right w:val="nil"/>
            </w:tcBorders>
            <w:noWrap w:val="0"/>
            <w:tcMar>
              <w:top w:w="120" w:type="dxa"/>
              <w:left w:w="120" w:type="dxa"/>
              <w:bottom w:w="120" w:type="dxa"/>
              <w:right w:w="120" w:type="dxa"/>
            </w:tcMar>
            <w:vAlign w:val="center"/>
          </w:tcPr>
          <w:p w14:paraId="3059EFC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1小时视频</w:t>
            </w:r>
          </w:p>
        </w:tc>
      </w:tr>
      <w:tr w14:paraId="03C05B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60FB377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[57]</w:t>
            </w:r>
          </w:p>
        </w:tc>
        <w:tc>
          <w:tcPr>
            <w:tcW w:w="2133" w:type="dxa"/>
            <w:tcBorders>
              <w:top w:val="nil"/>
              <w:left w:val="nil"/>
              <w:bottom w:val="nil"/>
              <w:right w:val="nil"/>
            </w:tcBorders>
            <w:noWrap w:val="0"/>
            <w:tcMar>
              <w:top w:w="120" w:type="dxa"/>
              <w:left w:w="120" w:type="dxa"/>
              <w:bottom w:w="120" w:type="dxa"/>
              <w:right w:w="120" w:type="dxa"/>
            </w:tcMar>
            <w:vAlign w:val="center"/>
          </w:tcPr>
          <w:p w14:paraId="1BD87B8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TAO</w:t>
            </w:r>
          </w:p>
        </w:tc>
        <w:tc>
          <w:tcPr>
            <w:tcW w:w="1763" w:type="dxa"/>
            <w:tcBorders>
              <w:top w:val="nil"/>
              <w:left w:val="nil"/>
              <w:bottom w:val="nil"/>
              <w:right w:val="nil"/>
            </w:tcBorders>
            <w:noWrap w:val="0"/>
            <w:tcMar>
              <w:top w:w="120" w:type="dxa"/>
              <w:left w:w="120" w:type="dxa"/>
              <w:bottom w:w="120" w:type="dxa"/>
              <w:right w:w="120" w:type="dxa"/>
            </w:tcMar>
            <w:vAlign w:val="center"/>
          </w:tcPr>
          <w:p w14:paraId="3DB0569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目标跟踪</w:t>
            </w:r>
          </w:p>
        </w:tc>
        <w:tc>
          <w:tcPr>
            <w:tcW w:w="3163" w:type="dxa"/>
            <w:tcBorders>
              <w:top w:val="nil"/>
              <w:left w:val="nil"/>
              <w:bottom w:val="nil"/>
              <w:right w:val="nil"/>
            </w:tcBorders>
            <w:noWrap w:val="0"/>
            <w:tcMar>
              <w:top w:w="120" w:type="dxa"/>
              <w:left w:w="120" w:type="dxa"/>
              <w:bottom w:w="120" w:type="dxa"/>
              <w:right w:w="120" w:type="dxa"/>
            </w:tcMar>
            <w:vAlign w:val="center"/>
          </w:tcPr>
          <w:p w14:paraId="628FC7C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2,907个视频</w:t>
            </w:r>
          </w:p>
        </w:tc>
      </w:tr>
      <w:tr w14:paraId="6B513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7931451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[58]</w:t>
            </w:r>
          </w:p>
        </w:tc>
        <w:tc>
          <w:tcPr>
            <w:tcW w:w="2133" w:type="dxa"/>
            <w:tcBorders>
              <w:top w:val="nil"/>
              <w:left w:val="nil"/>
              <w:bottom w:val="nil"/>
              <w:right w:val="nil"/>
            </w:tcBorders>
            <w:noWrap w:val="0"/>
            <w:tcMar>
              <w:top w:w="120" w:type="dxa"/>
              <w:left w:w="120" w:type="dxa"/>
              <w:bottom w:w="120" w:type="dxa"/>
              <w:right w:w="120" w:type="dxa"/>
            </w:tcMar>
            <w:vAlign w:val="center"/>
          </w:tcPr>
          <w:p w14:paraId="16FCCC7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ShanghaiTech数据集</w:t>
            </w:r>
          </w:p>
        </w:tc>
        <w:tc>
          <w:tcPr>
            <w:tcW w:w="1763" w:type="dxa"/>
            <w:tcBorders>
              <w:top w:val="nil"/>
              <w:left w:val="nil"/>
              <w:bottom w:val="nil"/>
              <w:right w:val="nil"/>
            </w:tcBorders>
            <w:noWrap w:val="0"/>
            <w:tcMar>
              <w:top w:w="120" w:type="dxa"/>
              <w:left w:w="120" w:type="dxa"/>
              <w:bottom w:w="120" w:type="dxa"/>
              <w:right w:w="120" w:type="dxa"/>
            </w:tcMar>
            <w:vAlign w:val="center"/>
          </w:tcPr>
          <w:p w14:paraId="78EBA5F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单帧图像人群计数</w:t>
            </w:r>
          </w:p>
        </w:tc>
        <w:tc>
          <w:tcPr>
            <w:tcW w:w="3163" w:type="dxa"/>
            <w:tcBorders>
              <w:top w:val="nil"/>
              <w:left w:val="nil"/>
              <w:bottom w:val="nil"/>
              <w:right w:val="nil"/>
            </w:tcBorders>
            <w:noWrap w:val="0"/>
            <w:tcMar>
              <w:top w:w="120" w:type="dxa"/>
              <w:left w:w="120" w:type="dxa"/>
              <w:bottom w:w="120" w:type="dxa"/>
              <w:right w:w="120" w:type="dxa"/>
            </w:tcMar>
            <w:vAlign w:val="center"/>
          </w:tcPr>
          <w:p w14:paraId="79B5E6E9">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241,677张图像</w:t>
            </w:r>
          </w:p>
        </w:tc>
      </w:tr>
      <w:tr w14:paraId="2FB42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785252E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[59]</w:t>
            </w:r>
          </w:p>
        </w:tc>
        <w:tc>
          <w:tcPr>
            <w:tcW w:w="2133" w:type="dxa"/>
            <w:tcBorders>
              <w:top w:val="nil"/>
              <w:left w:val="nil"/>
              <w:bottom w:val="nil"/>
              <w:right w:val="nil"/>
            </w:tcBorders>
            <w:noWrap w:val="0"/>
            <w:tcMar>
              <w:top w:w="120" w:type="dxa"/>
              <w:left w:w="120" w:type="dxa"/>
              <w:bottom w:w="120" w:type="dxa"/>
              <w:right w:w="120" w:type="dxa"/>
            </w:tcMar>
            <w:vAlign w:val="center"/>
          </w:tcPr>
          <w:p w14:paraId="08C62A6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MallDataset</w:t>
            </w:r>
          </w:p>
        </w:tc>
        <w:tc>
          <w:tcPr>
            <w:tcW w:w="1763" w:type="dxa"/>
            <w:tcBorders>
              <w:top w:val="nil"/>
              <w:left w:val="nil"/>
              <w:bottom w:val="nil"/>
              <w:right w:val="nil"/>
            </w:tcBorders>
            <w:noWrap w:val="0"/>
            <w:tcMar>
              <w:top w:w="120" w:type="dxa"/>
              <w:left w:w="120" w:type="dxa"/>
              <w:bottom w:w="120" w:type="dxa"/>
              <w:right w:w="120" w:type="dxa"/>
            </w:tcMar>
            <w:vAlign w:val="center"/>
          </w:tcPr>
          <w:p w14:paraId="2F336BE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人群计数</w:t>
            </w:r>
          </w:p>
        </w:tc>
        <w:tc>
          <w:tcPr>
            <w:tcW w:w="3163" w:type="dxa"/>
            <w:tcBorders>
              <w:top w:val="nil"/>
              <w:left w:val="nil"/>
              <w:bottom w:val="nil"/>
              <w:right w:val="nil"/>
            </w:tcBorders>
            <w:noWrap w:val="0"/>
            <w:tcMar>
              <w:top w:w="120" w:type="dxa"/>
              <w:left w:w="120" w:type="dxa"/>
              <w:bottom w:w="120" w:type="dxa"/>
              <w:right w:w="120" w:type="dxa"/>
            </w:tcMar>
            <w:vAlign w:val="center"/>
          </w:tcPr>
          <w:p w14:paraId="523D8972">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2,000个视频帧</w:t>
            </w:r>
          </w:p>
        </w:tc>
      </w:tr>
      <w:tr w14:paraId="033075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22B5458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[60]</w:t>
            </w:r>
          </w:p>
        </w:tc>
        <w:tc>
          <w:tcPr>
            <w:tcW w:w="2133" w:type="dxa"/>
            <w:tcBorders>
              <w:top w:val="nil"/>
              <w:left w:val="nil"/>
              <w:bottom w:val="nil"/>
              <w:right w:val="nil"/>
            </w:tcBorders>
            <w:noWrap w:val="0"/>
            <w:tcMar>
              <w:top w:w="120" w:type="dxa"/>
              <w:left w:w="120" w:type="dxa"/>
              <w:bottom w:w="120" w:type="dxa"/>
              <w:right w:w="120" w:type="dxa"/>
            </w:tcMar>
            <w:vAlign w:val="center"/>
          </w:tcPr>
          <w:p w14:paraId="556F3C1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HWID-12</w:t>
            </w:r>
          </w:p>
        </w:tc>
        <w:tc>
          <w:tcPr>
            <w:tcW w:w="1763" w:type="dxa"/>
            <w:tcBorders>
              <w:top w:val="nil"/>
              <w:left w:val="nil"/>
              <w:bottom w:val="nil"/>
              <w:right w:val="nil"/>
            </w:tcBorders>
            <w:noWrap w:val="0"/>
            <w:tcMar>
              <w:top w:w="120" w:type="dxa"/>
              <w:left w:w="120" w:type="dxa"/>
              <w:bottom w:w="120" w:type="dxa"/>
              <w:right w:w="120" w:type="dxa"/>
            </w:tcMar>
            <w:vAlign w:val="center"/>
          </w:tcPr>
          <w:p w14:paraId="67BC4FE4">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交通事故视频</w:t>
            </w:r>
          </w:p>
        </w:tc>
        <w:tc>
          <w:tcPr>
            <w:tcW w:w="3163" w:type="dxa"/>
            <w:tcBorders>
              <w:top w:val="nil"/>
              <w:left w:val="nil"/>
              <w:bottom w:val="nil"/>
              <w:right w:val="nil"/>
            </w:tcBorders>
            <w:noWrap w:val="0"/>
            <w:tcMar>
              <w:top w:w="120" w:type="dxa"/>
              <w:left w:w="120" w:type="dxa"/>
              <w:bottom w:w="120" w:type="dxa"/>
              <w:right w:w="120" w:type="dxa"/>
            </w:tcMar>
            <w:vAlign w:val="center"/>
          </w:tcPr>
          <w:p w14:paraId="4502259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2,780个视频</w:t>
            </w:r>
          </w:p>
        </w:tc>
      </w:tr>
      <w:tr w14:paraId="5CA352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74621BF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[61]</w:t>
            </w:r>
          </w:p>
        </w:tc>
        <w:tc>
          <w:tcPr>
            <w:tcW w:w="2133" w:type="dxa"/>
            <w:tcBorders>
              <w:top w:val="nil"/>
              <w:left w:val="nil"/>
              <w:bottom w:val="nil"/>
              <w:right w:val="nil"/>
            </w:tcBorders>
            <w:noWrap w:val="0"/>
            <w:tcMar>
              <w:top w:w="120" w:type="dxa"/>
              <w:left w:w="120" w:type="dxa"/>
              <w:bottom w:w="120" w:type="dxa"/>
              <w:right w:w="120" w:type="dxa"/>
            </w:tcMar>
            <w:vAlign w:val="center"/>
          </w:tcPr>
          <w:p w14:paraId="552231E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RLVSD</w:t>
            </w:r>
          </w:p>
        </w:tc>
        <w:tc>
          <w:tcPr>
            <w:tcW w:w="1763" w:type="dxa"/>
            <w:tcBorders>
              <w:top w:val="nil"/>
              <w:left w:val="nil"/>
              <w:bottom w:val="nil"/>
              <w:right w:val="nil"/>
            </w:tcBorders>
            <w:noWrap w:val="0"/>
            <w:tcMar>
              <w:top w:w="120" w:type="dxa"/>
              <w:left w:w="120" w:type="dxa"/>
              <w:bottom w:w="120" w:type="dxa"/>
              <w:right w:w="120" w:type="dxa"/>
            </w:tcMar>
            <w:vAlign w:val="center"/>
          </w:tcPr>
          <w:p w14:paraId="2AFD0833">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暴力检测</w:t>
            </w:r>
          </w:p>
        </w:tc>
        <w:tc>
          <w:tcPr>
            <w:tcW w:w="3163" w:type="dxa"/>
            <w:tcBorders>
              <w:top w:val="nil"/>
              <w:left w:val="nil"/>
              <w:bottom w:val="nil"/>
              <w:right w:val="nil"/>
            </w:tcBorders>
            <w:noWrap w:val="0"/>
            <w:tcMar>
              <w:top w:w="120" w:type="dxa"/>
              <w:left w:w="120" w:type="dxa"/>
              <w:bottom w:w="120" w:type="dxa"/>
              <w:right w:w="120" w:type="dxa"/>
            </w:tcMar>
            <w:vAlign w:val="center"/>
          </w:tcPr>
          <w:p w14:paraId="7DCC2655">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2,000个视频</w:t>
            </w:r>
          </w:p>
        </w:tc>
      </w:tr>
      <w:tr w14:paraId="52F94E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656BF57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[62]</w:t>
            </w:r>
          </w:p>
        </w:tc>
        <w:tc>
          <w:tcPr>
            <w:tcW w:w="2133" w:type="dxa"/>
            <w:tcBorders>
              <w:top w:val="nil"/>
              <w:left w:val="nil"/>
              <w:bottom w:val="nil"/>
              <w:right w:val="nil"/>
            </w:tcBorders>
            <w:noWrap w:val="0"/>
            <w:tcMar>
              <w:top w:w="120" w:type="dxa"/>
              <w:left w:w="120" w:type="dxa"/>
              <w:bottom w:w="120" w:type="dxa"/>
              <w:right w:w="120" w:type="dxa"/>
            </w:tcMar>
            <w:vAlign w:val="center"/>
          </w:tcPr>
          <w:p w14:paraId="0258B29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UrbanTracker</w:t>
            </w:r>
          </w:p>
        </w:tc>
        <w:tc>
          <w:tcPr>
            <w:tcW w:w="1763" w:type="dxa"/>
            <w:tcBorders>
              <w:top w:val="nil"/>
              <w:left w:val="nil"/>
              <w:bottom w:val="nil"/>
              <w:right w:val="nil"/>
            </w:tcBorders>
            <w:noWrap w:val="0"/>
            <w:tcMar>
              <w:top w:w="120" w:type="dxa"/>
              <w:left w:w="120" w:type="dxa"/>
              <w:bottom w:w="120" w:type="dxa"/>
              <w:right w:w="120" w:type="dxa"/>
            </w:tcMar>
            <w:vAlign w:val="center"/>
          </w:tcPr>
          <w:p w14:paraId="6DB2E591">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目标跟踪</w:t>
            </w:r>
          </w:p>
        </w:tc>
        <w:tc>
          <w:tcPr>
            <w:tcW w:w="3163" w:type="dxa"/>
            <w:tcBorders>
              <w:top w:val="nil"/>
              <w:left w:val="nil"/>
              <w:bottom w:val="nil"/>
              <w:right w:val="nil"/>
            </w:tcBorders>
            <w:noWrap w:val="0"/>
            <w:tcMar>
              <w:top w:w="120" w:type="dxa"/>
              <w:left w:w="120" w:type="dxa"/>
              <w:bottom w:w="120" w:type="dxa"/>
              <w:right w:w="120" w:type="dxa"/>
            </w:tcMar>
            <w:vAlign w:val="center"/>
          </w:tcPr>
          <w:p w14:paraId="51C21EAC">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4个视频</w:t>
            </w:r>
          </w:p>
        </w:tc>
      </w:tr>
      <w:tr w14:paraId="60D421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nil"/>
              <w:right w:val="nil"/>
            </w:tcBorders>
            <w:noWrap w:val="0"/>
            <w:tcMar>
              <w:top w:w="120" w:type="dxa"/>
              <w:left w:w="120" w:type="dxa"/>
              <w:bottom w:w="120" w:type="dxa"/>
              <w:right w:w="120" w:type="dxa"/>
            </w:tcMar>
            <w:vAlign w:val="center"/>
          </w:tcPr>
          <w:p w14:paraId="0FF771B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[63]</w:t>
            </w:r>
          </w:p>
        </w:tc>
        <w:tc>
          <w:tcPr>
            <w:tcW w:w="2133" w:type="dxa"/>
            <w:tcBorders>
              <w:top w:val="nil"/>
              <w:left w:val="nil"/>
              <w:bottom w:val="nil"/>
              <w:right w:val="nil"/>
            </w:tcBorders>
            <w:noWrap w:val="0"/>
            <w:tcMar>
              <w:top w:w="120" w:type="dxa"/>
              <w:left w:w="120" w:type="dxa"/>
              <w:bottom w:w="120" w:type="dxa"/>
              <w:right w:w="120" w:type="dxa"/>
            </w:tcMar>
            <w:vAlign w:val="center"/>
          </w:tcPr>
          <w:p w14:paraId="22C7835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SCVD</w:t>
            </w:r>
          </w:p>
        </w:tc>
        <w:tc>
          <w:tcPr>
            <w:tcW w:w="1763" w:type="dxa"/>
            <w:tcBorders>
              <w:top w:val="nil"/>
              <w:left w:val="nil"/>
              <w:bottom w:val="nil"/>
              <w:right w:val="nil"/>
            </w:tcBorders>
            <w:noWrap w:val="0"/>
            <w:tcMar>
              <w:top w:w="120" w:type="dxa"/>
              <w:left w:w="120" w:type="dxa"/>
              <w:bottom w:w="120" w:type="dxa"/>
              <w:right w:w="120" w:type="dxa"/>
            </w:tcMar>
            <w:vAlign w:val="center"/>
          </w:tcPr>
          <w:p w14:paraId="3BD89E9E">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暴力检测</w:t>
            </w:r>
          </w:p>
        </w:tc>
        <w:tc>
          <w:tcPr>
            <w:tcW w:w="3163" w:type="dxa"/>
            <w:tcBorders>
              <w:top w:val="nil"/>
              <w:left w:val="nil"/>
              <w:bottom w:val="nil"/>
              <w:right w:val="nil"/>
            </w:tcBorders>
            <w:noWrap w:val="0"/>
            <w:tcMar>
              <w:top w:w="120" w:type="dxa"/>
              <w:left w:w="120" w:type="dxa"/>
              <w:bottom w:w="120" w:type="dxa"/>
              <w:right w:w="120" w:type="dxa"/>
            </w:tcMar>
            <w:vAlign w:val="center"/>
          </w:tcPr>
          <w:p w14:paraId="370CD5DB">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3,632个视频</w:t>
            </w:r>
          </w:p>
        </w:tc>
      </w:tr>
      <w:tr w14:paraId="6FF641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63" w:type="dxa"/>
            <w:tcBorders>
              <w:top w:val="nil"/>
              <w:left w:val="nil"/>
              <w:bottom w:val="single" w:color="000000" w:sz="12" w:space="0"/>
              <w:right w:val="nil"/>
            </w:tcBorders>
            <w:noWrap w:val="0"/>
            <w:tcMar>
              <w:top w:w="120" w:type="dxa"/>
              <w:left w:w="120" w:type="dxa"/>
              <w:bottom w:w="120" w:type="dxa"/>
              <w:right w:w="120" w:type="dxa"/>
            </w:tcMar>
            <w:vAlign w:val="center"/>
          </w:tcPr>
          <w:p w14:paraId="5278DDA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[64]</w:t>
            </w:r>
          </w:p>
        </w:tc>
        <w:tc>
          <w:tcPr>
            <w:tcW w:w="2133" w:type="dxa"/>
            <w:tcBorders>
              <w:top w:val="nil"/>
              <w:left w:val="nil"/>
              <w:bottom w:val="single" w:color="000000" w:sz="12" w:space="0"/>
              <w:right w:val="nil"/>
            </w:tcBorders>
            <w:noWrap w:val="0"/>
            <w:tcMar>
              <w:top w:w="120" w:type="dxa"/>
              <w:left w:w="120" w:type="dxa"/>
              <w:bottom w:w="120" w:type="dxa"/>
              <w:right w:w="120" w:type="dxa"/>
            </w:tcMar>
            <w:vAlign w:val="center"/>
          </w:tcPr>
          <w:p w14:paraId="30C7D92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w:t>
            </w:r>
          </w:p>
        </w:tc>
        <w:tc>
          <w:tcPr>
            <w:tcW w:w="1763" w:type="dxa"/>
            <w:tcBorders>
              <w:top w:val="nil"/>
              <w:left w:val="nil"/>
              <w:bottom w:val="single" w:color="000000" w:sz="12" w:space="0"/>
              <w:right w:val="nil"/>
            </w:tcBorders>
            <w:noWrap w:val="0"/>
            <w:tcMar>
              <w:top w:w="120" w:type="dxa"/>
              <w:left w:w="120" w:type="dxa"/>
              <w:bottom w:w="120" w:type="dxa"/>
              <w:right w:w="120" w:type="dxa"/>
            </w:tcMar>
            <w:vAlign w:val="center"/>
          </w:tcPr>
          <w:p w14:paraId="1BEC7B9F">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交通监控</w:t>
            </w:r>
          </w:p>
        </w:tc>
        <w:tc>
          <w:tcPr>
            <w:tcW w:w="3163" w:type="dxa"/>
            <w:tcBorders>
              <w:top w:val="nil"/>
              <w:left w:val="nil"/>
              <w:bottom w:val="single" w:color="000000" w:sz="12" w:space="0"/>
              <w:right w:val="nil"/>
            </w:tcBorders>
            <w:noWrap w:val="0"/>
            <w:tcMar>
              <w:top w:w="120" w:type="dxa"/>
              <w:left w:w="120" w:type="dxa"/>
              <w:bottom w:w="120" w:type="dxa"/>
              <w:right w:w="120" w:type="dxa"/>
            </w:tcMar>
            <w:vAlign w:val="center"/>
          </w:tcPr>
          <w:p w14:paraId="15A5B190">
            <w:pPr>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254个视频</w:t>
            </w:r>
          </w:p>
        </w:tc>
      </w:tr>
    </w:tbl>
    <w:p w14:paraId="16299C39">
      <w:pPr>
        <w:spacing w:line="400" w:lineRule="exact"/>
        <w:ind w:firstLine="4080" w:firstLineChars="1700"/>
        <w:jc w:val="both"/>
        <w:rPr>
          <w:rFonts w:hint="default" w:ascii="宋体" w:hAnsi="宋体" w:eastAsia="宋体" w:cs="宋体"/>
          <w:sz w:val="24"/>
          <w:szCs w:val="24"/>
          <w:lang w:val="en-US" w:eastAsia="zh-CN"/>
        </w:rPr>
      </w:pPr>
    </w:p>
    <w:p w14:paraId="1A398A7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在案例研究II的范围内，我们对基于光流热图的摘要方法进行了评估。这些比较结果见表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展示了案例研究II实验中获得的摘要视频的GCSP、SAS及OVSE评分。在案例研究I中，我们采用YOLOv5s模型生成热图以进行GCSP评估。图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展示了摘要视频中提取的正常与异常关键帧。图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呈现了摘要视频与原始视频中成功率最高的光流热图。图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则展示了使用YOLOv5s生成的摘要视频与原始视频的热图对比。</w:t>
      </w:r>
    </w:p>
    <w:p w14:paraId="473F2C8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对于案例研究III和IV，如前所述，采用了Mall数据集[</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。该数据集用于视频摘要方法，该方法基于案例研究III中使用YOLOv5模型进行目标检测结果生成的热力图。表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展示了案例研究III中实施的遗传算法方法的对比结果。表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呈现了案例研究III实验中获得的摘要视频的GCSP、SAS及OVSE分数。图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展示了正常与异常。</w:t>
      </w:r>
    </w:p>
    <w:p w14:paraId="4D1F60DD">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从摘要视频中获取的关键帧。图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展示了摘要视频及采用最高性能生成的原始视频的热力图。</w:t>
      </w:r>
    </w:p>
    <w:p w14:paraId="3DD5223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在案例研究IV的范围内，我们对基于光流热图的摘要方法进行了评估。这些对比结果详见表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展示了案例研究IV实验中生成的摘要视频在GCSP、SAS和OVSE指标上的得分。图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呈现了摘要视频中提取的正常与异常关键帧。图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则展示了摘要视频与原始视频的光流热图，其中原始视频的生成成功率最高。</w:t>
      </w:r>
    </w:p>
    <w:p w14:paraId="29F47C7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"bookmark89"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展示了使用YOLOv5s生成的摘要视频与原始视频的热力图。</w:t>
      </w:r>
    </w:p>
    <w:p w14:paraId="08C8C16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B.事件中心视频摘要模块的实验结果</w:t>
      </w:r>
    </w:p>
    <w:p w14:paraId="670BE82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事件导向型视频摘要任务中，我们从数据集章节提及的数据集中选取了6000段3秒视频，用于训练、验证和测试流程。在神经网络架构训练阶段，从这些3秒视频中均匀选取了16帧CNN架构，并通过循环神经网络或注意力机制提取特征，以确保学习到序列关联关系。神经模型的训练与推理阶段均采用Keras和TensorFlow库实现。所有训练过程均设定最大训练轮数为50轮，但当验证损失未收敛时，采用具有5轮记忆功能的提前停止机制进行动态调整。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展示了四种训练模型在训练、验证和测试过程中的准确率与损失值，表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则提供了模型参数的量化信息。图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展示了cnnlstm(I)神经架构的训练与验证损失及准确率曲线，图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展示了precnnls-tm（II）神经架构的训练与验证损失及准确率曲线。图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22</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展示了cnntransformer（III）神经架构的训练与验证损失及准确率曲线，图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precnntransformer（IV）神经架构的训练与验证损失及准确率曲线。通过分析所得结果可以发现，注意力机制方法能获得更高的性能表现。因此，将以事件为中心的摘要模块评估将基于cnntransformer和PRECNN-transformer模型进行。</w:t>
      </w:r>
    </w:p>
    <w:p w14:paraId="5A07FFF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完成模型训练后，从为评估事件中心型视频摘要方法准备的1000个3秒测试视频中，选取了50个异常标注视频和250个正常标注视频，并按随机顺序合并。合并测试视频中各部分的正常与异常状态通过300维二进制编码向量表示。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展示了从待分类视频的3秒正常片段和3秒异常片段中均匀选取的16帧画面。在案例研究V范围内，事件中心型视频摘要模块被用于对该视频进行</w:t>
      </w:r>
    </w:p>
    <w:p w14:paraId="5DBA55F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br w:type="column"/>
      </w:r>
    </w:p>
    <w:p w14:paraId="106D921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摘要处理，并生成由两个模型预测的二进制编码标签向量。表13展示了模型获得的二进制编码向量在SACC、SLOSS和EVSE指标上的评估结果。图25展示了通过两种神经架构处理图24中异常视频片段所获得的关键帧。</w:t>
      </w:r>
    </w:p>
    <w:p w14:paraId="16A04CA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C.集成系统实验结果为评估该集成系统，我们首先在树莓派4开发板上安装Kafka框架，并开发了用于生成视频帧的生产者模块。此时系统中已知的对象中心化摘要模块考虑了两种不同场景：第一种场景是系统集成的智慧城市系统中边缘端已完成物体检测流程。因此在此场景下，除视频帧外，系统还会通过树莓派4生成YOLOv5s模型生成的检测数据。为开展集成系统测试，需通过两种不同案例研究对系统进行评估，同时考虑这两种场景。当前两种案例研究均采用来自UCF-Crime[</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50]数据</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"bookmark69"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集</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的包含盗窃场景的10分钟室内监控视频，并通过树莓派生成。在案例研究VI中，这些视频帧及基于YOLOv5模型在这些帧上生成的检测结果将通过树莓派4输出。图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展示了以下数据图表：从30帧/秒视频中每60秒采集的帧数、每帧生成的数据量及检测Kafka主题数量、以对象为中心的消费者处理的帧数，以及以事件为中心模块处理的帧数。表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呈现了案例研究中系统在1分钟周期内OCSPE、ECSPE、ISSPE和EPE指标的评估结果。</w:t>
      </w:r>
    </w:p>
    <w:p w14:paraId="1F03796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VI.图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"bookmark99"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展示了原始视频与以对象为中心的摘要视频的热力图。表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15</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呈现了案例研究VI中以对象为中心的视频摘要性能指标。表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"bookmark101"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展示了案例研究VI中以事件为中心的视频摘要性能指标。</w:t>
      </w:r>
    </w:p>
    <w:p w14:paraId="1585ECE8">
      <w:pPr>
        <w:spacing w:line="400" w:lineRule="exact"/>
        <w:ind w:firstLine="480" w:firstLineChars="200"/>
        <w:rPr>
          <w:rFonts w:hint="eastAsia" w:ascii="Times New Roman" w:hAnsi="Times New Roman" w:cs="Times New Roman"/>
          <w:bCs/>
          <w:iCs/>
          <w:sz w:val="24"/>
          <w:lang w:val="en-US" w:eastAsia="zh-CN"/>
        </w:rPr>
      </w:pPr>
      <w:r>
        <w:rPr>
          <w:rFonts w:hint="default" w:ascii="Times New Roman" w:hAnsi="Times New Roman" w:eastAsia="宋体" w:cs="Times New Roman"/>
          <w:bCs/>
          <w:iCs/>
          <w:sz w:val="24"/>
          <w:lang w:val="en-US" w:eastAsia="zh-CN"/>
        </w:rPr>
        <w:t>在案例研究VII中，针对基于光流方法实现对象摘要模块的情况，对同一视频进行了重新实现。图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展示了从30帧/秒视频中以60秒为周期提取的帧数、每帧生成的数据量与检测Kafka主题数量、以对象为中心的消费者处理的帧数以及以事件为中心模块处理的帧数。表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17</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呈现了案例研究VII中系统在1分钟周期内的OCSPE、ECSPE、ISSPE及EPE指标评估结果。图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"bookmark104"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展示了原始视频与对象中心摘要视频的热力图。表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列出了案例研究VI中对象中心视频摘要的性能指标</w:t>
      </w:r>
      <w:r>
        <w:rPr>
          <w:rFonts w:hint="eastAsia" w:ascii="Times New Roman" w:hAnsi="Times New Roman" w:cs="Times New Roman"/>
          <w:bCs/>
          <w:iCs/>
          <w:sz w:val="24"/>
          <w:lang w:val="en-US" w:eastAsia="zh-CN"/>
        </w:rPr>
        <w:t>。</w:t>
      </w:r>
    </w:p>
    <w:p w14:paraId="6ED58F3D">
      <w:pPr>
        <w:spacing w:line="240" w:lineRule="auto"/>
        <w:ind w:firstLine="420" w:firstLineChars="200"/>
        <w:jc w:val="both"/>
        <w:rPr>
          <w:rFonts w:hint="eastAsia" w:eastAsia="宋体"/>
          <w:position w:val="-39"/>
          <w:lang w:val="en-US" w:eastAsia="zh-CN"/>
        </w:rPr>
      </w:pPr>
      <w:r>
        <w:rPr>
          <w:position w:val="-39"/>
        </w:rPr>
        <w:drawing>
          <wp:inline distT="0" distB="0" distL="0" distR="0">
            <wp:extent cx="2026920" cy="1250315"/>
            <wp:effectExtent l="0" t="0" r="0" b="14605"/>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6"/>
                    <a:stretch>
                      <a:fillRect/>
                    </a:stretch>
                  </pic:blipFill>
                  <pic:spPr>
                    <a:xfrm>
                      <a:off x="0" y="0"/>
                      <a:ext cx="2026920" cy="1250555"/>
                    </a:xfrm>
                    <a:prstGeom prst="rect">
                      <a:avLst/>
                    </a:prstGeom>
                  </pic:spPr>
                </pic:pic>
              </a:graphicData>
            </a:graphic>
          </wp:inline>
        </w:drawing>
      </w:r>
      <w:r>
        <w:drawing>
          <wp:anchor distT="0" distB="0" distL="0" distR="0" simplePos="0" relativeHeight="251664384" behindDoc="0" locked="0" layoutInCell="1" allowOverlap="1">
            <wp:simplePos x="0" y="0"/>
            <wp:positionH relativeFrom="column">
              <wp:posOffset>2837815</wp:posOffset>
            </wp:positionH>
            <wp:positionV relativeFrom="paragraph">
              <wp:posOffset>69215</wp:posOffset>
            </wp:positionV>
            <wp:extent cx="1990090" cy="1250315"/>
            <wp:effectExtent l="0" t="0" r="6350" b="14605"/>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7"/>
                    <a:stretch>
                      <a:fillRect/>
                    </a:stretch>
                  </pic:blipFill>
                  <pic:spPr>
                    <a:xfrm>
                      <a:off x="0" y="0"/>
                      <a:ext cx="1990090" cy="1250315"/>
                    </a:xfrm>
                    <a:prstGeom prst="rect">
                      <a:avLst/>
                    </a:prstGeom>
                  </pic:spPr>
                </pic:pic>
              </a:graphicData>
            </a:graphic>
          </wp:anchor>
        </w:drawing>
      </w:r>
      <w:r>
        <w:rPr>
          <w:position w:val="-39"/>
        </w:rPr>
        <w:br w:type="textWrapping"/>
      </w:r>
      <w:r>
        <w:rPr>
          <w:rFonts w:hint="default" w:ascii="Times New Roman" w:hAnsi="Times New Roman" w:eastAsia="宋体" w:cs="Times New Roman"/>
          <w:bCs/>
          <w:iCs/>
          <w:sz w:val="18"/>
          <w:szCs w:val="18"/>
          <w:lang w:val="en-US" w:eastAsia="zh-CN"/>
        </w:rPr>
        <w:t>图10.从案例研究I生成的摘要视频中选取的关键帧。（a：正常，b：异常）</w:t>
      </w:r>
      <w:r>
        <w:rPr>
          <w:rFonts w:hint="eastAsia" w:ascii="Times New Roman" w:hAnsi="Times New Roman" w:eastAsia="宋体" w:cs="Times New Roman"/>
          <w:bCs/>
          <w:iCs/>
          <w:sz w:val="18"/>
          <w:szCs w:val="18"/>
          <w:lang w:val="en-US" w:eastAsia="zh-CN"/>
        </w:rPr>
        <w:t>v</w:t>
      </w:r>
    </w:p>
    <w:p w14:paraId="6BE4F6F7">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mc:AlternateContent>
          <mc:Choice Requires="wps">
            <w:drawing>
              <wp:anchor distT="0" distB="0" distL="114300" distR="114300" simplePos="0" relativeHeight="251665408" behindDoc="1" locked="0" layoutInCell="1" allowOverlap="1">
                <wp:simplePos x="0" y="0"/>
                <wp:positionH relativeFrom="column">
                  <wp:posOffset>2124710</wp:posOffset>
                </wp:positionH>
                <wp:positionV relativeFrom="paragraph">
                  <wp:posOffset>1222375</wp:posOffset>
                </wp:positionV>
                <wp:extent cx="1122045" cy="9588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122045" cy="95885"/>
                        </a:xfrm>
                        <a:prstGeom prst="rect">
                          <a:avLst/>
                        </a:prstGeom>
                        <a:noFill/>
                        <a:ln>
                          <a:noFill/>
                        </a:ln>
                      </wps:spPr>
                      <wps:txbx>
                        <w:txbxContent>
                          <w:p w14:paraId="23311C5E">
                            <w:pPr>
                              <w:spacing w:before="19" w:line="177" w:lineRule="auto"/>
                              <w:ind w:left="20"/>
                              <w:rPr>
                                <w:rFonts w:ascii="Arial" w:hAnsi="Arial" w:eastAsia="Arial" w:cs="Arial"/>
                                <w:sz w:val="13"/>
                                <w:szCs w:val="13"/>
                              </w:rPr>
                            </w:pPr>
                            <w:bookmarkStart w:id="10" w:name="bookmark75"/>
                            <w:bookmarkEnd w:id="10"/>
                            <w:r>
                              <w:rPr>
                                <w:rFonts w:ascii="Arial" w:hAnsi="Arial" w:eastAsia="Arial" w:cs="Arial"/>
                                <w:spacing w:val="3"/>
                                <w:sz w:val="13"/>
                                <w:szCs w:val="13"/>
                              </w:rPr>
                              <w:t>0.02121</w:t>
                            </w:r>
                          </w:p>
                        </w:txbxContent>
                      </wps:txbx>
                      <wps:bodyPr lIns="0" tIns="0" rIns="0" bIns="0" upright="1"/>
                    </wps:wsp>
                  </a:graphicData>
                </a:graphic>
              </wp:anchor>
            </w:drawing>
          </mc:Choice>
          <mc:Fallback>
            <w:pict>
              <v:shape id="_x0000_s1026" o:spid="_x0000_s1026" o:spt="202" type="#_x0000_t202" style="position:absolute;left:0pt;margin-left:167.3pt;margin-top:96.25pt;height:7.55pt;width:88.35pt;z-index:-251651072;mso-width-relative:page;mso-height-relative:page;" filled="f" stroked="f" coordsize="21600,21600" o:gfxdata="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GXwUNoAAAALAQAADwAAAAAAAAABACAAAAAiAAAAZHJzL2Rvd25yZXYueG1sUEsB&#10;AhQAFAAAAAgAh07iQHbryRK6AQAAcwMAAA4AAAAAAAAAAQAgAAAAKQEAAGRycy9lMm9Eb2MueG1s&#10;UEsFBgAAAAAGAAYAWQEAAFUFAAAAAA==&#10;">
                <v:fill on="f" focussize="0,0"/>
                <v:stroke on="f"/>
                <v:imagedata o:title=""/>
                <o:lock v:ext="edit" aspectratio="f"/>
                <v:textbox inset="0mm,0mm,0mm,0mm">
                  <w:txbxContent>
                    <w:p w14:paraId="23311C5E">
                      <w:pPr>
                        <w:spacing w:before="19" w:line="177" w:lineRule="auto"/>
                        <w:ind w:left="20"/>
                        <w:rPr>
                          <w:rFonts w:ascii="Arial" w:hAnsi="Arial" w:eastAsia="Arial" w:cs="Arial"/>
                          <w:sz w:val="13"/>
                          <w:szCs w:val="13"/>
                        </w:rPr>
                      </w:pPr>
                      <w:bookmarkStart w:id="10" w:name="bookmark75"/>
                      <w:bookmarkEnd w:id="10"/>
                      <w:r>
                        <w:rPr>
                          <w:rFonts w:ascii="Arial" w:hAnsi="Arial" w:eastAsia="Arial" w:cs="Arial"/>
                          <w:spacing w:val="3"/>
                          <w:sz w:val="13"/>
                          <w:szCs w:val="13"/>
                        </w:rPr>
                        <w:t>0.02121</w:t>
                      </w:r>
                    </w:p>
                  </w:txbxContent>
                </v:textbox>
              </v:shape>
            </w:pict>
          </mc:Fallback>
        </mc:AlternateContent>
      </w:r>
      <w:bookmarkStart w:id="8" w:name="bookmark74"/>
      <w:bookmarkEnd w:id="8"/>
      <w:bookmarkStart w:id="9" w:name="bookmark72"/>
      <w:bookmarkEnd w:id="9"/>
      <w:r>
        <w:rPr>
          <w:rFonts w:hint="default" w:ascii="Times New Roman" w:hAnsi="Times New Roman" w:eastAsia="宋体" w:cs="Times New Roman"/>
          <w:bCs/>
          <w:iCs/>
          <w:sz w:val="18"/>
          <w:szCs w:val="18"/>
          <w:lang w:val="en-US" w:eastAsia="zh-CN"/>
        </w:rPr>
        <w:t>表3.案例研究I的实验结果。</w:t>
      </w:r>
    </w:p>
    <w:tbl>
      <w:tblPr>
        <w:tblStyle w:val="7"/>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064"/>
        <w:gridCol w:w="1064"/>
        <w:gridCol w:w="1064"/>
        <w:gridCol w:w="862"/>
        <w:gridCol w:w="1468"/>
        <w:gridCol w:w="1064"/>
        <w:gridCol w:w="1065"/>
        <w:gridCol w:w="871"/>
      </w:tblGrid>
      <w:tr w14:paraId="3070BD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04F580C">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实验编号</w:t>
            </w:r>
          </w:p>
        </w:tc>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3B57FD8">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种群数量</w:t>
            </w:r>
          </w:p>
        </w:tc>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18EB26E">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迭代次数</w:t>
            </w:r>
          </w:p>
        </w:tc>
        <w:tc>
          <w:tcPr>
            <w:tcW w:w="86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0EFDC6C">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变异率</w:t>
            </w:r>
          </w:p>
        </w:tc>
        <w:tc>
          <w:tcPr>
            <w:tcW w:w="146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F2F1327">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稳定迭代次数</w:t>
            </w:r>
          </w:p>
        </w:tc>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B925BF2">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原始帧数</w:t>
            </w:r>
          </w:p>
        </w:tc>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EA3F1F8">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目标帧数</w:t>
            </w:r>
          </w:p>
        </w:tc>
        <w:tc>
          <w:tcPr>
            <w:tcW w:w="86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B6DF773">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适应度</w:t>
            </w:r>
          </w:p>
        </w:tc>
      </w:tr>
      <w:tr w14:paraId="257568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69D6DD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w:t>
            </w:r>
          </w:p>
        </w:tc>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05DD2E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C31759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86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462BFC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46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07825E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81</w:t>
            </w:r>
          </w:p>
        </w:tc>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B7438D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D38B7A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175</w:t>
            </w:r>
          </w:p>
        </w:tc>
        <w:tc>
          <w:tcPr>
            <w:tcW w:w="86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797AF3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0.839</w:t>
            </w:r>
          </w:p>
        </w:tc>
      </w:tr>
      <w:tr w14:paraId="6353B6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1D1FD1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3339DC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5F75C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200</w:t>
            </w:r>
          </w:p>
        </w:tc>
        <w:tc>
          <w:tcPr>
            <w:tcW w:w="86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E2363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15.0%</w:t>
            </w:r>
          </w:p>
        </w:tc>
        <w:tc>
          <w:tcPr>
            <w:tcW w:w="146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1C4D15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95</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895B14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41FF0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177</w:t>
            </w:r>
          </w:p>
        </w:tc>
        <w:tc>
          <w:tcPr>
            <w:tcW w:w="8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66586C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0.8455</w:t>
            </w:r>
          </w:p>
        </w:tc>
      </w:tr>
      <w:tr w14:paraId="7CCFB3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42946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FAF75B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C678F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300</w:t>
            </w:r>
          </w:p>
        </w:tc>
        <w:tc>
          <w:tcPr>
            <w:tcW w:w="86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7BB89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1.0%</w:t>
            </w:r>
          </w:p>
        </w:tc>
        <w:tc>
          <w:tcPr>
            <w:tcW w:w="146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8DD46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168</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BCB380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43C135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171</w:t>
            </w:r>
          </w:p>
        </w:tc>
        <w:tc>
          <w:tcPr>
            <w:tcW w:w="8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F1087F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0.863</w:t>
            </w:r>
          </w:p>
        </w:tc>
      </w:tr>
      <w:tr w14:paraId="46CC85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9BB065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2A12C0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BA27EB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300</w:t>
            </w:r>
          </w:p>
        </w:tc>
        <w:tc>
          <w:tcPr>
            <w:tcW w:w="86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B892EA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w:t>
            </w:r>
          </w:p>
        </w:tc>
        <w:tc>
          <w:tcPr>
            <w:tcW w:w="146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A6E781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267</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41717B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CE5AD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171</w:t>
            </w:r>
          </w:p>
        </w:tc>
        <w:tc>
          <w:tcPr>
            <w:tcW w:w="8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4422F3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0.861</w:t>
            </w:r>
          </w:p>
        </w:tc>
      </w:tr>
      <w:tr w14:paraId="797ABB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2FFA05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3333A0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8F706C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300</w:t>
            </w:r>
          </w:p>
        </w:tc>
        <w:tc>
          <w:tcPr>
            <w:tcW w:w="86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36803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46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3E9E40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199</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A5A881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B52657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171</w:t>
            </w:r>
          </w:p>
        </w:tc>
        <w:tc>
          <w:tcPr>
            <w:tcW w:w="8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9D6B3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0.862</w:t>
            </w:r>
          </w:p>
        </w:tc>
      </w:tr>
      <w:tr w14:paraId="738CCF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35F51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C6D56D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00E3AF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300</w:t>
            </w:r>
          </w:p>
        </w:tc>
        <w:tc>
          <w:tcPr>
            <w:tcW w:w="86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FBEA1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w:t>
            </w:r>
          </w:p>
        </w:tc>
        <w:tc>
          <w:tcPr>
            <w:tcW w:w="146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4D73A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115</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3A44F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9B6362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200</w:t>
            </w:r>
          </w:p>
        </w:tc>
        <w:tc>
          <w:tcPr>
            <w:tcW w:w="8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F4BE9D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0.862</w:t>
            </w:r>
          </w:p>
        </w:tc>
      </w:tr>
      <w:tr w14:paraId="35E7C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146309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7</w:t>
            </w:r>
          </w:p>
        </w:tc>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45B9BF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8F752B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200</w:t>
            </w:r>
          </w:p>
        </w:tc>
        <w:tc>
          <w:tcPr>
            <w:tcW w:w="86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FB75AA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w:t>
            </w:r>
          </w:p>
        </w:tc>
        <w:tc>
          <w:tcPr>
            <w:tcW w:w="146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8AE61C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121</w:t>
            </w:r>
          </w:p>
        </w:tc>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08CBE1E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133</w:t>
            </w:r>
          </w:p>
        </w:tc>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7772EF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200</w:t>
            </w:r>
          </w:p>
        </w:tc>
        <w:tc>
          <w:tcPr>
            <w:tcW w:w="86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AC0043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0.911</w:t>
            </w:r>
          </w:p>
        </w:tc>
      </w:tr>
    </w:tbl>
    <w:p w14:paraId="582573A4">
      <w:pPr>
        <w:spacing w:line="240" w:lineRule="auto"/>
        <w:ind w:firstLine="420" w:firstLineChars="200"/>
        <w:rPr>
          <w:position w:val="-39"/>
        </w:rPr>
      </w:pPr>
      <w:r>
        <w:drawing>
          <wp:inline distT="0" distB="0" distL="114300" distR="114300">
            <wp:extent cx="5272405" cy="1810385"/>
            <wp:effectExtent l="0" t="0" r="635" b="317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28"/>
                    <a:stretch>
                      <a:fillRect/>
                    </a:stretch>
                  </pic:blipFill>
                  <pic:spPr>
                    <a:xfrm>
                      <a:off x="0" y="0"/>
                      <a:ext cx="5272405" cy="1810385"/>
                    </a:xfrm>
                    <a:prstGeom prst="rect">
                      <a:avLst/>
                    </a:prstGeom>
                    <a:noFill/>
                    <a:ln>
                      <a:noFill/>
                    </a:ln>
                  </pic:spPr>
                </pic:pic>
              </a:graphicData>
            </a:graphic>
          </wp:inline>
        </w:drawing>
      </w:r>
    </w:p>
    <w:p w14:paraId="36CB93EE">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图11.案例研究I中原始视频(a)与遗传算法生成的最佳摘要(b)的热图。</w:t>
      </w:r>
    </w:p>
    <w:p w14:paraId="7E360B3B">
      <w:pPr>
        <w:spacing w:line="240" w:lineRule="auto"/>
        <w:ind w:firstLine="420" w:firstLineChars="200"/>
        <w:rPr>
          <w:rFonts w:hint="eastAsia"/>
          <w:position w:val="-39"/>
          <w:lang w:val="en-US" w:eastAsia="zh-CN"/>
        </w:rPr>
      </w:pPr>
      <w:r>
        <w:drawing>
          <wp:inline distT="0" distB="0" distL="114300" distR="114300">
            <wp:extent cx="5268595" cy="1471930"/>
            <wp:effectExtent l="0" t="0" r="4445" b="635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29"/>
                    <a:stretch>
                      <a:fillRect/>
                    </a:stretch>
                  </pic:blipFill>
                  <pic:spPr>
                    <a:xfrm>
                      <a:off x="0" y="0"/>
                      <a:ext cx="5268595" cy="1471930"/>
                    </a:xfrm>
                    <a:prstGeom prst="rect">
                      <a:avLst/>
                    </a:prstGeom>
                    <a:noFill/>
                    <a:ln>
                      <a:noFill/>
                    </a:ln>
                  </pic:spPr>
                </pic:pic>
              </a:graphicData>
            </a:graphic>
          </wp:inline>
        </w:drawing>
      </w:r>
    </w:p>
    <w:p w14:paraId="0700893D">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图12.从案例研究II生成的摘要视频中选取的关键帧。（a：正常，b：异常）。</w:t>
      </w:r>
    </w:p>
    <w:p w14:paraId="16019081">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D.比较结果</w:t>
      </w:r>
    </w:p>
    <w:p w14:paraId="48951390">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尽管我们提出的模块与其他文献研究具有不同的摘要目标，但为客观评估其性能，仍需将其与现有视频摘要方法进行对比。在此背景下，我们通过表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的文献研究对两种摘要方法进行了评估。评估过程中，我们采用以对象为中心的摘要模块GCSP性能和以事件为中心的摘要模块SACC性能作为摘要准确度指标；针对视频剪辑效果比较使用VSE指标；计算性能对比则采用</w:t>
      </w:r>
    </w:p>
    <w:p w14:paraId="2F9747B6">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OCSPE和ECSPE作为SPE指标。此外，表19中文献研究给出的F1分数、mAP及其他准确度指标均被统一转化为摘要准确度指标。</w:t>
      </w:r>
    </w:p>
    <w:p w14:paraId="7A18B61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E.功耗分析</w:t>
      </w:r>
    </w:p>
    <w:p w14:paraId="0CEC3C6B">
      <w:pPr>
        <w:spacing w:line="400" w:lineRule="exact"/>
        <w:ind w:firstLine="480" w:firstLineChars="200"/>
        <w:rPr>
          <w:rFonts w:hint="eastAsia"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为评估视频摘要框架中不同架构部署方案的能源足迹，我们采用模拟功率测量方法进行了实验。</w:t>
      </w:r>
    </w:p>
    <w:p w14:paraId="084C1D21">
      <w:pPr>
        <w:spacing w:line="240" w:lineRule="auto"/>
        <w:ind w:firstLine="420" w:firstLineChars="200"/>
        <w:rPr>
          <w:rFonts w:hint="eastAsia"/>
          <w:position w:val="-39"/>
          <w:lang w:val="en-US" w:eastAsia="zh-CN"/>
        </w:rPr>
      </w:pPr>
      <w:r>
        <w:drawing>
          <wp:inline distT="0" distB="0" distL="114300" distR="114300">
            <wp:extent cx="5268595" cy="1965325"/>
            <wp:effectExtent l="0" t="0" r="4445" b="63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0"/>
                    <a:stretch>
                      <a:fillRect/>
                    </a:stretch>
                  </pic:blipFill>
                  <pic:spPr>
                    <a:xfrm>
                      <a:off x="0" y="0"/>
                      <a:ext cx="5268595" cy="1965325"/>
                    </a:xfrm>
                    <a:prstGeom prst="rect">
                      <a:avLst/>
                    </a:prstGeom>
                    <a:noFill/>
                    <a:ln>
                      <a:noFill/>
                    </a:ln>
                  </pic:spPr>
                </pic:pic>
              </a:graphicData>
            </a:graphic>
          </wp:inline>
        </w:drawing>
      </w:r>
    </w:p>
    <w:p w14:paraId="40E032E3">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图13.案例研究II中原始视频(a)与遗传算法生成的最佳摘要(b)的热图。</w:t>
      </w:r>
    </w:p>
    <w:p w14:paraId="76A50228">
      <w:pPr>
        <w:spacing w:line="240" w:lineRule="auto"/>
        <w:ind w:firstLine="420" w:firstLineChars="200"/>
      </w:pPr>
      <w:r>
        <w:drawing>
          <wp:inline distT="0" distB="0" distL="114300" distR="114300">
            <wp:extent cx="5273040" cy="1845310"/>
            <wp:effectExtent l="0" t="0" r="0" b="1397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31"/>
                    <a:stretch>
                      <a:fillRect/>
                    </a:stretch>
                  </pic:blipFill>
                  <pic:spPr>
                    <a:xfrm>
                      <a:off x="0" y="0"/>
                      <a:ext cx="5273040" cy="1845310"/>
                    </a:xfrm>
                    <a:prstGeom prst="rect">
                      <a:avLst/>
                    </a:prstGeom>
                    <a:noFill/>
                    <a:ln>
                      <a:noFill/>
                    </a:ln>
                  </pic:spPr>
                </pic:pic>
              </a:graphicData>
            </a:graphic>
          </wp:inline>
        </w:drawing>
      </w:r>
    </w:p>
    <w:p w14:paraId="07C1DD97">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图14.原始视频(a)与遗传算法(GA)生成的最佳摘要(b)的物体检测热力图案例研究II</w:t>
      </w:r>
    </w:p>
    <w:p w14:paraId="30113A8C">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表4.案例研究I的GCSP、SAS及OVSE结果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491"/>
        <w:gridCol w:w="2012"/>
        <w:gridCol w:w="2012"/>
        <w:gridCol w:w="2007"/>
      </w:tblGrid>
      <w:tr w14:paraId="29E2C8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49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3932FE9">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实验编号</w:t>
            </w:r>
          </w:p>
        </w:tc>
        <w:tc>
          <w:tcPr>
            <w:tcW w:w="201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64B7F3C">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数据1</w:t>
            </w:r>
          </w:p>
        </w:tc>
        <w:tc>
          <w:tcPr>
            <w:tcW w:w="201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0C0E3F9">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数据2</w:t>
            </w:r>
          </w:p>
        </w:tc>
        <w:tc>
          <w:tcPr>
            <w:tcW w:w="200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3070565">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百分比</w:t>
            </w:r>
          </w:p>
        </w:tc>
      </w:tr>
      <w:tr w14:paraId="4B9CD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11BC47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w:t>
            </w:r>
          </w:p>
        </w:tc>
        <w:tc>
          <w:tcPr>
            <w:tcW w:w="201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5E93C2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0.8390</w:t>
            </w:r>
          </w:p>
        </w:tc>
        <w:tc>
          <w:tcPr>
            <w:tcW w:w="201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5094FE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0.8132</w:t>
            </w:r>
          </w:p>
        </w:tc>
        <w:tc>
          <w:tcPr>
            <w:tcW w:w="200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67AA00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99.2%</w:t>
            </w:r>
          </w:p>
        </w:tc>
      </w:tr>
      <w:tr w14:paraId="6EA8AA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383F43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1CEE55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0.8455</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23EAFC5">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0.8535</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862FB1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99.2%</w:t>
            </w:r>
          </w:p>
        </w:tc>
      </w:tr>
      <w:tr w14:paraId="598FBE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312B23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80F925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0.8630</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090EA6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0.8413</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902A5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99.2%</w:t>
            </w:r>
          </w:p>
        </w:tc>
      </w:tr>
      <w:tr w14:paraId="0A2003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2A81A3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5C6BBF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0.8610</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08BD09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0.8516</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8298A8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99.2%</w:t>
            </w:r>
          </w:p>
        </w:tc>
      </w:tr>
      <w:tr w14:paraId="153AF4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B873B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44C7B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0.8620</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91A21D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0.8732</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65682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99.2%</w:t>
            </w:r>
          </w:p>
        </w:tc>
      </w:tr>
      <w:tr w14:paraId="34A8E9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3C7AA3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6</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0AA287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0.9110</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AB104A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0.9066</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7EBB24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98.5%</w:t>
            </w:r>
          </w:p>
        </w:tc>
      </w:tr>
      <w:tr w14:paraId="28C03E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3AE286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7</w:t>
            </w:r>
          </w:p>
        </w:tc>
        <w:tc>
          <w:tcPr>
            <w:tcW w:w="201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018A15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0.9170</w:t>
            </w:r>
          </w:p>
        </w:tc>
        <w:tc>
          <w:tcPr>
            <w:tcW w:w="201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321C2F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0.9291</w:t>
            </w:r>
          </w:p>
        </w:tc>
        <w:tc>
          <w:tcPr>
            <w:tcW w:w="200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7F7569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98.5%</w:t>
            </w:r>
          </w:p>
        </w:tc>
      </w:tr>
    </w:tbl>
    <w:p w14:paraId="5DEE3126">
      <w:pPr>
        <w:spacing w:line="400" w:lineRule="exact"/>
        <w:ind w:firstLine="360" w:firstLineChars="200"/>
        <w:jc w:val="center"/>
        <w:rPr>
          <w:rFonts w:hint="eastAsia"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表5.案例研究II的实验结果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437"/>
        <w:gridCol w:w="3742"/>
        <w:gridCol w:w="1210"/>
        <w:gridCol w:w="2133"/>
      </w:tblGrid>
      <w:tr w14:paraId="1E2840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3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D518191">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序号</w:t>
            </w:r>
          </w:p>
        </w:tc>
        <w:tc>
          <w:tcPr>
            <w:tcW w:w="374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98D2790">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PopGenS.GO.F.C</w:t>
            </w:r>
          </w:p>
        </w:tc>
        <w:tc>
          <w:tcPr>
            <w:tcW w:w="121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07D02BB">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T.F</w:t>
            </w:r>
          </w:p>
        </w:tc>
        <w:tc>
          <w:tcPr>
            <w:tcW w:w="213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F4A429D">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Fitness</w:t>
            </w:r>
          </w:p>
        </w:tc>
      </w:tr>
      <w:tr w14:paraId="5F4EAA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3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FF062A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w:t>
            </w:r>
          </w:p>
        </w:tc>
        <w:tc>
          <w:tcPr>
            <w:tcW w:w="374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EA0165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210"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920F83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213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D27C7E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0.829</w:t>
            </w:r>
          </w:p>
        </w:tc>
      </w:tr>
      <w:tr w14:paraId="600B3A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3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A8D55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w:t>
            </w:r>
          </w:p>
        </w:tc>
        <w:tc>
          <w:tcPr>
            <w:tcW w:w="374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790234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21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075794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100</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1D0FD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0.846</w:t>
            </w:r>
          </w:p>
        </w:tc>
      </w:tr>
      <w:tr w14:paraId="28B9CD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3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DF66FE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w:t>
            </w:r>
          </w:p>
        </w:tc>
        <w:tc>
          <w:tcPr>
            <w:tcW w:w="374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52DBB9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50</w:t>
            </w:r>
          </w:p>
        </w:tc>
        <w:tc>
          <w:tcPr>
            <w:tcW w:w="121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042A87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200</w:t>
            </w:r>
          </w:p>
        </w:tc>
        <w:tc>
          <w:tcPr>
            <w:tcW w:w="213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8C30DE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0.955</w:t>
            </w:r>
          </w:p>
        </w:tc>
      </w:tr>
      <w:tr w14:paraId="5BD95E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43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B951E9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w:t>
            </w:r>
          </w:p>
        </w:tc>
        <w:tc>
          <w:tcPr>
            <w:tcW w:w="374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603A51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w:t>
            </w:r>
          </w:p>
        </w:tc>
        <w:tc>
          <w:tcPr>
            <w:tcW w:w="121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052B49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300</w:t>
            </w:r>
          </w:p>
        </w:tc>
        <w:tc>
          <w:tcPr>
            <w:tcW w:w="213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FC1F71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0.960</w:t>
            </w:r>
          </w:p>
        </w:tc>
      </w:tr>
    </w:tbl>
    <w:p w14:paraId="19CDEF9C">
      <w:pPr>
        <w:spacing w:line="240" w:lineRule="auto"/>
        <w:ind w:firstLine="480" w:firstLineChars="200"/>
        <w:rPr>
          <w:rFonts w:hint="eastAsia" w:ascii="宋体" w:hAnsi="宋体" w:eastAsia="宋体" w:cs="宋体"/>
          <w:sz w:val="24"/>
          <w:szCs w:val="24"/>
          <w:lang w:val="en-US" w:eastAsia="zh-CN"/>
        </w:rPr>
      </w:pPr>
    </w:p>
    <w:p w14:paraId="3B5E0B5A">
      <w:pPr>
        <w:spacing w:line="400" w:lineRule="exact"/>
        <w:ind w:firstLine="360" w:firstLineChars="200"/>
        <w:jc w:val="center"/>
        <w:rPr>
          <w:rFonts w:hint="eastAsia"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表6.案例研究I的GCSP、SAS及OVSE结果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491"/>
        <w:gridCol w:w="2012"/>
        <w:gridCol w:w="2012"/>
        <w:gridCol w:w="2007"/>
      </w:tblGrid>
      <w:tr w14:paraId="4B4D04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49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6B07B53">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实验编号</w:t>
            </w:r>
          </w:p>
        </w:tc>
        <w:tc>
          <w:tcPr>
            <w:tcW w:w="201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7C4840F">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数据1</w:t>
            </w:r>
          </w:p>
        </w:tc>
        <w:tc>
          <w:tcPr>
            <w:tcW w:w="201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99A20FA">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数据2</w:t>
            </w:r>
          </w:p>
        </w:tc>
        <w:tc>
          <w:tcPr>
            <w:tcW w:w="200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A3F9E95">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百分比</w:t>
            </w:r>
          </w:p>
        </w:tc>
      </w:tr>
      <w:tr w14:paraId="7140E4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F8ED560">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1</w:t>
            </w:r>
          </w:p>
        </w:tc>
        <w:tc>
          <w:tcPr>
            <w:tcW w:w="201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7BFC7B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0.7016</w:t>
            </w:r>
          </w:p>
        </w:tc>
        <w:tc>
          <w:tcPr>
            <w:tcW w:w="201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E1EB18D">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0.8316</w:t>
            </w:r>
          </w:p>
        </w:tc>
        <w:tc>
          <w:tcPr>
            <w:tcW w:w="200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CD362F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99.8%</w:t>
            </w:r>
          </w:p>
        </w:tc>
      </w:tr>
      <w:tr w14:paraId="4EB41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788DA92">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2</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65FB3E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0.7127</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8A9E6FF">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0.8545</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30D19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99.8%</w:t>
            </w:r>
          </w:p>
        </w:tc>
      </w:tr>
      <w:tr w14:paraId="683033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3805224">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3</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E5069B">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0.7835</w:t>
            </w:r>
          </w:p>
        </w:tc>
        <w:tc>
          <w:tcPr>
            <w:tcW w:w="2012"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371690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0.8930</w:t>
            </w:r>
          </w:p>
        </w:tc>
        <w:tc>
          <w:tcPr>
            <w:tcW w:w="200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086AC6">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99.6%</w:t>
            </w:r>
          </w:p>
        </w:tc>
      </w:tr>
      <w:tr w14:paraId="36F55B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9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B6870F8">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4</w:t>
            </w:r>
          </w:p>
        </w:tc>
        <w:tc>
          <w:tcPr>
            <w:tcW w:w="201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DBA108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0.8032</w:t>
            </w:r>
          </w:p>
        </w:tc>
        <w:tc>
          <w:tcPr>
            <w:tcW w:w="201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DD47D4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b/>
              </w:rPr>
              <w:t>0.9135</w:t>
            </w:r>
          </w:p>
        </w:tc>
        <w:tc>
          <w:tcPr>
            <w:tcW w:w="200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D24EE1A">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99.6%</w:t>
            </w:r>
          </w:p>
        </w:tc>
      </w:tr>
    </w:tbl>
    <w:p w14:paraId="4EDEE407">
      <w:pPr>
        <w:spacing w:line="240" w:lineRule="auto"/>
        <w:ind w:firstLine="480" w:firstLineChars="200"/>
        <w:rPr>
          <w:rFonts w:hint="eastAsia" w:ascii="宋体" w:hAnsi="宋体" w:eastAsia="宋体" w:cs="宋体"/>
          <w:sz w:val="24"/>
          <w:szCs w:val="24"/>
          <w:lang w:val="en-US" w:eastAsia="zh-CN"/>
        </w:rPr>
      </w:pPr>
    </w:p>
    <w:p w14:paraId="475288D2">
      <w:pPr>
        <w:spacing w:line="400" w:lineRule="exact"/>
        <w:ind w:firstLine="360" w:firstLineChars="200"/>
        <w:jc w:val="center"/>
        <w:rPr>
          <w:rFonts w:hint="eastAsia"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表7.案例研究II的实验结果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468"/>
        <w:gridCol w:w="6054"/>
      </w:tblGrid>
      <w:tr w14:paraId="718AB2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46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DE69EA8">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拆分部分</w:t>
            </w:r>
          </w:p>
        </w:tc>
        <w:tc>
          <w:tcPr>
            <w:tcW w:w="605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692B9CC">
            <w:pPr>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内容</w:t>
            </w:r>
          </w:p>
        </w:tc>
      </w:tr>
      <w:tr w14:paraId="128F77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6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5CF5F8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部分1</w:t>
            </w:r>
          </w:p>
        </w:tc>
        <w:tc>
          <w:tcPr>
            <w:tcW w:w="6054"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3CC217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PopGenS</w:t>
            </w:r>
          </w:p>
        </w:tc>
      </w:tr>
      <w:tr w14:paraId="0B8B48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39F809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部分2</w:t>
            </w:r>
          </w:p>
        </w:tc>
        <w:tc>
          <w:tcPr>
            <w:tcW w:w="605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EBE6D81">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GO</w:t>
            </w:r>
          </w:p>
        </w:tc>
      </w:tr>
      <w:tr w14:paraId="679AD1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DCCCA7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部分3</w:t>
            </w:r>
          </w:p>
        </w:tc>
        <w:tc>
          <w:tcPr>
            <w:tcW w:w="605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C66B5D9">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FC</w:t>
            </w:r>
          </w:p>
        </w:tc>
      </w:tr>
      <w:tr w14:paraId="0BFD82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6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2FCBE8E">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部分4</w:t>
            </w:r>
          </w:p>
        </w:tc>
        <w:tc>
          <w:tcPr>
            <w:tcW w:w="605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4155BB7">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Fitness3020011420002000</w:t>
            </w:r>
          </w:p>
        </w:tc>
      </w:tr>
      <w:tr w14:paraId="4B1724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46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1E0B88C">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部分5</w:t>
            </w:r>
          </w:p>
        </w:tc>
        <w:tc>
          <w:tcPr>
            <w:tcW w:w="6054"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89EC823">
            <w:pPr>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974</w:t>
            </w:r>
          </w:p>
        </w:tc>
      </w:tr>
    </w:tbl>
    <w:p w14:paraId="2608CA5E">
      <w:pPr>
        <w:spacing w:line="240" w:lineRule="auto"/>
        <w:ind w:firstLine="480" w:firstLineChars="200"/>
        <w:rPr>
          <w:rFonts w:hint="eastAsia" w:ascii="宋体" w:hAnsi="宋体" w:eastAsia="宋体" w:cs="宋体"/>
          <w:sz w:val="24"/>
          <w:szCs w:val="24"/>
          <w:lang w:val="en-US" w:eastAsia="zh-CN"/>
        </w:rPr>
      </w:pPr>
    </w:p>
    <w:p w14:paraId="62BD942A">
      <w:pPr>
        <w:spacing w:line="400" w:lineRule="exact"/>
        <w:ind w:firstLine="360" w:firstLineChars="200"/>
        <w:jc w:val="center"/>
        <w:rPr>
          <w:rFonts w:hint="eastAsia"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表8.案例研究II的GCSP、SAS及OVSE结果</w:t>
      </w:r>
    </w:p>
    <w:tbl>
      <w:tblPr>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845"/>
        <w:gridCol w:w="1987"/>
        <w:gridCol w:w="2272"/>
        <w:gridCol w:w="1415"/>
      </w:tblGrid>
      <w:tr w14:paraId="27691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17D62C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bdr w:val="none" w:color="auto" w:sz="0" w:space="0"/>
                <w:lang w:val="en-US" w:eastAsia="zh-CN" w:bidi="ar"/>
              </w:rPr>
              <w:t>实验编号</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677FE4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bdr w:val="none" w:color="auto" w:sz="0" w:space="0"/>
                <w:lang w:val="en-US" w:eastAsia="zh-CN" w:bidi="ar"/>
              </w:rPr>
              <w:t>GCSP</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0AC4CE1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bdr w:val="none" w:color="auto" w:sz="0" w:space="0"/>
                <w:lang w:val="en-US" w:eastAsia="zh-CN" w:bidi="ar"/>
              </w:rPr>
              <w:t>SAS</w:t>
            </w:r>
          </w:p>
        </w:tc>
        <w:tc>
          <w:tcPr>
            <w:tcW w:w="1415" w:type="dxa"/>
            <w:tcBorders>
              <w:top w:val="single" w:color="auto" w:sz="12" w:space="0"/>
              <w:left w:val="nil"/>
              <w:bottom w:val="nil"/>
              <w:right w:val="nil"/>
            </w:tcBorders>
            <w:shd w:val="clear"/>
            <w:noWrap w:val="0"/>
            <w:tcMar>
              <w:top w:w="-1" w:type="dxa"/>
              <w:left w:w="-1" w:type="dxa"/>
              <w:bottom w:w="-1" w:type="dxa"/>
              <w:right w:w="-1" w:type="dxa"/>
            </w:tcMar>
            <w:vAlign w:val="center"/>
          </w:tcPr>
          <w:p w14:paraId="6F9031B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bdr w:val="none" w:color="auto" w:sz="0" w:space="0"/>
                <w:lang w:val="en-US" w:eastAsia="zh-CN" w:bidi="ar"/>
              </w:rPr>
              <w:t>VSE</w:t>
            </w:r>
          </w:p>
        </w:tc>
      </w:tr>
      <w:tr w14:paraId="1BEB6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845" w:type="dxa"/>
            <w:tcBorders>
              <w:top w:val="single" w:color="auto" w:sz="4" w:space="0"/>
              <w:left w:val="nil"/>
              <w:bottom w:val="single" w:color="auto" w:sz="12" w:space="0"/>
              <w:right w:val="nil"/>
            </w:tcBorders>
            <w:shd w:val="clear"/>
            <w:noWrap w:val="0"/>
            <w:tcMar>
              <w:top w:w="-1" w:type="dxa"/>
              <w:left w:w="-1" w:type="dxa"/>
              <w:bottom w:w="-1" w:type="dxa"/>
              <w:right w:w="-1" w:type="dxa"/>
            </w:tcMar>
            <w:vAlign w:val="center"/>
          </w:tcPr>
          <w:p w14:paraId="3E6290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w:t>
            </w:r>
          </w:p>
        </w:tc>
        <w:tc>
          <w:tcPr>
            <w:tcW w:w="1987" w:type="dxa"/>
            <w:tcBorders>
              <w:top w:val="single" w:color="auto" w:sz="4" w:space="0"/>
              <w:left w:val="nil"/>
              <w:bottom w:val="single" w:color="auto" w:sz="12" w:space="0"/>
              <w:right w:val="nil"/>
            </w:tcBorders>
            <w:shd w:val="clear"/>
            <w:noWrap w:val="0"/>
            <w:tcMar>
              <w:top w:w="-1" w:type="dxa"/>
              <w:left w:w="-1" w:type="dxa"/>
              <w:bottom w:w="-1" w:type="dxa"/>
              <w:right w:w="-1" w:type="dxa"/>
            </w:tcMar>
            <w:vAlign w:val="center"/>
          </w:tcPr>
          <w:p w14:paraId="79DD42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0.974</w:t>
            </w:r>
          </w:p>
        </w:tc>
        <w:tc>
          <w:tcPr>
            <w:tcW w:w="2272" w:type="dxa"/>
            <w:tcBorders>
              <w:top w:val="single" w:color="auto" w:sz="4" w:space="0"/>
              <w:left w:val="nil"/>
              <w:bottom w:val="single" w:color="auto" w:sz="12" w:space="0"/>
              <w:right w:val="nil"/>
            </w:tcBorders>
            <w:shd w:val="clear"/>
            <w:noWrap w:val="0"/>
            <w:tcMar>
              <w:top w:w="-1" w:type="dxa"/>
              <w:left w:w="-1" w:type="dxa"/>
              <w:bottom w:w="-1" w:type="dxa"/>
              <w:right w:w="-1" w:type="dxa"/>
            </w:tcMar>
            <w:vAlign w:val="center"/>
          </w:tcPr>
          <w:p w14:paraId="5174076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0.9973</w:t>
            </w:r>
          </w:p>
        </w:tc>
        <w:tc>
          <w:tcPr>
            <w:tcW w:w="1415" w:type="dxa"/>
            <w:tcBorders>
              <w:top w:val="single" w:color="auto" w:sz="4" w:space="0"/>
              <w:left w:val="nil"/>
              <w:bottom w:val="single" w:color="auto" w:sz="12" w:space="0"/>
              <w:right w:val="nil"/>
            </w:tcBorders>
            <w:shd w:val="clear"/>
            <w:noWrap w:val="0"/>
            <w:tcMar>
              <w:top w:w="-1" w:type="dxa"/>
              <w:left w:w="-1" w:type="dxa"/>
              <w:bottom w:w="-1" w:type="dxa"/>
              <w:right w:w="-1" w:type="dxa"/>
            </w:tcMar>
            <w:vAlign w:val="center"/>
          </w:tcPr>
          <w:p w14:paraId="636FBF29">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90%</w:t>
            </w:r>
          </w:p>
        </w:tc>
      </w:tr>
    </w:tbl>
    <w:p w14:paraId="79FE23D4">
      <w:pPr>
        <w:keepNext/>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表9.案例研究II的实验结果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4761"/>
        <w:gridCol w:w="3761"/>
      </w:tblGrid>
      <w:tr w14:paraId="4210E3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476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971CE77">
            <w:pPr>
              <w:keepNext/>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分类</w:t>
            </w:r>
          </w:p>
        </w:tc>
        <w:tc>
          <w:tcPr>
            <w:tcW w:w="376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8E5F30C">
            <w:pPr>
              <w:keepNext/>
              <w:snapToGrid w:val="0"/>
              <w:ind w:left="0" w:leftChars="0" w:right="0" w:rightChars="0" w:firstLine="0" w:firstLineChars="0"/>
              <w:jc w:val="center"/>
              <w:rPr>
                <w:rFonts w:hint="eastAsia" w:ascii="宋体" w:hAnsi="宋体" w:eastAsia="宋体" w:cs="宋体"/>
                <w:b/>
                <w:bCs/>
              </w:rPr>
            </w:pPr>
            <w:r>
              <w:rPr>
                <w:rFonts w:hint="eastAsia" w:ascii="宋体" w:hAnsi="宋体" w:eastAsia="宋体" w:cs="宋体"/>
                <w:b/>
                <w:bCs/>
              </w:rPr>
              <w:t>数值</w:t>
            </w:r>
          </w:p>
        </w:tc>
      </w:tr>
      <w:tr w14:paraId="270A0C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318A804">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Pop</w:t>
            </w:r>
          </w:p>
        </w:tc>
        <w:tc>
          <w:tcPr>
            <w:tcW w:w="376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AB08CD1">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30</w:t>
            </w:r>
          </w:p>
        </w:tc>
      </w:tr>
      <w:tr w14:paraId="0BB8EA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E11565">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Gen</w:t>
            </w:r>
          </w:p>
        </w:tc>
        <w:tc>
          <w:tcPr>
            <w:tcW w:w="3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702782">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200</w:t>
            </w:r>
          </w:p>
        </w:tc>
      </w:tr>
      <w:tr w14:paraId="118CD8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B1E2A3F">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S.G</w:t>
            </w:r>
          </w:p>
        </w:tc>
        <w:tc>
          <w:tcPr>
            <w:tcW w:w="3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FC90947">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114</w:t>
            </w:r>
          </w:p>
        </w:tc>
      </w:tr>
      <w:tr w14:paraId="33323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E231AB8">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O.F.C</w:t>
            </w:r>
          </w:p>
        </w:tc>
        <w:tc>
          <w:tcPr>
            <w:tcW w:w="3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C5EEE5">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b/>
              </w:rPr>
              <w:t>2,000</w:t>
            </w:r>
          </w:p>
        </w:tc>
      </w:tr>
      <w:tr w14:paraId="1945BE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33B5859">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T.F.C</w:t>
            </w:r>
          </w:p>
        </w:tc>
        <w:tc>
          <w:tcPr>
            <w:tcW w:w="376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20A572">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200</w:t>
            </w:r>
          </w:p>
        </w:tc>
      </w:tr>
      <w:tr w14:paraId="2E0984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476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726221F">
            <w:pPr>
              <w:keepNext/>
              <w:snapToGrid w:val="0"/>
              <w:ind w:left="0" w:leftChars="0" w:right="0" w:rightChars="0" w:firstLine="0" w:firstLineChars="0"/>
              <w:jc w:val="center"/>
              <w:rPr>
                <w:rFonts w:hint="eastAsia" w:ascii="宋体" w:hAnsi="宋体" w:eastAsia="宋体" w:cs="宋体"/>
              </w:rPr>
            </w:pPr>
            <w:r>
              <w:rPr>
                <w:rFonts w:hint="eastAsia" w:ascii="宋体" w:hAnsi="宋体" w:eastAsia="宋体" w:cs="宋体"/>
              </w:rPr>
              <w:t>Fitness</w:t>
            </w:r>
          </w:p>
        </w:tc>
        <w:tc>
          <w:tcPr>
            <w:tcW w:w="376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86612F6">
            <w:pPr>
              <w:keepNext/>
              <w:snapToGrid w:val="0"/>
              <w:ind w:left="0" w:leftChars="0" w:right="0" w:rightChars="0" w:firstLine="0" w:firstLineChars="0"/>
              <w:jc w:val="left"/>
              <w:rPr>
                <w:rFonts w:hint="eastAsia" w:ascii="宋体" w:hAnsi="宋体" w:eastAsia="宋体" w:cs="宋体"/>
              </w:rPr>
            </w:pPr>
            <w:r>
              <w:rPr>
                <w:rFonts w:hint="eastAsia" w:ascii="宋体" w:hAnsi="宋体" w:eastAsia="宋体" w:cs="宋体"/>
              </w:rPr>
              <w:t>97.4%</w:t>
            </w:r>
          </w:p>
        </w:tc>
      </w:tr>
    </w:tbl>
    <w:p w14:paraId="27205350">
      <w:pPr>
        <w:keepNext/>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表10.案例研究II的GCSP、SAS及OVSE结果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638"/>
        <w:gridCol w:w="1990"/>
        <w:gridCol w:w="1990"/>
        <w:gridCol w:w="1904"/>
      </w:tblGrid>
      <w:tr w14:paraId="00BF6C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63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BBA25D7">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实验编号</w:t>
            </w:r>
          </w:p>
        </w:tc>
        <w:tc>
          <w:tcPr>
            <w:tcW w:w="199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222D960">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GCSP</w:t>
            </w:r>
          </w:p>
        </w:tc>
        <w:tc>
          <w:tcPr>
            <w:tcW w:w="199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8E9E5CA">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SAS</w:t>
            </w:r>
          </w:p>
        </w:tc>
        <w:tc>
          <w:tcPr>
            <w:tcW w:w="190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B71D386">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VSE</w:t>
            </w:r>
          </w:p>
        </w:tc>
      </w:tr>
      <w:tr w14:paraId="123599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638"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F3ED8E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w:t>
            </w:r>
          </w:p>
        </w:tc>
        <w:tc>
          <w:tcPr>
            <w:tcW w:w="199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ECCA86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0.9194</w:t>
            </w:r>
          </w:p>
        </w:tc>
        <w:tc>
          <w:tcPr>
            <w:tcW w:w="199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5EED661">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0.9612</w:t>
            </w:r>
          </w:p>
        </w:tc>
        <w:tc>
          <w:tcPr>
            <w:tcW w:w="1904"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9E38C40">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97.5%</w:t>
            </w:r>
          </w:p>
        </w:tc>
      </w:tr>
    </w:tbl>
    <w:p w14:paraId="28FBCD2E">
      <w:pPr>
        <w:keepNext/>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表11.本研究中训练的神经模型性能表现</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927"/>
        <w:gridCol w:w="1479"/>
        <w:gridCol w:w="1578"/>
        <w:gridCol w:w="1479"/>
        <w:gridCol w:w="1579"/>
        <w:gridCol w:w="1480"/>
      </w:tblGrid>
      <w:tr w14:paraId="1BD221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92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79550F5">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模型</w:t>
            </w:r>
          </w:p>
        </w:tc>
        <w:tc>
          <w:tcPr>
            <w:tcW w:w="147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930AE7A">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训练Acc</w:t>
            </w:r>
          </w:p>
        </w:tc>
        <w:tc>
          <w:tcPr>
            <w:tcW w:w="157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D805958">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训练Loss</w:t>
            </w:r>
          </w:p>
        </w:tc>
        <w:tc>
          <w:tcPr>
            <w:tcW w:w="147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9654AB5">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验证Acc</w:t>
            </w:r>
          </w:p>
        </w:tc>
        <w:tc>
          <w:tcPr>
            <w:tcW w:w="157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3B354E8">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验证Loss</w:t>
            </w:r>
          </w:p>
        </w:tc>
        <w:tc>
          <w:tcPr>
            <w:tcW w:w="147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7FE840E">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测试Acc</w:t>
            </w:r>
          </w:p>
        </w:tc>
      </w:tr>
      <w:tr w14:paraId="7DC73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2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74F1AD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I</w:t>
            </w:r>
          </w:p>
        </w:tc>
        <w:tc>
          <w:tcPr>
            <w:tcW w:w="147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7D98A4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68.7%</w:t>
            </w:r>
          </w:p>
        </w:tc>
        <w:tc>
          <w:tcPr>
            <w:tcW w:w="157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92B171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59.3%</w:t>
            </w:r>
          </w:p>
        </w:tc>
        <w:tc>
          <w:tcPr>
            <w:tcW w:w="147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AD3333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70.4%</w:t>
            </w:r>
          </w:p>
        </w:tc>
        <w:tc>
          <w:tcPr>
            <w:tcW w:w="157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39D801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58.8%</w:t>
            </w:r>
          </w:p>
        </w:tc>
        <w:tc>
          <w:tcPr>
            <w:tcW w:w="147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65DCCD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70.1%</w:t>
            </w:r>
          </w:p>
        </w:tc>
      </w:tr>
      <w:tr w14:paraId="39DF0D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2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B540E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II</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948D4B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71.1%</w:t>
            </w:r>
          </w:p>
        </w:tc>
        <w:tc>
          <w:tcPr>
            <w:tcW w:w="15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511A24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53.9%</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E2CB2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70.7%</w:t>
            </w:r>
          </w:p>
        </w:tc>
        <w:tc>
          <w:tcPr>
            <w:tcW w:w="15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41F28A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55.7%</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40891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71.2%</w:t>
            </w:r>
          </w:p>
        </w:tc>
      </w:tr>
      <w:tr w14:paraId="324DF6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2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1FDF68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III</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667BB0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96.8%</w:t>
            </w:r>
          </w:p>
        </w:tc>
        <w:tc>
          <w:tcPr>
            <w:tcW w:w="15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E4C238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6.4%</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8FA78A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92.2%</w:t>
            </w:r>
          </w:p>
        </w:tc>
        <w:tc>
          <w:tcPr>
            <w:tcW w:w="157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FFD0D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30.0%</w:t>
            </w:r>
          </w:p>
        </w:tc>
        <w:tc>
          <w:tcPr>
            <w:tcW w:w="14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F81F5D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93.9%</w:t>
            </w:r>
          </w:p>
        </w:tc>
      </w:tr>
      <w:tr w14:paraId="141568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2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41AB6B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IV</w:t>
            </w:r>
          </w:p>
        </w:tc>
        <w:tc>
          <w:tcPr>
            <w:tcW w:w="147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B243AA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93.1%</w:t>
            </w:r>
          </w:p>
        </w:tc>
        <w:tc>
          <w:tcPr>
            <w:tcW w:w="157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0EB2B7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18.0%</w:t>
            </w:r>
          </w:p>
        </w:tc>
        <w:tc>
          <w:tcPr>
            <w:tcW w:w="147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44D19A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88.7%</w:t>
            </w:r>
          </w:p>
        </w:tc>
        <w:tc>
          <w:tcPr>
            <w:tcW w:w="157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881BC2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31.0%</w:t>
            </w:r>
          </w:p>
        </w:tc>
        <w:tc>
          <w:tcPr>
            <w:tcW w:w="147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13628E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90.2%</w:t>
            </w:r>
          </w:p>
        </w:tc>
      </w:tr>
    </w:tbl>
    <w:p w14:paraId="622EAE85">
      <w:pPr>
        <w:spacing w:line="240" w:lineRule="auto"/>
        <w:ind w:firstLine="420" w:firstLineChars="200"/>
        <w:rPr>
          <w:rFonts w:hint="default" w:ascii="Times New Roman" w:hAnsi="Times New Roman" w:eastAsia="宋体" w:cs="Times New Roman"/>
        </w:rPr>
      </w:pPr>
    </w:p>
    <w:p w14:paraId="37E44D6F">
      <w:pPr>
        <w:spacing w:line="240" w:lineRule="auto"/>
        <w:ind w:firstLine="420" w:firstLineChars="200"/>
      </w:pPr>
      <w:r>
        <w:drawing>
          <wp:inline distT="0" distB="0" distL="114300" distR="114300">
            <wp:extent cx="5274310" cy="1785620"/>
            <wp:effectExtent l="0" t="0" r="13970" b="1270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32"/>
                    <a:stretch>
                      <a:fillRect/>
                    </a:stretch>
                  </pic:blipFill>
                  <pic:spPr>
                    <a:xfrm>
                      <a:off x="0" y="0"/>
                      <a:ext cx="5274310" cy="1785620"/>
                    </a:xfrm>
                    <a:prstGeom prst="rect">
                      <a:avLst/>
                    </a:prstGeom>
                    <a:noFill/>
                    <a:ln>
                      <a:noFill/>
                    </a:ln>
                  </pic:spPr>
                </pic:pic>
              </a:graphicData>
            </a:graphic>
          </wp:inline>
        </w:drawing>
      </w:r>
    </w:p>
    <w:p w14:paraId="1747B3F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图15.从案例研究III生成的摘要视频中选取的关键帧。（a：正常，b：异常）</w:t>
      </w:r>
    </w:p>
    <w:p w14:paraId="70984F92">
      <w:pPr>
        <w:spacing w:line="240" w:lineRule="auto"/>
        <w:ind w:firstLine="420" w:firstLineChars="200"/>
        <w:jc w:val="center"/>
      </w:pPr>
      <w:r>
        <w:drawing>
          <wp:inline distT="0" distB="0" distL="114300" distR="114300">
            <wp:extent cx="5269865" cy="1518285"/>
            <wp:effectExtent l="0" t="0" r="3175" b="5715"/>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33"/>
                    <a:stretch>
                      <a:fillRect/>
                    </a:stretch>
                  </pic:blipFill>
                  <pic:spPr>
                    <a:xfrm>
                      <a:off x="0" y="0"/>
                      <a:ext cx="5269865" cy="1518285"/>
                    </a:xfrm>
                    <a:prstGeom prst="rect">
                      <a:avLst/>
                    </a:prstGeom>
                    <a:noFill/>
                    <a:ln>
                      <a:noFill/>
                    </a:ln>
                  </pic:spPr>
                </pic:pic>
              </a:graphicData>
            </a:graphic>
          </wp:inline>
        </w:drawing>
      </w:r>
    </w:p>
    <w:p w14:paraId="1AFFA6A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图16.物体检测热图：原始视频(a)与案例研究III中遗传算法(GA)生成的最佳摘要(b)</w:t>
      </w:r>
    </w:p>
    <w:p w14:paraId="2E90FC76">
      <w:pPr>
        <w:spacing w:line="240" w:lineRule="auto"/>
        <w:ind w:firstLine="420" w:firstLineChars="200"/>
        <w:jc w:val="center"/>
      </w:pPr>
      <w:r>
        <w:drawing>
          <wp:inline distT="0" distB="0" distL="114300" distR="114300">
            <wp:extent cx="5268595" cy="1500505"/>
            <wp:effectExtent l="0" t="0" r="4445" b="8255"/>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34"/>
                    <a:stretch>
                      <a:fillRect/>
                    </a:stretch>
                  </pic:blipFill>
                  <pic:spPr>
                    <a:xfrm>
                      <a:off x="0" y="0"/>
                      <a:ext cx="5268595" cy="1500505"/>
                    </a:xfrm>
                    <a:prstGeom prst="rect">
                      <a:avLst/>
                    </a:prstGeom>
                    <a:noFill/>
                    <a:ln>
                      <a:noFill/>
                    </a:ln>
                  </pic:spPr>
                </pic:pic>
              </a:graphicData>
            </a:graphic>
          </wp:inline>
        </w:drawing>
      </w:r>
    </w:p>
    <w:p w14:paraId="2A906219">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图17.从案例研究IV生成的摘要视频中选取的关键帧（a：正常，b：异常）</w:t>
      </w:r>
    </w:p>
    <w:p w14:paraId="4F456B5A">
      <w:pPr>
        <w:spacing w:line="240" w:lineRule="auto"/>
        <w:ind w:firstLine="420" w:firstLineChars="200"/>
        <w:jc w:val="center"/>
      </w:pPr>
      <w:r>
        <w:drawing>
          <wp:inline distT="0" distB="0" distL="114300" distR="114300">
            <wp:extent cx="5273040" cy="1392555"/>
            <wp:effectExtent l="0" t="0" r="0" b="9525"/>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35"/>
                    <a:stretch>
                      <a:fillRect/>
                    </a:stretch>
                  </pic:blipFill>
                  <pic:spPr>
                    <a:xfrm>
                      <a:off x="0" y="0"/>
                      <a:ext cx="5273040" cy="1392555"/>
                    </a:xfrm>
                    <a:prstGeom prst="rect">
                      <a:avLst/>
                    </a:prstGeom>
                    <a:noFill/>
                    <a:ln>
                      <a:noFill/>
                    </a:ln>
                  </pic:spPr>
                </pic:pic>
              </a:graphicData>
            </a:graphic>
          </wp:inline>
        </w:drawing>
      </w:r>
    </w:p>
    <w:p w14:paraId="25481AFB">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图18.案例研究IV中原视频(a)与遗传算法(GA)生成的最佳摘要(b)的光流热力图</w:t>
      </w:r>
    </w:p>
    <w:p w14:paraId="670C3F8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20</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展示了不同场景下的能耗仿真结果。所有配置中，摘要模块（以对象为中心和以事件为中心）均在云端运行以确保对比结果一致性。能耗数据以瓦时（Wh）为单位报告，计算基于标准化10分钟视频流。两种设备均记录了基准（空闲）能耗值作为参考，各任务实际能耗</w:t>
      </w:r>
    </w:p>
    <w:p w14:paraId="55602734">
      <w:pPr>
        <w:spacing w:line="400" w:lineRule="exact"/>
        <w:ind w:firstLine="480" w:firstLineChars="200"/>
        <w:rPr>
          <w:rFonts w:hint="eastAsia" w:ascii="Times New Roman" w:hAnsi="Times New Roman" w:cs="Times New Roman"/>
          <w:bCs/>
          <w:iCs/>
          <w:sz w:val="24"/>
          <w:lang w:val="en-US" w:eastAsia="zh-CN"/>
        </w:rPr>
      </w:pPr>
      <w:r>
        <w:rPr>
          <w:rFonts w:hint="default" w:ascii="Times New Roman" w:hAnsi="Times New Roman" w:eastAsia="宋体" w:cs="Times New Roman"/>
          <w:bCs/>
          <w:iCs/>
          <w:sz w:val="24"/>
          <w:lang w:val="en-US" w:eastAsia="zh-CN"/>
        </w:rPr>
        <w:t>通过总功耗减去基准值得出。例如在边缘设备执行目标检测场景中，树莓派4消耗约2.17Wh，而云端仅需1.49Wh</w:t>
      </w:r>
      <w:r>
        <w:rPr>
          <w:rFonts w:hint="eastAsia" w:ascii="Times New Roman" w:hAnsi="Times New Roman" w:cs="Times New Roman"/>
          <w:bCs/>
          <w:iCs/>
          <w:sz w:val="24"/>
          <w:lang w:val="en-US" w:eastAsia="zh-CN"/>
        </w:rPr>
        <w:t>。</w:t>
      </w:r>
    </w:p>
    <w:p w14:paraId="54E5D1E9">
      <w:pPr>
        <w:spacing w:line="240" w:lineRule="auto"/>
        <w:ind w:firstLine="420" w:firstLineChars="200"/>
      </w:pPr>
      <w:r>
        <w:drawing>
          <wp:inline distT="0" distB="0" distL="114300" distR="114300">
            <wp:extent cx="5268595" cy="1630680"/>
            <wp:effectExtent l="0" t="0" r="4445" b="0"/>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36"/>
                    <a:stretch>
                      <a:fillRect/>
                    </a:stretch>
                  </pic:blipFill>
                  <pic:spPr>
                    <a:xfrm>
                      <a:off x="0" y="0"/>
                      <a:ext cx="5268595" cy="1630680"/>
                    </a:xfrm>
                    <a:prstGeom prst="rect">
                      <a:avLst/>
                    </a:prstGeom>
                    <a:noFill/>
                    <a:ln>
                      <a:noFill/>
                    </a:ln>
                  </pic:spPr>
                </pic:pic>
              </a:graphicData>
            </a:graphic>
          </wp:inline>
        </w:drawing>
      </w:r>
    </w:p>
    <w:p w14:paraId="32422A39">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图19.案例研究IV中原视频(a)与遗传算法(GA)生成的最佳摘要(b)的物体检测热力图</w:t>
      </w:r>
    </w:p>
    <w:p w14:paraId="64988998">
      <w:pPr>
        <w:spacing w:line="240" w:lineRule="auto"/>
        <w:ind w:firstLine="420" w:firstLineChars="200"/>
        <w:jc w:val="center"/>
      </w:pPr>
      <w:r>
        <w:drawing>
          <wp:inline distT="0" distB="0" distL="114300" distR="114300">
            <wp:extent cx="5010150" cy="2428875"/>
            <wp:effectExtent l="0" t="0" r="3810" b="9525"/>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37"/>
                    <a:stretch>
                      <a:fillRect/>
                    </a:stretch>
                  </pic:blipFill>
                  <pic:spPr>
                    <a:xfrm>
                      <a:off x="0" y="0"/>
                      <a:ext cx="5010150" cy="2428875"/>
                    </a:xfrm>
                    <a:prstGeom prst="rect">
                      <a:avLst/>
                    </a:prstGeom>
                    <a:noFill/>
                    <a:ln>
                      <a:noFill/>
                    </a:ln>
                  </pic:spPr>
                </pic:pic>
              </a:graphicData>
            </a:graphic>
          </wp:inline>
        </w:drawing>
      </w:r>
    </w:p>
    <w:p w14:paraId="383FB3A8">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图20.CNN-LSTM的损失曲线与准确率曲线</w:t>
      </w:r>
    </w:p>
    <w:p w14:paraId="5619D0C7">
      <w:pPr>
        <w:spacing w:line="240" w:lineRule="auto"/>
        <w:ind w:firstLine="420" w:firstLineChars="200"/>
        <w:jc w:val="center"/>
      </w:pPr>
      <w:r>
        <w:drawing>
          <wp:inline distT="0" distB="0" distL="114300" distR="114300">
            <wp:extent cx="5143500" cy="2324100"/>
            <wp:effectExtent l="0" t="0" r="7620" b="7620"/>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pic:cNvPicPr>
                      <a:picLocks noChangeAspect="1"/>
                    </pic:cNvPicPr>
                  </pic:nvPicPr>
                  <pic:blipFill>
                    <a:blip r:embed="rId38"/>
                    <a:stretch>
                      <a:fillRect/>
                    </a:stretch>
                  </pic:blipFill>
                  <pic:spPr>
                    <a:xfrm>
                      <a:off x="0" y="0"/>
                      <a:ext cx="5143500" cy="2324100"/>
                    </a:xfrm>
                    <a:prstGeom prst="rect">
                      <a:avLst/>
                    </a:prstGeom>
                    <a:noFill/>
                    <a:ln>
                      <a:noFill/>
                    </a:ln>
                  </pic:spPr>
                </pic:pic>
              </a:graphicData>
            </a:graphic>
          </wp:inline>
        </w:drawing>
      </w:r>
    </w:p>
    <w:p w14:paraId="61E5107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图21.PRECNN-LSTM的损失曲线与准确率曲线</w:t>
      </w:r>
    </w:p>
    <w:p w14:paraId="77F99F4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总能耗为3.66瓦时。当仅在边缘端执行Kafka处理和光流分析时，边缘能耗为1.72瓦时，云端处理能耗为1.47瓦时，合计3.24瓦时。若将目标检测任务迁移至云端，边缘能耗降至1.24瓦时，而云端处理能耗升至1.69瓦时，总能耗达2.93瓦时。最后当光流分析与目标检测均在云端执行时，边缘能耗为1.21瓦时，云端处理能耗为1.54瓦时，总能耗为2.75瓦时。所有场景中，Kafka数据传输都会在边缘端产生可量化且持续的能量开销。这些结果凸显了本地计算与云端卸载在功耗方面的权衡关系，为设计符合绿色人工智能原则的节能型摘要系统提供了可操作性参考。</w:t>
      </w:r>
    </w:p>
    <w:p w14:paraId="1BD8A3AD">
      <w:pPr>
        <w:pStyle w:val="2"/>
        <w:bidi w:val="0"/>
        <w:rPr>
          <w:rFonts w:hint="default" w:ascii="Times New Roman" w:hAnsi="Times New Roman" w:eastAsia="宋体" w:cs="Times New Roman"/>
          <w:lang w:val="en-US" w:eastAsia="zh-CN"/>
        </w:rPr>
      </w:pPr>
      <w:r>
        <w:rPr>
          <w:rFonts w:hint="eastAsia" w:cs="Times New Roman"/>
          <w:lang w:val="en-US" w:eastAsia="zh-CN"/>
        </w:rPr>
        <w:t>7</w:t>
      </w:r>
      <w:r>
        <w:rPr>
          <w:rFonts w:hint="default" w:ascii="Times New Roman" w:hAnsi="Times New Roman" w:eastAsia="宋体" w:cs="Times New Roman"/>
          <w:lang w:val="en-US" w:eastAsia="zh-CN"/>
        </w:rPr>
        <w:t>.实验结果讨论</w:t>
      </w:r>
    </w:p>
    <w:p w14:paraId="4891BE22">
      <w:pPr>
        <w:spacing w:line="400" w:lineRule="exact"/>
        <w:ind w:firstLine="480" w:firstLineChars="200"/>
        <w:rPr>
          <w:rFonts w:hint="eastAsia" w:ascii="Times New Roman" w:hAnsi="Times New Roman" w:cs="Times New Roman"/>
          <w:bCs/>
          <w:iCs/>
          <w:sz w:val="24"/>
          <w:lang w:val="en-US" w:eastAsia="zh-CN"/>
        </w:rPr>
      </w:pPr>
      <w:r>
        <w:rPr>
          <w:rFonts w:hint="default" w:ascii="Times New Roman" w:hAnsi="Times New Roman" w:eastAsia="宋体" w:cs="Times New Roman"/>
          <w:bCs/>
          <w:iCs/>
          <w:sz w:val="24"/>
          <w:lang w:val="en-US" w:eastAsia="zh-CN"/>
        </w:rPr>
        <w:t>通过分析案例研究I的结果可以发现，遗传算法在实验7所采用的参数配置下取得了最佳效果（表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）。因此，在其他基于目标检测生成热图的对象中心化摘要应用中，我们同样采用了实验7中确定的遗传算法参数配置方案。查阅表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"bookmark73"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可清晰看出</w:t>
      </w:r>
      <w:r>
        <w:rPr>
          <w:rFonts w:hint="eastAsia" w:ascii="Times New Roman" w:hAnsi="Times New Roman" w:cs="Times New Roman"/>
          <w:bCs/>
          <w:iCs/>
          <w:sz w:val="24"/>
          <w:lang w:val="en-US" w:eastAsia="zh-CN"/>
        </w:rPr>
        <w:t>。</w:t>
      </w:r>
    </w:p>
    <w:p w14:paraId="7D203285">
      <w:pPr>
        <w:spacing w:line="240" w:lineRule="auto"/>
        <w:ind w:firstLine="420" w:firstLineChars="200"/>
      </w:pPr>
      <w:r>
        <w:drawing>
          <wp:inline distT="0" distB="0" distL="114300" distR="114300">
            <wp:extent cx="5133975" cy="2181225"/>
            <wp:effectExtent l="0" t="0" r="1905" b="13335"/>
            <wp:docPr id="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
                    <pic:cNvPicPr>
                      <a:picLocks noChangeAspect="1"/>
                    </pic:cNvPicPr>
                  </pic:nvPicPr>
                  <pic:blipFill>
                    <a:blip r:embed="rId39"/>
                    <a:stretch>
                      <a:fillRect/>
                    </a:stretch>
                  </pic:blipFill>
                  <pic:spPr>
                    <a:xfrm>
                      <a:off x="0" y="0"/>
                      <a:ext cx="5133975" cy="2181225"/>
                    </a:xfrm>
                    <a:prstGeom prst="rect">
                      <a:avLst/>
                    </a:prstGeom>
                    <a:noFill/>
                    <a:ln>
                      <a:noFill/>
                    </a:ln>
                  </pic:spPr>
                </pic:pic>
              </a:graphicData>
            </a:graphic>
          </wp:inline>
        </w:drawing>
      </w:r>
    </w:p>
    <w:p w14:paraId="0F642A3D">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图22.CNN-transformer的损失曲线与准确率曲线</w:t>
      </w:r>
    </w:p>
    <w:p w14:paraId="11175D60">
      <w:pPr>
        <w:spacing w:line="240" w:lineRule="auto"/>
        <w:ind w:firstLine="420" w:firstLineChars="200"/>
        <w:jc w:val="center"/>
      </w:pPr>
      <w:r>
        <w:drawing>
          <wp:inline distT="0" distB="0" distL="114300" distR="114300">
            <wp:extent cx="4667250" cy="2238375"/>
            <wp:effectExtent l="0" t="0" r="11430" b="1905"/>
            <wp:docPr id="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5"/>
                    <pic:cNvPicPr>
                      <a:picLocks noChangeAspect="1"/>
                    </pic:cNvPicPr>
                  </pic:nvPicPr>
                  <pic:blipFill>
                    <a:blip r:embed="rId40"/>
                    <a:stretch>
                      <a:fillRect/>
                    </a:stretch>
                  </pic:blipFill>
                  <pic:spPr>
                    <a:xfrm>
                      <a:off x="0" y="0"/>
                      <a:ext cx="4667250" cy="2238375"/>
                    </a:xfrm>
                    <a:prstGeom prst="rect">
                      <a:avLst/>
                    </a:prstGeom>
                    <a:noFill/>
                    <a:ln>
                      <a:noFill/>
                    </a:ln>
                  </pic:spPr>
                </pic:pic>
              </a:graphicData>
            </a:graphic>
          </wp:inline>
        </w:drawing>
      </w:r>
    </w:p>
    <w:p w14:paraId="6CADC326">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图23.PRECNN变换器的损失曲线与准确率曲线</w:t>
      </w:r>
    </w:p>
    <w:p w14:paraId="008286D2">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表12.神经网络参数的定量信息</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621"/>
        <w:gridCol w:w="1290"/>
        <w:gridCol w:w="1545"/>
        <w:gridCol w:w="1450"/>
        <w:gridCol w:w="1616"/>
      </w:tblGrid>
      <w:tr w14:paraId="0F0657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586"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A3B33D2">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模型</w:t>
            </w:r>
          </w:p>
        </w:tc>
        <w:tc>
          <w:tcPr>
            <w:tcW w:w="125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AC1871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总参数数量</w:t>
            </w:r>
          </w:p>
        </w:tc>
        <w:tc>
          <w:tcPr>
            <w:tcW w:w="155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862C108">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可训练参数数量</w:t>
            </w:r>
          </w:p>
        </w:tc>
        <w:tc>
          <w:tcPr>
            <w:tcW w:w="1476"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5F49C0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总参数大小</w:t>
            </w:r>
          </w:p>
          <w:p w14:paraId="5853CBE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（单位：MB）</w:t>
            </w:r>
          </w:p>
        </w:tc>
        <w:tc>
          <w:tcPr>
            <w:tcW w:w="164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67E40D9">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可训练参数大小</w:t>
            </w:r>
          </w:p>
          <w:p w14:paraId="10EC2C61">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（单位：MB）</w:t>
            </w:r>
          </w:p>
        </w:tc>
      </w:tr>
      <w:tr w14:paraId="626BC4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586"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B07BE6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CNNLSTM</w:t>
            </w:r>
          </w:p>
        </w:tc>
        <w:tc>
          <w:tcPr>
            <w:tcW w:w="125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36E9835">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b/>
              </w:rPr>
              <w:t>207,626,090</w:t>
            </w:r>
          </w:p>
        </w:tc>
        <w:tc>
          <w:tcPr>
            <w:tcW w:w="155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C95FF8C">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b/>
              </w:rPr>
              <w:t>207,626,090</w:t>
            </w:r>
          </w:p>
        </w:tc>
        <w:tc>
          <w:tcPr>
            <w:tcW w:w="1476"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52A7249">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79.20</w:t>
            </w:r>
          </w:p>
        </w:tc>
        <w:tc>
          <w:tcPr>
            <w:tcW w:w="164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99AC89A">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79.20</w:t>
            </w:r>
          </w:p>
        </w:tc>
      </w:tr>
      <w:tr w14:paraId="26C21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58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EACC83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PRECNNLSTM</w:t>
            </w:r>
          </w:p>
        </w:tc>
        <w:tc>
          <w:tcPr>
            <w:tcW w:w="125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CF73DB1">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207,626,090</w:t>
            </w:r>
          </w:p>
        </w:tc>
        <w:tc>
          <w:tcPr>
            <w:tcW w:w="155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0C17E4">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785,306</w:t>
            </w:r>
          </w:p>
        </w:tc>
        <w:tc>
          <w:tcPr>
            <w:tcW w:w="14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72E415">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79.20</w:t>
            </w:r>
          </w:p>
        </w:tc>
        <w:tc>
          <w:tcPr>
            <w:tcW w:w="164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0B754F9">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2.82</w:t>
            </w:r>
          </w:p>
        </w:tc>
      </w:tr>
      <w:tr w14:paraId="467DF8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58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C47E77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CNNTRANSFORMER</w:t>
            </w:r>
          </w:p>
        </w:tc>
        <w:tc>
          <w:tcPr>
            <w:tcW w:w="125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0FC8CF1">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20,928,450</w:t>
            </w:r>
          </w:p>
        </w:tc>
        <w:tc>
          <w:tcPr>
            <w:tcW w:w="155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73C4419">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20,928,450</w:t>
            </w:r>
          </w:p>
        </w:tc>
        <w:tc>
          <w:tcPr>
            <w:tcW w:w="14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F44F53E">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79.84</w:t>
            </w:r>
          </w:p>
        </w:tc>
        <w:tc>
          <w:tcPr>
            <w:tcW w:w="164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D1F39E">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79.84</w:t>
            </w:r>
          </w:p>
        </w:tc>
      </w:tr>
      <w:tr w14:paraId="221BA0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586"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F4D199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PRECNNTRANSFORMER</w:t>
            </w:r>
          </w:p>
        </w:tc>
        <w:tc>
          <w:tcPr>
            <w:tcW w:w="125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E8F327B">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20,928,450</w:t>
            </w:r>
          </w:p>
        </w:tc>
        <w:tc>
          <w:tcPr>
            <w:tcW w:w="155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69310BC">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904,066</w:t>
            </w:r>
          </w:p>
        </w:tc>
        <w:tc>
          <w:tcPr>
            <w:tcW w:w="1476"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8C06197">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79.84</w:t>
            </w:r>
          </w:p>
        </w:tc>
        <w:tc>
          <w:tcPr>
            <w:tcW w:w="164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8D1C719">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3.45</w:t>
            </w:r>
          </w:p>
        </w:tc>
      </w:tr>
    </w:tbl>
    <w:p w14:paraId="1A896750">
      <w:pPr>
        <w:spacing w:line="240" w:lineRule="auto"/>
        <w:ind w:firstLine="420" w:firstLineChars="200"/>
        <w:jc w:val="both"/>
      </w:pPr>
      <w:r>
        <w:drawing>
          <wp:inline distT="0" distB="0" distL="114300" distR="114300">
            <wp:extent cx="5269865" cy="1765935"/>
            <wp:effectExtent l="0" t="0" r="3175" b="1905"/>
            <wp:docPr id="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6"/>
                    <pic:cNvPicPr>
                      <a:picLocks noChangeAspect="1"/>
                    </pic:cNvPicPr>
                  </pic:nvPicPr>
                  <pic:blipFill>
                    <a:blip r:embed="rId41"/>
                    <a:stretch>
                      <a:fillRect/>
                    </a:stretch>
                  </pic:blipFill>
                  <pic:spPr>
                    <a:xfrm>
                      <a:off x="0" y="0"/>
                      <a:ext cx="5269865" cy="1765935"/>
                    </a:xfrm>
                    <a:prstGeom prst="rect">
                      <a:avLst/>
                    </a:prstGeom>
                    <a:noFill/>
                    <a:ln>
                      <a:noFill/>
                    </a:ln>
                  </pic:spPr>
                </pic:pic>
              </a:graphicData>
            </a:graphic>
          </wp:inline>
        </w:drawing>
      </w:r>
    </w:p>
    <w:p w14:paraId="5097831A">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图24.从正常与异常视频批次中提取的帧（a：正常，b：异常）</w:t>
      </w:r>
    </w:p>
    <w:p w14:paraId="3836C045">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热图与其他性能指标在结构相似性上的提升呈现直接正相关关系。这进一步凸显了在热图分析领域应用遗传算法方法的重要性。案例研究II中可见，基于光流的以对象为中心的摘要处理流程已实施，且采用实验4中参数</w:t>
      </w:r>
    </w:p>
    <w:p w14:paraId="75A17B1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配置的遗传算法方案效果最佳（见表5）。通过分析表6所示的性能指标可以发现，基于光流的以对象为中心的摘要方法展现出显著优势。</w:t>
      </w:r>
    </w:p>
    <w:p w14:paraId="62B78F53">
      <w:pPr>
        <w:spacing w:line="240" w:lineRule="auto"/>
        <w:ind w:firstLine="420" w:firstLineChars="200"/>
      </w:pPr>
      <w:r>
        <w:drawing>
          <wp:inline distT="0" distB="0" distL="114300" distR="114300">
            <wp:extent cx="5274310" cy="1808480"/>
            <wp:effectExtent l="0" t="0" r="13970" b="5080"/>
            <wp:docPr id="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7"/>
                    <pic:cNvPicPr>
                      <a:picLocks noChangeAspect="1"/>
                    </pic:cNvPicPr>
                  </pic:nvPicPr>
                  <pic:blipFill>
                    <a:blip r:embed="rId42"/>
                    <a:stretch>
                      <a:fillRect/>
                    </a:stretch>
                  </pic:blipFill>
                  <pic:spPr>
                    <a:xfrm>
                      <a:off x="0" y="0"/>
                      <a:ext cx="5274310" cy="1808480"/>
                    </a:xfrm>
                    <a:prstGeom prst="rect">
                      <a:avLst/>
                    </a:prstGeom>
                    <a:noFill/>
                    <a:ln>
                      <a:noFill/>
                    </a:ln>
                  </pic:spPr>
                </pic:pic>
              </a:graphicData>
            </a:graphic>
          </wp:inline>
        </w:drawing>
      </w:r>
    </w:p>
    <w:p w14:paraId="074E7E2B">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图25.通过CNN-transformer(a)和PRECNN-transformer(b)检测到的关键帧</w:t>
      </w:r>
    </w:p>
    <w:p w14:paraId="70C10C6D">
      <w:pPr>
        <w:spacing w:line="400" w:lineRule="exact"/>
        <w:ind w:firstLine="360" w:firstLineChars="200"/>
        <w:jc w:val="center"/>
        <w:rPr>
          <w:rFonts w:hint="default" w:ascii="Times New Roman" w:hAnsi="Times New Roman" w:eastAsia="宋体" w:cs="Times New Roman"/>
          <w:bCs/>
          <w:iCs/>
          <w:sz w:val="18"/>
          <w:szCs w:val="18"/>
          <w:lang w:val="en-US" w:eastAsia="zh-CN"/>
        </w:rPr>
      </w:pPr>
    </w:p>
    <w:p w14:paraId="74297B19">
      <w:pPr>
        <w:spacing w:line="240" w:lineRule="auto"/>
        <w:ind w:firstLine="420" w:firstLineChars="200"/>
        <w:jc w:val="center"/>
      </w:pPr>
      <w:r>
        <w:drawing>
          <wp:inline distT="0" distB="0" distL="114300" distR="114300">
            <wp:extent cx="5273040" cy="1917700"/>
            <wp:effectExtent l="0" t="0" r="0" b="2540"/>
            <wp:docPr id="5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8"/>
                    <pic:cNvPicPr>
                      <a:picLocks noChangeAspect="1"/>
                    </pic:cNvPicPr>
                  </pic:nvPicPr>
                  <pic:blipFill>
                    <a:blip r:embed="rId43"/>
                    <a:stretch>
                      <a:fillRect/>
                    </a:stretch>
                  </pic:blipFill>
                  <pic:spPr>
                    <a:xfrm>
                      <a:off x="0" y="0"/>
                      <a:ext cx="5273040" cy="1917700"/>
                    </a:xfrm>
                    <a:prstGeom prst="rect">
                      <a:avLst/>
                    </a:prstGeom>
                    <a:noFill/>
                    <a:ln>
                      <a:noFill/>
                    </a:ln>
                  </pic:spPr>
                </pic:pic>
              </a:graphicData>
            </a:graphic>
          </wp:inline>
        </w:drawing>
      </w:r>
    </w:p>
    <w:p w14:paraId="4FEED65D">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图26.帧流进度图</w:t>
      </w:r>
    </w:p>
    <w:p w14:paraId="5D46D52F">
      <w:pPr>
        <w:spacing w:line="240" w:lineRule="auto"/>
        <w:ind w:firstLine="420" w:firstLineChars="200"/>
        <w:jc w:val="center"/>
      </w:pPr>
      <w:r>
        <w:drawing>
          <wp:inline distT="0" distB="0" distL="114300" distR="114300">
            <wp:extent cx="5271135" cy="1396365"/>
            <wp:effectExtent l="0" t="0" r="1905" b="5715"/>
            <wp:docPr id="5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pic:cNvPicPr>
                      <a:picLocks noChangeAspect="1"/>
                    </pic:cNvPicPr>
                  </pic:nvPicPr>
                  <pic:blipFill>
                    <a:blip r:embed="rId44"/>
                    <a:stretch>
                      <a:fillRect/>
                    </a:stretch>
                  </pic:blipFill>
                  <pic:spPr>
                    <a:xfrm>
                      <a:off x="0" y="0"/>
                      <a:ext cx="5271135" cy="1396365"/>
                    </a:xfrm>
                    <a:prstGeom prst="rect">
                      <a:avLst/>
                    </a:prstGeom>
                    <a:noFill/>
                    <a:ln>
                      <a:noFill/>
                    </a:ln>
                  </pic:spPr>
                </pic:pic>
              </a:graphicData>
            </a:graphic>
          </wp:inline>
        </w:drawing>
      </w:r>
    </w:p>
    <w:p w14:paraId="16AFEAD2">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图27.案例研究VI中原视频(a)与遗传算法(GA)生成最佳摘要(b)的物体检测热力图</w:t>
      </w:r>
    </w:p>
    <w:p w14:paraId="0EA1208D">
      <w:pPr>
        <w:spacing w:line="240" w:lineRule="auto"/>
        <w:ind w:firstLine="420" w:firstLineChars="200"/>
        <w:jc w:val="center"/>
      </w:pPr>
      <w:r>
        <w:drawing>
          <wp:inline distT="0" distB="0" distL="114300" distR="114300">
            <wp:extent cx="5267960" cy="1702435"/>
            <wp:effectExtent l="0" t="0" r="5080" b="4445"/>
            <wp:docPr id="5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pic:cNvPicPr>
                      <a:picLocks noChangeAspect="1"/>
                    </pic:cNvPicPr>
                  </pic:nvPicPr>
                  <pic:blipFill>
                    <a:blip r:embed="rId45"/>
                    <a:stretch>
                      <a:fillRect/>
                    </a:stretch>
                  </pic:blipFill>
                  <pic:spPr>
                    <a:xfrm>
                      <a:off x="0" y="0"/>
                      <a:ext cx="5267960" cy="1702435"/>
                    </a:xfrm>
                    <a:prstGeom prst="rect">
                      <a:avLst/>
                    </a:prstGeom>
                    <a:noFill/>
                    <a:ln>
                      <a:noFill/>
                    </a:ln>
                  </pic:spPr>
                </pic:pic>
              </a:graphicData>
            </a:graphic>
          </wp:inline>
        </w:drawing>
      </w:r>
    </w:p>
    <w:p w14:paraId="48A4B46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图28.案例研究VII中的帧流进度</w:t>
      </w:r>
    </w:p>
    <w:p w14:paraId="5D102963">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该方法比基于目标检测的方法取得了更高的性能结果。通过分析案例研究III和IV的结果可见，以目标为中心的摘要方法在保持信息完整性方面表现出极高的性能。</w:t>
      </w:r>
    </w:p>
    <w:p w14:paraId="1033D61F">
      <w:pPr>
        <w:spacing w:line="240" w:lineRule="auto"/>
        <w:ind w:firstLine="420" w:firstLineChars="200"/>
      </w:pPr>
      <w:r>
        <w:drawing>
          <wp:inline distT="0" distB="0" distL="114300" distR="114300">
            <wp:extent cx="5271770" cy="1504950"/>
            <wp:effectExtent l="0" t="0" r="1270" b="3810"/>
            <wp:docPr id="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
                    <pic:cNvPicPr>
                      <a:picLocks noChangeAspect="1"/>
                    </pic:cNvPicPr>
                  </pic:nvPicPr>
                  <pic:blipFill>
                    <a:blip r:embed="rId46"/>
                    <a:stretch>
                      <a:fillRect/>
                    </a:stretch>
                  </pic:blipFill>
                  <pic:spPr>
                    <a:xfrm>
                      <a:off x="0" y="0"/>
                      <a:ext cx="5271770" cy="1504950"/>
                    </a:xfrm>
                    <a:prstGeom prst="rect">
                      <a:avLst/>
                    </a:prstGeom>
                    <a:noFill/>
                    <a:ln>
                      <a:noFill/>
                    </a:ln>
                  </pic:spPr>
                </pic:pic>
              </a:graphicData>
            </a:graphic>
          </wp:inline>
        </w:drawing>
      </w:r>
    </w:p>
    <w:p w14:paraId="2A4643B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图29.案例研究VII中原视频(a)与遗传算法(GA)生成的最佳摘要(b)的光流热力图</w:t>
      </w:r>
    </w:p>
    <w:p w14:paraId="60DF4DA9">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表13.模型的SACC、SLOSS、EVSE及VSE结果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418"/>
        <w:gridCol w:w="1753"/>
        <w:gridCol w:w="1917"/>
        <w:gridCol w:w="1753"/>
        <w:gridCol w:w="1681"/>
      </w:tblGrid>
      <w:tr w14:paraId="42EAD4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1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FCD7104">
            <w:pPr>
              <w:snapToGrid w:val="0"/>
              <w:jc w:val="center"/>
              <w:rPr>
                <w:rFonts w:hint="default" w:ascii="Times New Roman" w:hAnsi="Times New Roman" w:cs="Times New Roman"/>
                <w:b/>
                <w:bCs/>
              </w:rPr>
            </w:pPr>
            <w:r>
              <w:rPr>
                <w:rFonts w:hint="default" w:ascii="Times New Roman" w:hAnsi="Times New Roman" w:cs="Times New Roman"/>
                <w:b/>
                <w:bCs/>
              </w:rPr>
              <w:t>模型</w:t>
            </w:r>
          </w:p>
        </w:tc>
        <w:tc>
          <w:tcPr>
            <w:tcW w:w="175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169C474">
            <w:pPr>
              <w:snapToGrid w:val="0"/>
              <w:jc w:val="center"/>
              <w:rPr>
                <w:rFonts w:hint="default" w:ascii="Times New Roman" w:hAnsi="Times New Roman" w:cs="Times New Roman"/>
                <w:b/>
                <w:bCs/>
              </w:rPr>
            </w:pPr>
            <w:r>
              <w:rPr>
                <w:rFonts w:hint="default" w:ascii="Times New Roman" w:hAnsi="Times New Roman" w:cs="Times New Roman"/>
                <w:b/>
                <w:bCs/>
              </w:rPr>
              <w:t>SACC</w:t>
            </w:r>
          </w:p>
        </w:tc>
        <w:tc>
          <w:tcPr>
            <w:tcW w:w="191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2D6CACA">
            <w:pPr>
              <w:snapToGrid w:val="0"/>
              <w:jc w:val="center"/>
              <w:rPr>
                <w:rFonts w:hint="default" w:ascii="Times New Roman" w:hAnsi="Times New Roman" w:cs="Times New Roman"/>
                <w:b/>
                <w:bCs/>
              </w:rPr>
            </w:pPr>
            <w:r>
              <w:rPr>
                <w:rFonts w:hint="default" w:ascii="Times New Roman" w:hAnsi="Times New Roman" w:cs="Times New Roman"/>
                <w:b/>
                <w:bCs/>
              </w:rPr>
              <w:t>SLOSS</w:t>
            </w:r>
          </w:p>
        </w:tc>
        <w:tc>
          <w:tcPr>
            <w:tcW w:w="175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E078F41">
            <w:pPr>
              <w:snapToGrid w:val="0"/>
              <w:jc w:val="center"/>
              <w:rPr>
                <w:rFonts w:hint="default" w:ascii="Times New Roman" w:hAnsi="Times New Roman" w:cs="Times New Roman"/>
                <w:b/>
                <w:bCs/>
              </w:rPr>
            </w:pPr>
            <w:r>
              <w:rPr>
                <w:rFonts w:hint="default" w:ascii="Times New Roman" w:hAnsi="Times New Roman" w:cs="Times New Roman"/>
                <w:b/>
                <w:bCs/>
              </w:rPr>
              <w:t>EVSE</w:t>
            </w:r>
          </w:p>
        </w:tc>
        <w:tc>
          <w:tcPr>
            <w:tcW w:w="168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6C58A44">
            <w:pPr>
              <w:snapToGrid w:val="0"/>
              <w:jc w:val="center"/>
              <w:rPr>
                <w:rFonts w:hint="default" w:ascii="Times New Roman" w:hAnsi="Times New Roman" w:cs="Times New Roman"/>
                <w:b/>
                <w:bCs/>
              </w:rPr>
            </w:pPr>
            <w:r>
              <w:rPr>
                <w:rFonts w:hint="default" w:ascii="Times New Roman" w:hAnsi="Times New Roman" w:cs="Times New Roman"/>
                <w:b/>
                <w:bCs/>
              </w:rPr>
              <w:t>VSE</w:t>
            </w:r>
          </w:p>
        </w:tc>
      </w:tr>
      <w:tr w14:paraId="4456EA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1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A0B5D28">
            <w:pPr>
              <w:snapToGrid w:val="0"/>
              <w:jc w:val="center"/>
              <w:rPr>
                <w:rFonts w:hint="default" w:ascii="Times New Roman" w:hAnsi="Times New Roman" w:cs="Times New Roman"/>
              </w:rPr>
            </w:pPr>
            <w:r>
              <w:rPr>
                <w:rFonts w:hint="default" w:ascii="Times New Roman" w:hAnsi="Times New Roman" w:cs="Times New Roman"/>
              </w:rPr>
              <w:t>I</w:t>
            </w:r>
          </w:p>
        </w:tc>
        <w:tc>
          <w:tcPr>
            <w:tcW w:w="175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D80F0F9">
            <w:pPr>
              <w:snapToGrid w:val="0"/>
              <w:jc w:val="right"/>
              <w:rPr>
                <w:rFonts w:hint="default" w:ascii="Times New Roman" w:hAnsi="Times New Roman" w:cs="Times New Roman"/>
              </w:rPr>
            </w:pPr>
            <w:r>
              <w:rPr>
                <w:rFonts w:hint="default" w:ascii="Times New Roman" w:hAnsi="Times New Roman" w:cs="Times New Roman"/>
              </w:rPr>
              <w:t>0.7763</w:t>
            </w:r>
          </w:p>
        </w:tc>
        <w:tc>
          <w:tcPr>
            <w:tcW w:w="1917"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4D05C8A">
            <w:pPr>
              <w:snapToGrid w:val="0"/>
              <w:jc w:val="right"/>
              <w:rPr>
                <w:rFonts w:hint="default" w:ascii="Times New Roman" w:hAnsi="Times New Roman" w:cs="Times New Roman"/>
              </w:rPr>
            </w:pPr>
            <w:r>
              <w:rPr>
                <w:rFonts w:hint="default" w:ascii="Times New Roman" w:hAnsi="Times New Roman" w:cs="Times New Roman"/>
              </w:rPr>
              <w:t>0.6542</w:t>
            </w:r>
          </w:p>
        </w:tc>
        <w:tc>
          <w:tcPr>
            <w:tcW w:w="175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E200969">
            <w:pPr>
              <w:snapToGrid w:val="0"/>
              <w:jc w:val="right"/>
              <w:rPr>
                <w:rFonts w:hint="default" w:ascii="Times New Roman" w:hAnsi="Times New Roman" w:cs="Times New Roman"/>
              </w:rPr>
            </w:pPr>
            <w:r>
              <w:rPr>
                <w:rFonts w:hint="default" w:ascii="Times New Roman" w:hAnsi="Times New Roman" w:cs="Times New Roman"/>
              </w:rPr>
              <w:t>0.7234</w:t>
            </w:r>
          </w:p>
        </w:tc>
        <w:tc>
          <w:tcPr>
            <w:tcW w:w="168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D31274F">
            <w:pPr>
              <w:snapToGrid w:val="0"/>
              <w:jc w:val="right"/>
              <w:rPr>
                <w:rFonts w:hint="default" w:ascii="Times New Roman" w:hAnsi="Times New Roman" w:cs="Times New Roman"/>
              </w:rPr>
            </w:pPr>
            <w:r>
              <w:rPr>
                <w:rFonts w:hint="default" w:ascii="Times New Roman" w:hAnsi="Times New Roman" w:cs="Times New Roman"/>
              </w:rPr>
              <w:t>71.2%</w:t>
            </w:r>
          </w:p>
        </w:tc>
      </w:tr>
      <w:tr w14:paraId="56357A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012DAAE">
            <w:pPr>
              <w:snapToGrid w:val="0"/>
              <w:jc w:val="center"/>
              <w:rPr>
                <w:rFonts w:hint="default" w:ascii="Times New Roman" w:hAnsi="Times New Roman" w:cs="Times New Roman"/>
              </w:rPr>
            </w:pPr>
            <w:r>
              <w:rPr>
                <w:rFonts w:hint="default" w:ascii="Times New Roman" w:hAnsi="Times New Roman" w:cs="Times New Roman"/>
              </w:rPr>
              <w:t>II</w:t>
            </w:r>
          </w:p>
        </w:tc>
        <w:tc>
          <w:tcPr>
            <w:tcW w:w="175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040A5E">
            <w:pPr>
              <w:snapToGrid w:val="0"/>
              <w:jc w:val="right"/>
              <w:rPr>
                <w:rFonts w:hint="default" w:ascii="Times New Roman" w:hAnsi="Times New Roman" w:cs="Times New Roman"/>
              </w:rPr>
            </w:pPr>
            <w:r>
              <w:rPr>
                <w:rFonts w:hint="default" w:ascii="Times New Roman" w:hAnsi="Times New Roman" w:cs="Times New Roman"/>
              </w:rPr>
              <w:t>0.8112</w:t>
            </w:r>
          </w:p>
        </w:tc>
        <w:tc>
          <w:tcPr>
            <w:tcW w:w="191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4FAD6F">
            <w:pPr>
              <w:snapToGrid w:val="0"/>
              <w:jc w:val="right"/>
              <w:rPr>
                <w:rFonts w:hint="default" w:ascii="Times New Roman" w:hAnsi="Times New Roman" w:cs="Times New Roman"/>
              </w:rPr>
            </w:pPr>
            <w:r>
              <w:rPr>
                <w:rFonts w:hint="default" w:ascii="Times New Roman" w:hAnsi="Times New Roman" w:cs="Times New Roman"/>
              </w:rPr>
              <w:t>0.5446</w:t>
            </w:r>
          </w:p>
        </w:tc>
        <w:tc>
          <w:tcPr>
            <w:tcW w:w="175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5C77365">
            <w:pPr>
              <w:snapToGrid w:val="0"/>
              <w:jc w:val="right"/>
              <w:rPr>
                <w:rFonts w:hint="default" w:ascii="Times New Roman" w:hAnsi="Times New Roman" w:cs="Times New Roman"/>
              </w:rPr>
            </w:pPr>
            <w:r>
              <w:rPr>
                <w:rFonts w:hint="default" w:ascii="Times New Roman" w:hAnsi="Times New Roman" w:cs="Times New Roman"/>
              </w:rPr>
              <w:t>0.7714</w:t>
            </w:r>
          </w:p>
        </w:tc>
        <w:tc>
          <w:tcPr>
            <w:tcW w:w="168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C995F5">
            <w:pPr>
              <w:snapToGrid w:val="0"/>
              <w:jc w:val="right"/>
              <w:rPr>
                <w:rFonts w:hint="default" w:ascii="Times New Roman" w:hAnsi="Times New Roman" w:cs="Times New Roman"/>
              </w:rPr>
            </w:pPr>
            <w:r>
              <w:rPr>
                <w:rFonts w:hint="default" w:ascii="Times New Roman" w:hAnsi="Times New Roman" w:cs="Times New Roman"/>
              </w:rPr>
              <w:t>74.6%</w:t>
            </w:r>
          </w:p>
        </w:tc>
      </w:tr>
      <w:tr w14:paraId="33650B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1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9AEECFF">
            <w:pPr>
              <w:snapToGrid w:val="0"/>
              <w:jc w:val="center"/>
              <w:rPr>
                <w:rFonts w:hint="default" w:ascii="Times New Roman" w:hAnsi="Times New Roman" w:cs="Times New Roman"/>
              </w:rPr>
            </w:pPr>
            <w:r>
              <w:rPr>
                <w:rFonts w:hint="default" w:ascii="Times New Roman" w:hAnsi="Times New Roman" w:cs="Times New Roman"/>
              </w:rPr>
              <w:t>III</w:t>
            </w:r>
          </w:p>
        </w:tc>
        <w:tc>
          <w:tcPr>
            <w:tcW w:w="175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D7FCEE">
            <w:pPr>
              <w:snapToGrid w:val="0"/>
              <w:jc w:val="right"/>
              <w:rPr>
                <w:rFonts w:hint="default" w:ascii="Times New Roman" w:hAnsi="Times New Roman" w:cs="Times New Roman"/>
              </w:rPr>
            </w:pPr>
            <w:r>
              <w:rPr>
                <w:rFonts w:hint="default" w:ascii="Times New Roman" w:hAnsi="Times New Roman" w:cs="Times New Roman"/>
              </w:rPr>
              <w:t>0.9899</w:t>
            </w:r>
          </w:p>
        </w:tc>
        <w:tc>
          <w:tcPr>
            <w:tcW w:w="1917"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9C24D0E">
            <w:pPr>
              <w:snapToGrid w:val="0"/>
              <w:jc w:val="right"/>
              <w:rPr>
                <w:rFonts w:hint="default" w:ascii="Times New Roman" w:hAnsi="Times New Roman" w:cs="Times New Roman"/>
              </w:rPr>
            </w:pPr>
            <w:r>
              <w:rPr>
                <w:rFonts w:hint="default" w:ascii="Times New Roman" w:hAnsi="Times New Roman" w:cs="Times New Roman"/>
              </w:rPr>
              <w:t>0.0033</w:t>
            </w:r>
          </w:p>
        </w:tc>
        <w:tc>
          <w:tcPr>
            <w:tcW w:w="175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B298CD1">
            <w:pPr>
              <w:snapToGrid w:val="0"/>
              <w:jc w:val="right"/>
              <w:rPr>
                <w:rFonts w:hint="default" w:ascii="Times New Roman" w:hAnsi="Times New Roman" w:cs="Times New Roman"/>
              </w:rPr>
            </w:pPr>
            <w:r>
              <w:rPr>
                <w:rFonts w:hint="default" w:ascii="Times New Roman" w:hAnsi="Times New Roman" w:cs="Times New Roman"/>
              </w:rPr>
              <w:t>1.0000</w:t>
            </w:r>
          </w:p>
        </w:tc>
        <w:tc>
          <w:tcPr>
            <w:tcW w:w="168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85A7E7">
            <w:pPr>
              <w:snapToGrid w:val="0"/>
              <w:jc w:val="right"/>
              <w:rPr>
                <w:rFonts w:hint="default" w:ascii="Times New Roman" w:hAnsi="Times New Roman" w:cs="Times New Roman"/>
              </w:rPr>
            </w:pPr>
            <w:r>
              <w:rPr>
                <w:rFonts w:hint="default" w:ascii="Times New Roman" w:hAnsi="Times New Roman" w:cs="Times New Roman"/>
              </w:rPr>
              <w:t>80.0%</w:t>
            </w:r>
          </w:p>
        </w:tc>
      </w:tr>
      <w:tr w14:paraId="0ACE6E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41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E2F776F">
            <w:pPr>
              <w:snapToGrid w:val="0"/>
              <w:jc w:val="center"/>
              <w:rPr>
                <w:rFonts w:hint="default" w:ascii="Times New Roman" w:hAnsi="Times New Roman" w:cs="Times New Roman"/>
              </w:rPr>
            </w:pPr>
            <w:r>
              <w:rPr>
                <w:rFonts w:hint="default" w:ascii="Times New Roman" w:hAnsi="Times New Roman" w:cs="Times New Roman"/>
              </w:rPr>
              <w:t>IV</w:t>
            </w:r>
          </w:p>
        </w:tc>
        <w:tc>
          <w:tcPr>
            <w:tcW w:w="175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28E52A4">
            <w:pPr>
              <w:snapToGrid w:val="0"/>
              <w:jc w:val="right"/>
              <w:rPr>
                <w:rFonts w:hint="default" w:ascii="Times New Roman" w:hAnsi="Times New Roman" w:cs="Times New Roman"/>
              </w:rPr>
            </w:pPr>
            <w:r>
              <w:rPr>
                <w:rFonts w:hint="default" w:ascii="Times New Roman" w:hAnsi="Times New Roman" w:cs="Times New Roman"/>
              </w:rPr>
              <w:t>0.9375</w:t>
            </w:r>
          </w:p>
        </w:tc>
        <w:tc>
          <w:tcPr>
            <w:tcW w:w="1917"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C5390DD">
            <w:pPr>
              <w:snapToGrid w:val="0"/>
              <w:jc w:val="right"/>
              <w:rPr>
                <w:rFonts w:hint="default" w:ascii="Times New Roman" w:hAnsi="Times New Roman" w:cs="Times New Roman"/>
              </w:rPr>
            </w:pPr>
            <w:r>
              <w:rPr>
                <w:rFonts w:hint="default" w:ascii="Times New Roman" w:hAnsi="Times New Roman" w:cs="Times New Roman"/>
              </w:rPr>
              <w:t>0.0500</w:t>
            </w:r>
          </w:p>
        </w:tc>
        <w:tc>
          <w:tcPr>
            <w:tcW w:w="175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D3E70EC">
            <w:pPr>
              <w:snapToGrid w:val="0"/>
              <w:jc w:val="right"/>
              <w:rPr>
                <w:rFonts w:hint="default" w:ascii="Times New Roman" w:hAnsi="Times New Roman" w:cs="Times New Roman"/>
              </w:rPr>
            </w:pPr>
            <w:r>
              <w:rPr>
                <w:rFonts w:hint="default" w:ascii="Times New Roman" w:hAnsi="Times New Roman" w:cs="Times New Roman"/>
              </w:rPr>
              <w:t>0.9250</w:t>
            </w:r>
          </w:p>
        </w:tc>
        <w:tc>
          <w:tcPr>
            <w:tcW w:w="168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C2C135F">
            <w:pPr>
              <w:snapToGrid w:val="0"/>
              <w:jc w:val="right"/>
              <w:rPr>
                <w:rFonts w:hint="default" w:ascii="Times New Roman" w:hAnsi="Times New Roman" w:cs="Times New Roman"/>
              </w:rPr>
            </w:pPr>
            <w:r>
              <w:rPr>
                <w:rFonts w:hint="default" w:ascii="Times New Roman" w:hAnsi="Times New Roman" w:cs="Times New Roman"/>
              </w:rPr>
              <w:t>70.4%</w:t>
            </w:r>
          </w:p>
        </w:tc>
      </w:tr>
    </w:tbl>
    <w:p w14:paraId="4028E0FA">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表14.案例研究VI的集成系统性能</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976"/>
        <w:gridCol w:w="1760"/>
        <w:gridCol w:w="1714"/>
        <w:gridCol w:w="1541"/>
        <w:gridCol w:w="1531"/>
      </w:tblGrid>
      <w:tr w14:paraId="25637C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976"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871AA18">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时间段</w:t>
            </w:r>
          </w:p>
        </w:tc>
        <w:tc>
          <w:tcPr>
            <w:tcW w:w="176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6B55B2C">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OCSPE</w:t>
            </w:r>
          </w:p>
        </w:tc>
        <w:tc>
          <w:tcPr>
            <w:tcW w:w="171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4980FAD">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ECSPE</w:t>
            </w:r>
          </w:p>
        </w:tc>
        <w:tc>
          <w:tcPr>
            <w:tcW w:w="154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1B9D229">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ISSPE</w:t>
            </w:r>
          </w:p>
        </w:tc>
        <w:tc>
          <w:tcPr>
            <w:tcW w:w="153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1BEB80B">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EPE</w:t>
            </w:r>
          </w:p>
        </w:tc>
      </w:tr>
      <w:tr w14:paraId="2524C8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C7710D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0–60s</w:t>
            </w:r>
          </w:p>
        </w:tc>
        <w:tc>
          <w:tcPr>
            <w:tcW w:w="1760"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33C737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714"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554A20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97.2%</w:t>
            </w:r>
          </w:p>
        </w:tc>
        <w:tc>
          <w:tcPr>
            <w:tcW w:w="154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182010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98.1%</w:t>
            </w:r>
          </w:p>
        </w:tc>
        <w:tc>
          <w:tcPr>
            <w:tcW w:w="153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67C077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97.4%</w:t>
            </w:r>
          </w:p>
        </w:tc>
      </w:tr>
      <w:tr w14:paraId="15B5E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23B57E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60–120s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B6272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8CD6F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97.1%</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6F46B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98.3%</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5EB8B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97.3%</w:t>
            </w:r>
          </w:p>
        </w:tc>
      </w:tr>
      <w:tr w14:paraId="7CA75D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4DED1D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120–180s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61A82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99.5%</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B3FA33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97.8%</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2E9D69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BCE407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97.9%</w:t>
            </w:r>
          </w:p>
        </w:tc>
      </w:tr>
      <w:tr w14:paraId="125B86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B4E917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180–240s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0075A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6B74A59">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97.2%</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CBBCF3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98.3%</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67C625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97.9%</w:t>
            </w:r>
          </w:p>
        </w:tc>
      </w:tr>
      <w:tr w14:paraId="306C4C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C8BB3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240–300s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44C3FA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5F53F3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97.5%</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F47212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98.5%</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F04942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97.9%</w:t>
            </w:r>
          </w:p>
        </w:tc>
      </w:tr>
      <w:tr w14:paraId="657F15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1B134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300–360s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B47665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4F5F33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97.5%</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6C9696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98.5%</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F602BB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98.1%</w:t>
            </w:r>
          </w:p>
        </w:tc>
      </w:tr>
      <w:tr w14:paraId="201E3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BC7E85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360–420s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82564B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A6C68F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97.8%</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C188E6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8285A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98.1%</w:t>
            </w:r>
          </w:p>
        </w:tc>
      </w:tr>
      <w:tr w14:paraId="5744F1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36E7DA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420–480s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31746A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99.4%</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C1EAF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97.8%</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B911BD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C22DF5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98.4%</w:t>
            </w:r>
          </w:p>
        </w:tc>
      </w:tr>
      <w:tr w14:paraId="091E12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58EE96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480–540s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3A732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99.7%</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B4F3E4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98.0%</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D824B1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0E974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r>
      <w:tr w14:paraId="6FDBC6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1E27CF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540–600s</w:t>
            </w:r>
          </w:p>
        </w:tc>
        <w:tc>
          <w:tcPr>
            <w:tcW w:w="176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0D1F662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99.7%</w:t>
            </w:r>
          </w:p>
        </w:tc>
        <w:tc>
          <w:tcPr>
            <w:tcW w:w="1714"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73591A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98.0%</w:t>
            </w:r>
          </w:p>
        </w:tc>
        <w:tc>
          <w:tcPr>
            <w:tcW w:w="154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02A445A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53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315477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98.4%</w:t>
            </w:r>
          </w:p>
        </w:tc>
      </w:tr>
    </w:tbl>
    <w:p w14:paraId="785226A0">
      <w:pPr>
        <w:spacing w:line="400" w:lineRule="exact"/>
        <w:ind w:firstLine="480" w:firstLineChars="200"/>
        <w:rPr>
          <w:rFonts w:hint="default" w:ascii="Times New Roman" w:hAnsi="Times New Roman" w:eastAsia="宋体" w:cs="Times New Roman"/>
          <w:bCs/>
          <w:iCs/>
          <w:sz w:val="24"/>
          <w:lang w:val="en-US" w:eastAsia="zh-CN"/>
        </w:rPr>
      </w:pPr>
    </w:p>
    <w:p w14:paraId="2A205792">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表15.研究案例VI的GCSP值、SAS值及OVSE值</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638"/>
        <w:gridCol w:w="1990"/>
        <w:gridCol w:w="1990"/>
        <w:gridCol w:w="1904"/>
      </w:tblGrid>
      <w:tr w14:paraId="1AEEA3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63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E63C9ED">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实验编号</w:t>
            </w:r>
          </w:p>
        </w:tc>
        <w:tc>
          <w:tcPr>
            <w:tcW w:w="199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F08011C">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GCSP</w:t>
            </w:r>
          </w:p>
        </w:tc>
        <w:tc>
          <w:tcPr>
            <w:tcW w:w="199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5CD1D3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SAS</w:t>
            </w:r>
          </w:p>
        </w:tc>
        <w:tc>
          <w:tcPr>
            <w:tcW w:w="190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85DF021">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VSE</w:t>
            </w:r>
          </w:p>
        </w:tc>
      </w:tr>
      <w:tr w14:paraId="5A0B3F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638"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8726729">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w:t>
            </w:r>
          </w:p>
        </w:tc>
        <w:tc>
          <w:tcPr>
            <w:tcW w:w="199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F64F99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0.8442</w:t>
            </w:r>
          </w:p>
        </w:tc>
        <w:tc>
          <w:tcPr>
            <w:tcW w:w="199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6C39ACA">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b/>
              </w:rPr>
              <w:t>0.9380</w:t>
            </w:r>
          </w:p>
        </w:tc>
        <w:tc>
          <w:tcPr>
            <w:tcW w:w="1904"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BC19481">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93.3%</w:t>
            </w:r>
          </w:p>
        </w:tc>
      </w:tr>
    </w:tbl>
    <w:p w14:paraId="0C7EFE9E">
      <w:pPr>
        <w:spacing w:line="400" w:lineRule="exact"/>
        <w:ind w:firstLine="360" w:firstLineChars="200"/>
        <w:jc w:val="center"/>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18"/>
          <w:szCs w:val="18"/>
          <w:lang w:val="en-US" w:eastAsia="zh-CN"/>
        </w:rPr>
        <w:t>表16.研究案例VII的SACC、SLOSS及EVSE值</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991"/>
        <w:gridCol w:w="1363"/>
        <w:gridCol w:w="1490"/>
        <w:gridCol w:w="1315"/>
        <w:gridCol w:w="1363"/>
      </w:tblGrid>
      <w:tr w14:paraId="55E094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992"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B67368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模型</w:t>
            </w:r>
          </w:p>
        </w:tc>
        <w:tc>
          <w:tcPr>
            <w:tcW w:w="13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732A3A1">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SACC</w:t>
            </w:r>
          </w:p>
        </w:tc>
        <w:tc>
          <w:tcPr>
            <w:tcW w:w="149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17D4DCE3">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SLOSS</w:t>
            </w:r>
          </w:p>
        </w:tc>
        <w:tc>
          <w:tcPr>
            <w:tcW w:w="131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1A702B7">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EVSE</w:t>
            </w:r>
          </w:p>
        </w:tc>
        <w:tc>
          <w:tcPr>
            <w:tcW w:w="13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62F1C3D">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VSE</w:t>
            </w:r>
          </w:p>
        </w:tc>
      </w:tr>
      <w:tr w14:paraId="7CCE38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992"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9A29FD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CNN</w:t>
            </w:r>
          </w:p>
        </w:tc>
        <w:tc>
          <w:tcPr>
            <w:tcW w:w="13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DCD8874">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b/>
              </w:rPr>
              <w:t>0.8571</w:t>
            </w:r>
          </w:p>
        </w:tc>
        <w:tc>
          <w:tcPr>
            <w:tcW w:w="1490"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BB953CB">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0.0050</w:t>
            </w:r>
          </w:p>
        </w:tc>
        <w:tc>
          <w:tcPr>
            <w:tcW w:w="131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AF66556">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75.0%</w:t>
            </w:r>
          </w:p>
        </w:tc>
        <w:tc>
          <w:tcPr>
            <w:tcW w:w="13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4589DAD">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b/>
              </w:rPr>
              <w:t>98.5%</w:t>
            </w:r>
          </w:p>
        </w:tc>
      </w:tr>
      <w:tr w14:paraId="4E994E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992"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7F249A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TRANSFORMER</w:t>
            </w:r>
          </w:p>
        </w:tc>
        <w:tc>
          <w:tcPr>
            <w:tcW w:w="136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1B52493">
            <w:pPr>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w:t>
            </w:r>
          </w:p>
        </w:tc>
        <w:tc>
          <w:tcPr>
            <w:tcW w:w="149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9D26688">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31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C35F2F0">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36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0905C70B">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bl>
    <w:p w14:paraId="6735235F">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表17：案例研究VII的SACC、SLOSS和EVSE值</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976"/>
        <w:gridCol w:w="1760"/>
        <w:gridCol w:w="1714"/>
        <w:gridCol w:w="1541"/>
        <w:gridCol w:w="1531"/>
      </w:tblGrid>
      <w:tr w14:paraId="6BFFD0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976"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7DF7A01">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时间段</w:t>
            </w:r>
          </w:p>
        </w:tc>
        <w:tc>
          <w:tcPr>
            <w:tcW w:w="176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F82C253">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OCSPE</w:t>
            </w:r>
          </w:p>
        </w:tc>
        <w:tc>
          <w:tcPr>
            <w:tcW w:w="171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A3D2B05">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ECSPE</w:t>
            </w:r>
          </w:p>
        </w:tc>
        <w:tc>
          <w:tcPr>
            <w:tcW w:w="154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438BA80">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ISSPE</w:t>
            </w:r>
          </w:p>
        </w:tc>
        <w:tc>
          <w:tcPr>
            <w:tcW w:w="153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BE6598B">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EPE</w:t>
            </w:r>
          </w:p>
        </w:tc>
      </w:tr>
      <w:tr w14:paraId="1EB1B9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4A0D99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0–60s</w:t>
            </w:r>
          </w:p>
        </w:tc>
        <w:tc>
          <w:tcPr>
            <w:tcW w:w="1760"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2EC8159">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97.4%</w:t>
            </w:r>
          </w:p>
        </w:tc>
        <w:tc>
          <w:tcPr>
            <w:tcW w:w="1714"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F97DB8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90.0%</w:t>
            </w:r>
          </w:p>
        </w:tc>
        <w:tc>
          <w:tcPr>
            <w:tcW w:w="154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48B648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93.7%</w:t>
            </w:r>
          </w:p>
        </w:tc>
        <w:tc>
          <w:tcPr>
            <w:tcW w:w="153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8E21E5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1972F4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42502E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60–120s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6CAF3B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98.3%</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EAE4F9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95.0%</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2F6973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96.9%</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DD115F">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1BDE63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A054D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120–180s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B6C3D4">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98.2%</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CAE073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96.7%</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52BCE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97.5%</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7D6C15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4F9062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09D53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180–240s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F548B9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99.6%</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482D6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97.5%</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9EA8C8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62E8F1">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3DD911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81A6F9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240–300s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ACAD02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99.1%</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162FE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98.0%</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7EA63C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543718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1D903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3B2C07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300–360s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416113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99.5%</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A3BE1B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98.3%</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096E0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83713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99.9%</w:t>
            </w:r>
          </w:p>
        </w:tc>
      </w:tr>
      <w:tr w14:paraId="01E1D9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2412D9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360–420s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2C8EFC">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99.6%</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57D3DB">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98.6%</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80BE7B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99.1%</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5F059E2">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2DCBAA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1E1B9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420–480s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0874AC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99.8%</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52D79F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98.9%</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CDB90E">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99.3%</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38FC3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r w14:paraId="3634EA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0953CF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480–540s</w:t>
            </w:r>
          </w:p>
        </w:tc>
        <w:tc>
          <w:tcPr>
            <w:tcW w:w="176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F44231D">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99.6%</w:t>
            </w:r>
          </w:p>
        </w:tc>
        <w:tc>
          <w:tcPr>
            <w:tcW w:w="171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C15D39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99.0%</w:t>
            </w:r>
          </w:p>
        </w:tc>
        <w:tc>
          <w:tcPr>
            <w:tcW w:w="154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B7298C8">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99.2%</w:t>
            </w:r>
          </w:p>
        </w:tc>
        <w:tc>
          <w:tcPr>
            <w:tcW w:w="153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B8C576">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99.9%</w:t>
            </w:r>
          </w:p>
        </w:tc>
      </w:tr>
      <w:tr w14:paraId="15011A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976"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412F2D7">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540–600s</w:t>
            </w:r>
          </w:p>
        </w:tc>
        <w:tc>
          <w:tcPr>
            <w:tcW w:w="176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15EB53F3">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99.7%</w:t>
            </w:r>
          </w:p>
        </w:tc>
        <w:tc>
          <w:tcPr>
            <w:tcW w:w="1714"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277847A">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99.0%</w:t>
            </w:r>
          </w:p>
        </w:tc>
        <w:tc>
          <w:tcPr>
            <w:tcW w:w="154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7A1143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b/>
              </w:rPr>
              <w:t>99.4%</w:t>
            </w:r>
          </w:p>
        </w:tc>
        <w:tc>
          <w:tcPr>
            <w:tcW w:w="153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F6753A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99.9%</w:t>
            </w:r>
          </w:p>
        </w:tc>
      </w:tr>
    </w:tbl>
    <w:p w14:paraId="45C4410C">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表18.研究案例VII的GCSP值、SAS值及OVSE值</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650"/>
        <w:gridCol w:w="1957"/>
        <w:gridCol w:w="2000"/>
        <w:gridCol w:w="1915"/>
      </w:tblGrid>
      <w:tr w14:paraId="77D14B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65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FDA44C4">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实验编号</w:t>
            </w:r>
          </w:p>
        </w:tc>
        <w:tc>
          <w:tcPr>
            <w:tcW w:w="1957"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11BE69C">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GCSP</w:t>
            </w:r>
          </w:p>
        </w:tc>
        <w:tc>
          <w:tcPr>
            <w:tcW w:w="200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44EE56E">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SAS</w:t>
            </w:r>
          </w:p>
        </w:tc>
        <w:tc>
          <w:tcPr>
            <w:tcW w:w="191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4BF58D9">
            <w:pPr>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VSE</w:t>
            </w:r>
          </w:p>
        </w:tc>
      </w:tr>
      <w:tr w14:paraId="5C77AF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65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D6077E5">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w:t>
            </w:r>
          </w:p>
        </w:tc>
        <w:tc>
          <w:tcPr>
            <w:tcW w:w="1957"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B40E300">
            <w:pPr>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0.856</w:t>
            </w:r>
          </w:p>
        </w:tc>
        <w:tc>
          <w:tcPr>
            <w:tcW w:w="2000"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5E61C41">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b/>
              </w:rPr>
              <w:t>0.9267</w:t>
            </w:r>
          </w:p>
        </w:tc>
        <w:tc>
          <w:tcPr>
            <w:tcW w:w="1915" w:type="dxa"/>
            <w:tcBorders>
              <w:top w:val="single" w:color="000000" w:sz="4" w:space="0"/>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64ADF6C5">
            <w:pPr>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99.7%</w:t>
            </w:r>
          </w:p>
        </w:tc>
      </w:tr>
    </w:tbl>
    <w:p w14:paraId="2217869E">
      <w:pPr>
        <w:spacing w:line="400" w:lineRule="exact"/>
        <w:ind w:firstLine="480" w:firstLineChars="200"/>
        <w:rPr>
          <w:rFonts w:hint="default" w:ascii="Times New Roman" w:hAnsi="Times New Roman" w:eastAsia="宋体" w:cs="Times New Roman"/>
          <w:bCs/>
          <w:iCs/>
          <w:sz w:val="24"/>
          <w:lang w:val="en-US" w:eastAsia="zh-CN"/>
        </w:rPr>
      </w:pPr>
    </w:p>
    <w:p w14:paraId="09FBB38A">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表19.比较结果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963"/>
        <w:gridCol w:w="2358"/>
        <w:gridCol w:w="1579"/>
        <w:gridCol w:w="1344"/>
        <w:gridCol w:w="1139"/>
        <w:gridCol w:w="1139"/>
      </w:tblGrid>
      <w:tr w14:paraId="5741D2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9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6AB72C2">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研究</w:t>
            </w:r>
          </w:p>
        </w:tc>
        <w:tc>
          <w:tcPr>
            <w:tcW w:w="235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22E45E6">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方法</w:t>
            </w:r>
          </w:p>
        </w:tc>
        <w:tc>
          <w:tcPr>
            <w:tcW w:w="157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955ED92">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案例质量</w:t>
            </w:r>
          </w:p>
        </w:tc>
        <w:tc>
          <w:tcPr>
            <w:tcW w:w="1344"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7414B04A">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SACC</w:t>
            </w:r>
          </w:p>
        </w:tc>
        <w:tc>
          <w:tcPr>
            <w:tcW w:w="113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4B5202E4">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VSE</w:t>
            </w:r>
          </w:p>
        </w:tc>
        <w:tc>
          <w:tcPr>
            <w:tcW w:w="113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C515E7E">
            <w:pPr>
              <w:keepNext/>
              <w:snapToGrid w:val="0"/>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SPE</w:t>
            </w:r>
          </w:p>
        </w:tc>
      </w:tr>
      <w:tr w14:paraId="6B20B7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477BB3CA">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w:t>
            </w:r>
          </w:p>
        </w:tc>
        <w:tc>
          <w:tcPr>
            <w:tcW w:w="235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316F839">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Feature-centric</w:t>
            </w:r>
          </w:p>
        </w:tc>
        <w:tc>
          <w:tcPr>
            <w:tcW w:w="157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E6D8BEB">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3DCD0B7">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83.3%</w:t>
            </w:r>
          </w:p>
        </w:tc>
        <w:tc>
          <w:tcPr>
            <w:tcW w:w="113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3DDB3CE1">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6841EF9">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429389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916BEF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48CD67C">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Feature-centric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669CFA">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92EEC42">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80.0%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DC9869B">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51803AC">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22F983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063EED2">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92B7A7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Event-centric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D4BF9A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DEF2D25">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60.7%</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C8EF6A">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9948C55">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162FE1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79F14B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[4]</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92AA6B7">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Event-centric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28D3F5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ED019A9">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44.1%</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B473BC4">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D9FF463">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6DF19F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791EC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[5]</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FEA3EF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Feature-centric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125452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Overall</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C0B5E95">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59.0%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4427F2">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97.4%</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316E4E7">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080A89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DB47CE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A0342C">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2BA6711">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F274C6">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64.1%</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1AD3541">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98.6%</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24745B">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603BAE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66CF6A4">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[7]</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5014EC1">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AA99E2D">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BCE84A">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28.8%</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98E1D54">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79.0%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24C3602">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13244E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667D5FA">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[8]</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259922D">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29F53E2">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BF647A6">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b/>
              </w:rPr>
              <w:t>100.0%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FA0A519">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96.4%</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171DD3B">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1BEAAB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6EECBD">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[8]</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6191F7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A409E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DB2434C">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88.7%</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EDC0C1">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88.8%</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1C4E76">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62AF8B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70AB56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5B1D43E">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D6DA162">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CD39971">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91.3%</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D3C7B93">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C788B6C">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0D2707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6FB6EAB">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[9]</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2470E06">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005737D">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697D8A">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86.3%</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8A7B4A4">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14A1C4F">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0BE16F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266E000">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[10]</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4162E48">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Event-centric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756D844">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Overall</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7D1811C">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47.0%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EE9A0E2">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A4DAAE3">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r>
      <w:tr w14:paraId="41BCBD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25941E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[17]</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C45D75B">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Event-centric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E878F5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D975F26">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76.0%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BC84FC">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99.5%</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D675266">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83.4%</w:t>
            </w:r>
          </w:p>
        </w:tc>
      </w:tr>
      <w:tr w14:paraId="7FE513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396BE29">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[17]</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6686BA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Event-centric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7A00864">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F954CAA">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46.0%</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325757D">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7F84ABA">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83.4%</w:t>
            </w:r>
          </w:p>
        </w:tc>
      </w:tr>
      <w:tr w14:paraId="528CC5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9F8D8F">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Ours</w:t>
            </w:r>
          </w:p>
        </w:tc>
        <w:tc>
          <w:tcPr>
            <w:tcW w:w="23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A7840A5">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82D61A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Best</w:t>
            </w:r>
          </w:p>
        </w:tc>
        <w:tc>
          <w:tcPr>
            <w:tcW w:w="1344"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88B9107">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91.9%</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E91B5B5">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99.7%</w:t>
            </w:r>
          </w:p>
        </w:tc>
        <w:tc>
          <w:tcPr>
            <w:tcW w:w="113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666CCB0">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99.6%</w:t>
            </w:r>
          </w:p>
        </w:tc>
      </w:tr>
      <w:tr w14:paraId="5D4DDF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96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EED6D9C">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Ours</w:t>
            </w:r>
          </w:p>
        </w:tc>
        <w:tc>
          <w:tcPr>
            <w:tcW w:w="235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83C39AB">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Object-centric</w:t>
            </w:r>
          </w:p>
        </w:tc>
        <w:tc>
          <w:tcPr>
            <w:tcW w:w="157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48857A3">
            <w:pPr>
              <w:keepNext/>
              <w:snapToGrid w:val="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Worst</w:t>
            </w:r>
          </w:p>
        </w:tc>
        <w:tc>
          <w:tcPr>
            <w:tcW w:w="1344"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30FA69AF">
            <w:pPr>
              <w:keepNext/>
              <w:snapToGrid w:val="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85.7%</w:t>
            </w:r>
          </w:p>
        </w:tc>
        <w:tc>
          <w:tcPr>
            <w:tcW w:w="113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507C13D">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93.7%</w:t>
            </w:r>
          </w:p>
        </w:tc>
        <w:tc>
          <w:tcPr>
            <w:tcW w:w="113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D7DBE79">
            <w:pPr>
              <w:keepNext/>
              <w:snapToGrid w:val="0"/>
              <w:ind w:left="0" w:leftChars="0" w:right="0" w:rightChars="0" w:firstLine="0" w:firstLineChars="0"/>
              <w:jc w:val="right"/>
              <w:rPr>
                <w:rFonts w:hint="default" w:ascii="Times New Roman" w:hAnsi="Times New Roman" w:cs="Times New Roman"/>
              </w:rPr>
            </w:pPr>
            <w:r>
              <w:rPr>
                <w:rFonts w:hint="default" w:ascii="Times New Roman" w:hAnsi="Times New Roman" w:cs="Times New Roman"/>
              </w:rPr>
              <w:t>97.4%</w:t>
            </w:r>
          </w:p>
        </w:tc>
      </w:tr>
    </w:tbl>
    <w:p w14:paraId="0BDFCB00">
      <w:pPr>
        <w:spacing w:line="400" w:lineRule="exact"/>
        <w:ind w:firstLine="360" w:firstLineChars="200"/>
        <w:jc w:val="center"/>
        <w:rPr>
          <w:rFonts w:hint="default" w:ascii="Times New Roman" w:hAnsi="Times New Roman" w:eastAsia="宋体" w:cs="Times New Roman"/>
          <w:bCs/>
          <w:iCs/>
          <w:sz w:val="18"/>
          <w:szCs w:val="18"/>
          <w:lang w:val="en-US" w:eastAsia="zh-CN"/>
        </w:rPr>
      </w:pPr>
      <w:r>
        <w:rPr>
          <w:rFonts w:hint="default" w:ascii="Times New Roman" w:hAnsi="Times New Roman" w:eastAsia="宋体" w:cs="Times New Roman"/>
          <w:bCs/>
          <w:iCs/>
          <w:sz w:val="18"/>
          <w:szCs w:val="18"/>
          <w:lang w:val="en-US" w:eastAsia="zh-CN"/>
        </w:rPr>
        <w:t>表20.不同处理配置下的能耗仿真结果</w:t>
      </w:r>
    </w:p>
    <w:tbl>
      <w:tblPr>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39"/>
        <w:gridCol w:w="816"/>
        <w:gridCol w:w="1272"/>
        <w:gridCol w:w="1533"/>
        <w:gridCol w:w="1098"/>
        <w:gridCol w:w="1186"/>
        <w:gridCol w:w="1102"/>
      </w:tblGrid>
      <w:tr w14:paraId="19C487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506"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0D652A22">
            <w:pPr>
              <w:keepNext/>
              <w:snapToGrid w:val="0"/>
              <w:jc w:val="center"/>
              <w:rPr>
                <w:rFonts w:hint="default" w:ascii="Times New Roman" w:hAnsi="Times New Roman" w:cs="Times New Roman"/>
                <w:b/>
                <w:bCs/>
              </w:rPr>
            </w:pPr>
            <w:r>
              <w:rPr>
                <w:rFonts w:hint="default" w:ascii="Times New Roman" w:hAnsi="Times New Roman" w:cs="Times New Roman"/>
                <w:b/>
                <w:bCs/>
              </w:rPr>
              <w:t>KafkaProducer</w:t>
            </w:r>
          </w:p>
        </w:tc>
        <w:tc>
          <w:tcPr>
            <w:tcW w:w="858"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4632AA6">
            <w:pPr>
              <w:keepNext/>
              <w:snapToGrid w:val="0"/>
              <w:jc w:val="center"/>
              <w:rPr>
                <w:rFonts w:hint="default" w:ascii="Times New Roman" w:hAnsi="Times New Roman" w:cs="Times New Roman"/>
                <w:b/>
                <w:bCs/>
              </w:rPr>
            </w:pPr>
            <w:r>
              <w:rPr>
                <w:rFonts w:hint="default" w:ascii="Times New Roman" w:hAnsi="Times New Roman" w:cs="Times New Roman"/>
                <w:b/>
                <w:bCs/>
              </w:rPr>
              <w:t>YOLO</w:t>
            </w:r>
          </w:p>
        </w:tc>
        <w:tc>
          <w:tcPr>
            <w:tcW w:w="1250"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C9F6B19">
            <w:pPr>
              <w:keepNext/>
              <w:snapToGrid w:val="0"/>
              <w:jc w:val="center"/>
              <w:rPr>
                <w:rFonts w:hint="default" w:ascii="Times New Roman" w:hAnsi="Times New Roman" w:cs="Times New Roman"/>
                <w:b/>
                <w:bCs/>
              </w:rPr>
            </w:pPr>
            <w:r>
              <w:rPr>
                <w:rFonts w:hint="default" w:ascii="Times New Roman" w:hAnsi="Times New Roman" w:cs="Times New Roman"/>
                <w:b/>
                <w:bCs/>
              </w:rPr>
              <w:t>OpticalFlow</w:t>
            </w:r>
          </w:p>
        </w:tc>
        <w:tc>
          <w:tcPr>
            <w:tcW w:w="1629"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59AD2C3F">
            <w:pPr>
              <w:keepNext/>
              <w:snapToGrid w:val="0"/>
              <w:jc w:val="center"/>
              <w:rPr>
                <w:rFonts w:hint="default" w:ascii="Times New Roman" w:hAnsi="Times New Roman" w:cs="Times New Roman"/>
                <w:b/>
                <w:bCs/>
              </w:rPr>
            </w:pPr>
            <w:r>
              <w:rPr>
                <w:rFonts w:hint="default" w:ascii="Times New Roman" w:hAnsi="Times New Roman" w:cs="Times New Roman"/>
                <w:b/>
                <w:bCs/>
              </w:rPr>
              <w:t>Summarization</w:t>
            </w:r>
          </w:p>
        </w:tc>
        <w:tc>
          <w:tcPr>
            <w:tcW w:w="1063"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69DC4F66">
            <w:pPr>
              <w:keepNext/>
              <w:snapToGrid w:val="0"/>
              <w:jc w:val="center"/>
              <w:rPr>
                <w:rFonts w:hint="default" w:ascii="Times New Roman" w:hAnsi="Times New Roman" w:cs="Times New Roman"/>
                <w:b/>
                <w:bCs/>
              </w:rPr>
            </w:pPr>
            <w:r>
              <w:rPr>
                <w:rFonts w:hint="default" w:ascii="Times New Roman" w:hAnsi="Times New Roman" w:cs="Times New Roman"/>
                <w:b/>
                <w:bCs/>
              </w:rPr>
              <w:t>Edge(Wh)</w:t>
            </w:r>
          </w:p>
        </w:tc>
        <w:tc>
          <w:tcPr>
            <w:tcW w:w="1151"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3BB0710E">
            <w:pPr>
              <w:keepNext/>
              <w:snapToGrid w:val="0"/>
              <w:jc w:val="center"/>
              <w:rPr>
                <w:rFonts w:hint="default" w:ascii="Times New Roman" w:hAnsi="Times New Roman" w:cs="Times New Roman"/>
                <w:b/>
                <w:bCs/>
              </w:rPr>
            </w:pPr>
            <w:r>
              <w:rPr>
                <w:rFonts w:hint="default" w:ascii="Times New Roman" w:hAnsi="Times New Roman" w:cs="Times New Roman"/>
                <w:b/>
                <w:bCs/>
              </w:rPr>
              <w:t>Cloud(Wh)</w:t>
            </w:r>
          </w:p>
        </w:tc>
        <w:tc>
          <w:tcPr>
            <w:tcW w:w="1065" w:type="dxa"/>
            <w:tcBorders>
              <w:top w:val="single" w:color="000000" w:sz="12" w:space="0"/>
              <w:left w:val="nil"/>
              <w:bottom w:val="nil"/>
              <w:right w:val="nil"/>
            </w:tcBorders>
            <w:shd w:val="clear" w:color="auto" w:fill="FFFFFF" w:themeFill="background1"/>
            <w:noWrap w:val="0"/>
            <w:tcMar>
              <w:top w:w="120" w:type="dxa"/>
              <w:left w:w="120" w:type="dxa"/>
              <w:bottom w:w="120" w:type="dxa"/>
              <w:right w:w="120" w:type="dxa"/>
            </w:tcMar>
            <w:vAlign w:val="center"/>
          </w:tcPr>
          <w:p w14:paraId="29D3F71E">
            <w:pPr>
              <w:keepNext/>
              <w:snapToGrid w:val="0"/>
              <w:jc w:val="center"/>
              <w:rPr>
                <w:rFonts w:hint="default" w:ascii="Times New Roman" w:hAnsi="Times New Roman" w:cs="Times New Roman"/>
                <w:b/>
                <w:bCs/>
              </w:rPr>
            </w:pPr>
            <w:r>
              <w:rPr>
                <w:rFonts w:hint="default" w:ascii="Times New Roman" w:hAnsi="Times New Roman" w:cs="Times New Roman"/>
                <w:b/>
                <w:bCs/>
              </w:rPr>
              <w:t>Total(Wh)</w:t>
            </w:r>
          </w:p>
        </w:tc>
      </w:tr>
      <w:tr w14:paraId="7F396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506"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4B718D9">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858"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2027A00D">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1250"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0B21040A">
            <w:pPr>
              <w:keepNext/>
              <w:snapToGrid w:val="0"/>
              <w:jc w:val="center"/>
              <w:rPr>
                <w:rFonts w:hint="default" w:ascii="Times New Roman" w:hAnsi="Times New Roman" w:cs="Times New Roman"/>
              </w:rPr>
            </w:pPr>
            <w:r>
              <w:rPr>
                <w:rFonts w:hint="default" w:ascii="Times New Roman" w:hAnsi="Times New Roman" w:cs="Times New Roman"/>
              </w:rPr>
              <w:t>-</w:t>
            </w:r>
          </w:p>
        </w:tc>
        <w:tc>
          <w:tcPr>
            <w:tcW w:w="1629"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78C87FE7">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063"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1DA0B246">
            <w:pPr>
              <w:keepNext/>
              <w:snapToGrid w:val="0"/>
              <w:jc w:val="right"/>
              <w:rPr>
                <w:rFonts w:hint="default" w:ascii="Times New Roman" w:hAnsi="Times New Roman" w:cs="Times New Roman"/>
              </w:rPr>
            </w:pPr>
            <w:r>
              <w:rPr>
                <w:rFonts w:hint="default" w:ascii="Times New Roman" w:hAnsi="Times New Roman" w:cs="Times New Roman"/>
                <w:b/>
              </w:rPr>
              <w:t>2.17</w:t>
            </w:r>
          </w:p>
        </w:tc>
        <w:tc>
          <w:tcPr>
            <w:tcW w:w="1151"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6ED4F38E">
            <w:pPr>
              <w:keepNext/>
              <w:snapToGrid w:val="0"/>
              <w:jc w:val="right"/>
              <w:rPr>
                <w:rFonts w:hint="default" w:ascii="Times New Roman" w:hAnsi="Times New Roman" w:cs="Times New Roman"/>
              </w:rPr>
            </w:pPr>
            <w:r>
              <w:rPr>
                <w:rFonts w:hint="default" w:ascii="Times New Roman" w:hAnsi="Times New Roman" w:cs="Times New Roman"/>
              </w:rPr>
              <w:t>1.49</w:t>
            </w:r>
          </w:p>
        </w:tc>
        <w:tc>
          <w:tcPr>
            <w:tcW w:w="1065" w:type="dxa"/>
            <w:tcBorders>
              <w:top w:val="single" w:color="000000" w:sz="4" w:space="0"/>
              <w:left w:val="nil"/>
              <w:bottom w:val="nil"/>
              <w:right w:val="nil"/>
            </w:tcBorders>
            <w:shd w:val="clear" w:color="auto" w:fill="FFFFFF" w:themeFill="background1"/>
            <w:noWrap w:val="0"/>
            <w:tcMar>
              <w:top w:w="120" w:type="dxa"/>
              <w:left w:w="120" w:type="dxa"/>
              <w:bottom w:w="120" w:type="dxa"/>
              <w:right w:w="120" w:type="dxa"/>
            </w:tcMar>
            <w:vAlign w:val="center"/>
          </w:tcPr>
          <w:p w14:paraId="5B1781FF">
            <w:pPr>
              <w:keepNext/>
              <w:snapToGrid w:val="0"/>
              <w:jc w:val="right"/>
              <w:rPr>
                <w:rFonts w:hint="default" w:ascii="Times New Roman" w:hAnsi="Times New Roman" w:cs="Times New Roman"/>
              </w:rPr>
            </w:pPr>
            <w:r>
              <w:rPr>
                <w:rFonts w:hint="default" w:ascii="Times New Roman" w:hAnsi="Times New Roman" w:cs="Times New Roman"/>
                <w:b/>
              </w:rPr>
              <w:t>3.66</w:t>
            </w:r>
          </w:p>
        </w:tc>
      </w:tr>
      <w:tr w14:paraId="0F63A0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50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95BC21D">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8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2C45A79">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125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6A82B8E">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162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9F3DAED">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0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3809B46">
            <w:pPr>
              <w:keepNext/>
              <w:snapToGrid w:val="0"/>
              <w:jc w:val="right"/>
              <w:rPr>
                <w:rFonts w:hint="default" w:ascii="Times New Roman" w:hAnsi="Times New Roman" w:cs="Times New Roman"/>
              </w:rPr>
            </w:pPr>
            <w:r>
              <w:rPr>
                <w:rFonts w:hint="default" w:ascii="Times New Roman" w:hAnsi="Times New Roman" w:cs="Times New Roman"/>
              </w:rPr>
              <w:t>1.52</w:t>
            </w:r>
          </w:p>
        </w:tc>
        <w:tc>
          <w:tcPr>
            <w:tcW w:w="115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3BA70EF2">
            <w:pPr>
              <w:keepNext/>
              <w:snapToGrid w:val="0"/>
              <w:jc w:val="right"/>
              <w:rPr>
                <w:rFonts w:hint="default" w:ascii="Times New Roman" w:hAnsi="Times New Roman" w:cs="Times New Roman"/>
              </w:rPr>
            </w:pPr>
            <w:r>
              <w:rPr>
                <w:rFonts w:hint="default" w:ascii="Times New Roman" w:hAnsi="Times New Roman" w:cs="Times New Roman"/>
              </w:rPr>
              <w:t>1.47</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745B4007">
            <w:pPr>
              <w:keepNext/>
              <w:snapToGrid w:val="0"/>
              <w:jc w:val="right"/>
              <w:rPr>
                <w:rFonts w:hint="default" w:ascii="Times New Roman" w:hAnsi="Times New Roman" w:cs="Times New Roman"/>
              </w:rPr>
            </w:pPr>
            <w:r>
              <w:rPr>
                <w:rFonts w:hint="default" w:ascii="Times New Roman" w:hAnsi="Times New Roman" w:cs="Times New Roman"/>
              </w:rPr>
              <w:t>3.24</w:t>
            </w:r>
          </w:p>
        </w:tc>
      </w:tr>
      <w:tr w14:paraId="198C6D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506"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4E2B1160">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858"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5351F44C">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250"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1FFBDB72">
            <w:pPr>
              <w:keepNext/>
              <w:snapToGrid w:val="0"/>
              <w:jc w:val="center"/>
              <w:rPr>
                <w:rFonts w:hint="default" w:ascii="Times New Roman" w:hAnsi="Times New Roman" w:cs="Times New Roman"/>
              </w:rPr>
            </w:pPr>
            <w:r>
              <w:rPr>
                <w:rFonts w:hint="default" w:ascii="Times New Roman" w:hAnsi="Times New Roman" w:cs="Times New Roman"/>
              </w:rPr>
              <w:t>-</w:t>
            </w:r>
          </w:p>
        </w:tc>
        <w:tc>
          <w:tcPr>
            <w:tcW w:w="1629"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67858647">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063"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09F11881">
            <w:pPr>
              <w:keepNext/>
              <w:snapToGrid w:val="0"/>
              <w:jc w:val="right"/>
              <w:rPr>
                <w:rFonts w:hint="default" w:ascii="Times New Roman" w:hAnsi="Times New Roman" w:cs="Times New Roman"/>
              </w:rPr>
            </w:pPr>
            <w:r>
              <w:rPr>
                <w:rFonts w:hint="default" w:ascii="Times New Roman" w:hAnsi="Times New Roman" w:cs="Times New Roman"/>
              </w:rPr>
              <w:t>1.24</w:t>
            </w:r>
          </w:p>
        </w:tc>
        <w:tc>
          <w:tcPr>
            <w:tcW w:w="1151"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A090A80">
            <w:pPr>
              <w:keepNext/>
              <w:snapToGrid w:val="0"/>
              <w:jc w:val="right"/>
              <w:rPr>
                <w:rFonts w:hint="default" w:ascii="Times New Roman" w:hAnsi="Times New Roman" w:cs="Times New Roman"/>
              </w:rPr>
            </w:pPr>
            <w:r>
              <w:rPr>
                <w:rFonts w:hint="default" w:ascii="Times New Roman" w:hAnsi="Times New Roman" w:cs="Times New Roman"/>
                <w:b/>
              </w:rPr>
              <w:t>1.69</w:t>
            </w:r>
          </w:p>
        </w:tc>
        <w:tc>
          <w:tcPr>
            <w:tcW w:w="1065" w:type="dxa"/>
            <w:tcBorders>
              <w:top w:val="nil"/>
              <w:left w:val="nil"/>
              <w:bottom w:val="nil"/>
              <w:right w:val="nil"/>
            </w:tcBorders>
            <w:shd w:val="clear" w:color="auto" w:fill="FFFFFF" w:themeFill="background1"/>
            <w:noWrap w:val="0"/>
            <w:tcMar>
              <w:top w:w="120" w:type="dxa"/>
              <w:left w:w="120" w:type="dxa"/>
              <w:bottom w:w="120" w:type="dxa"/>
              <w:right w:w="120" w:type="dxa"/>
            </w:tcMar>
            <w:vAlign w:val="center"/>
          </w:tcPr>
          <w:p w14:paraId="26B00873">
            <w:pPr>
              <w:keepNext/>
              <w:snapToGrid w:val="0"/>
              <w:jc w:val="right"/>
              <w:rPr>
                <w:rFonts w:hint="default" w:ascii="Times New Roman" w:hAnsi="Times New Roman" w:cs="Times New Roman"/>
              </w:rPr>
            </w:pPr>
            <w:r>
              <w:rPr>
                <w:rFonts w:hint="default" w:ascii="Times New Roman" w:hAnsi="Times New Roman" w:cs="Times New Roman"/>
              </w:rPr>
              <w:t>2.93</w:t>
            </w:r>
          </w:p>
        </w:tc>
      </w:tr>
      <w:tr w14:paraId="6DE52F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1506"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45DAAF89">
            <w:pPr>
              <w:keepNext/>
              <w:snapToGrid w:val="0"/>
              <w:jc w:val="center"/>
              <w:rPr>
                <w:rFonts w:hint="default" w:ascii="Times New Roman" w:hAnsi="Times New Roman" w:cs="Times New Roman"/>
              </w:rPr>
            </w:pPr>
            <w:r>
              <w:rPr>
                <w:rFonts w:hint="default" w:ascii="Times New Roman" w:hAnsi="Times New Roman" w:cs="Times New Roman"/>
              </w:rPr>
              <w:t>Edge</w:t>
            </w:r>
          </w:p>
        </w:tc>
        <w:tc>
          <w:tcPr>
            <w:tcW w:w="858"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EEF393E">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250"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5B503649">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629"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34F54E7">
            <w:pPr>
              <w:keepNext/>
              <w:snapToGrid w:val="0"/>
              <w:jc w:val="center"/>
              <w:rPr>
                <w:rFonts w:hint="default" w:ascii="Times New Roman" w:hAnsi="Times New Roman" w:cs="Times New Roman"/>
              </w:rPr>
            </w:pPr>
            <w:r>
              <w:rPr>
                <w:rFonts w:hint="default" w:ascii="Times New Roman" w:hAnsi="Times New Roman" w:cs="Times New Roman"/>
              </w:rPr>
              <w:t>Cloud</w:t>
            </w:r>
          </w:p>
        </w:tc>
        <w:tc>
          <w:tcPr>
            <w:tcW w:w="1063"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0BEA2DEE">
            <w:pPr>
              <w:keepNext/>
              <w:snapToGrid w:val="0"/>
              <w:jc w:val="right"/>
              <w:rPr>
                <w:rFonts w:hint="default" w:ascii="Times New Roman" w:hAnsi="Times New Roman" w:cs="Times New Roman"/>
              </w:rPr>
            </w:pPr>
            <w:r>
              <w:rPr>
                <w:rFonts w:hint="default" w:ascii="Times New Roman" w:hAnsi="Times New Roman" w:cs="Times New Roman"/>
              </w:rPr>
              <w:t>1.21</w:t>
            </w:r>
          </w:p>
        </w:tc>
        <w:tc>
          <w:tcPr>
            <w:tcW w:w="1151"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7106F3FF">
            <w:pPr>
              <w:keepNext/>
              <w:snapToGrid w:val="0"/>
              <w:jc w:val="right"/>
              <w:rPr>
                <w:rFonts w:hint="default" w:ascii="Times New Roman" w:hAnsi="Times New Roman" w:cs="Times New Roman"/>
              </w:rPr>
            </w:pPr>
            <w:r>
              <w:rPr>
                <w:rFonts w:hint="default" w:ascii="Times New Roman" w:hAnsi="Times New Roman" w:cs="Times New Roman"/>
              </w:rPr>
              <w:t>1.54</w:t>
            </w:r>
          </w:p>
        </w:tc>
        <w:tc>
          <w:tcPr>
            <w:tcW w:w="1065" w:type="dxa"/>
            <w:tcBorders>
              <w:top w:val="nil"/>
              <w:left w:val="nil"/>
              <w:bottom w:val="single" w:color="000000" w:sz="12" w:space="0"/>
              <w:right w:val="nil"/>
            </w:tcBorders>
            <w:shd w:val="clear" w:color="auto" w:fill="FFFFFF" w:themeFill="background1"/>
            <w:noWrap w:val="0"/>
            <w:tcMar>
              <w:top w:w="120" w:type="dxa"/>
              <w:left w:w="120" w:type="dxa"/>
              <w:bottom w:w="120" w:type="dxa"/>
              <w:right w:w="120" w:type="dxa"/>
            </w:tcMar>
            <w:vAlign w:val="center"/>
          </w:tcPr>
          <w:p w14:paraId="252C3BC8">
            <w:pPr>
              <w:keepNext/>
              <w:snapToGrid w:val="0"/>
              <w:jc w:val="right"/>
              <w:rPr>
                <w:rFonts w:hint="default" w:ascii="Times New Roman" w:hAnsi="Times New Roman" w:cs="Times New Roman"/>
              </w:rPr>
            </w:pPr>
            <w:r>
              <w:rPr>
                <w:rFonts w:hint="default" w:ascii="Times New Roman" w:hAnsi="Times New Roman" w:cs="Times New Roman"/>
              </w:rPr>
              <w:t>2.75</w:t>
            </w:r>
          </w:p>
        </w:tc>
      </w:tr>
    </w:tbl>
    <w:p w14:paraId="02665E6B">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当对事件中心化摘要模块训练的神经架构进行分析时，可以发现Transformer层神经架构相较于其他架构具有明显优势（表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和表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）。此外，通过分析表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"bookmark90"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11</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和表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可知，使用非预训练模型执行的摘要操作具有更高的性能表现。</w:t>
      </w:r>
    </w:p>
    <w:p w14:paraId="128B5938">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在分析案例研究V的事件中心化摘要指标时发现，其结果显著优于设定的95%摘要性能目标（表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13</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）。案例研究I、II、III、IV及V的基本表现均符合预期。</w:t>
      </w:r>
    </w:p>
    <w:p w14:paraId="436B507E">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本研究旨在分别评估系统各子组件的性能。若用一句话概括所有案例分析结果，可见所开发方法在摘要生成效果与时间效率方面均表现出优异性能。集成系统的性能评估详见案例研究VI。</w:t>
      </w:r>
    </w:p>
    <w:p w14:paraId="37CDFBFF">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在此方法中，首先对边缘处生成的图像帧进行基于YOLOv5s的物体检测处理。当将案例研究VII中的场景与EPE指标进行对比时，这一现象尤为明显——物体检测过程会导致边缘区域的帧生成性能下降（表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"bookmark98"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14</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"bookmark105"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w:t>
      </w:r>
    </w:p>
    <w:p w14:paraId="7B287644">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此外，研究发现评估以对象为中心的摘要方法的OCSPE在案例研究VII中有所下降，尽管降幅非常微小，这主要归因于光流处理成本的影响。这一细微变化充分证明了光流方法在处理成本方面的合理性。众所周知，事件中心化摘要组件持续对3秒视频批次进行处理，因此无法在所有帧生成前完成其运算流程。正因如此，在图</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"bookmark97"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26</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和</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"bookmark102"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28</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中，执行该模块运算的消费者端处理帧数始终低于其他组件。不过由于该模块处理帧数与生成帧数始终保持恒定距离，因此不会导致Kafka队列出现积压现象。在集成系统测试中，案例研究VI和VII所采用的视频素材被特意选用，旨在对两个模块进行极限性能测试。由于在基于对象的视频摘要任务中，采用两种基于遗传算法的方法都难以对低物体密度视频进行有效摘要。因此，在当前参数配置下，对象中心化摘要模块的表现明显落后于案例研究I-IV中的观测结果。为预防性能下降，可在遗传算法流程中引入动态调整种群规模和迭代次数的机制——当适应度值持续低于90%时自动调整参数。此外，视频中被判定为异常事件的场景包括他人捡拾他人掉落物品的情况。尽管如此，所开发的CNN-Transformer模型仍能检测到部分序列中的异常现象，摘要准确率达到了85.0%。值得注意的是，两个组件在视频剪辑性能方面均表现出色。</w:t>
      </w:r>
    </w:p>
    <w:p w14:paraId="57DA6829">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最后，通过分析表</w:t>
      </w:r>
      <w:r>
        <w:rPr>
          <w:rFonts w:hint="default" w:ascii="Times New Roman" w:hAnsi="Times New Roman" w:eastAsia="宋体" w:cs="Times New Roman"/>
          <w:bCs/>
          <w:iCs/>
          <w:sz w:val="24"/>
          <w:lang w:val="en-US" w:eastAsia="zh-CN"/>
        </w:rPr>
        <w:fldChar w:fldCharType="begin"/>
      </w:r>
      <w:r>
        <w:rPr>
          <w:rFonts w:hint="default" w:ascii="Times New Roman" w:hAnsi="Times New Roman" w:eastAsia="宋体" w:cs="Times New Roman"/>
          <w:bCs/>
          <w:iCs/>
          <w:sz w:val="24"/>
          <w:lang w:val="en-US" w:eastAsia="zh-CN"/>
        </w:rPr>
        <w:instrText xml:space="preserve"> HYPERLINK \l "bookmark106" </w:instrText>
      </w:r>
      <w:r>
        <w:rPr>
          <w:rFonts w:hint="default" w:ascii="Times New Roman" w:hAnsi="Times New Roman" w:eastAsia="宋体" w:cs="Times New Roman"/>
          <w:bCs/>
          <w:iCs/>
          <w:sz w:val="24"/>
          <w:lang w:val="en-US" w:eastAsia="zh-CN"/>
        </w:rPr>
        <w:fldChar w:fldCharType="separate"/>
      </w:r>
      <w:r>
        <w:rPr>
          <w:rFonts w:hint="default" w:ascii="Times New Roman" w:hAnsi="Times New Roman" w:eastAsia="宋体" w:cs="Times New Roman"/>
          <w:bCs/>
          <w:iCs/>
          <w:sz w:val="24"/>
          <w:lang w:val="en-US" w:eastAsia="zh-CN"/>
        </w:rPr>
        <w:t>19</w:t>
      </w:r>
      <w:r>
        <w:rPr>
          <w:rFonts w:hint="default" w:ascii="Times New Roman" w:hAnsi="Times New Roman" w:eastAsia="宋体" w:cs="Times New Roman"/>
          <w:bCs/>
          <w:iCs/>
          <w:sz w:val="24"/>
          <w:lang w:val="en-US" w:eastAsia="zh-CN"/>
        </w:rPr>
        <w:fldChar w:fldCharType="end"/>
      </w:r>
      <w:r>
        <w:rPr>
          <w:rFonts w:hint="default" w:ascii="Times New Roman" w:hAnsi="Times New Roman" w:eastAsia="宋体" w:cs="Times New Roman"/>
          <w:bCs/>
          <w:iCs/>
          <w:sz w:val="24"/>
          <w:lang w:val="en-US" w:eastAsia="zh-CN"/>
        </w:rPr>
        <w:t>可以明显看出，我们的方法在现有摘要方法中具有显著优势。由于当前文献研究中直接针对监测应用开发的摘要方法较少，因此在对比分析中还纳入了为不同智慧城市应用场景开发的事件或对象导向型摘要方法。</w:t>
      </w:r>
    </w:p>
    <w:p w14:paraId="41152F86">
      <w:pPr>
        <w:pStyle w:val="2"/>
        <w:bidi w:val="0"/>
        <w:rPr>
          <w:rFonts w:hint="default" w:ascii="Times New Roman" w:hAnsi="Times New Roman" w:eastAsia="宋体" w:cs="Times New Roman"/>
          <w:lang w:val="en-US" w:eastAsia="zh-CN"/>
        </w:rPr>
      </w:pPr>
      <w:r>
        <w:rPr>
          <w:rFonts w:hint="eastAsia" w:cs="Times New Roman"/>
          <w:lang w:val="en-US" w:eastAsia="zh-CN"/>
        </w:rPr>
        <w:t>8</w:t>
      </w:r>
      <w:r>
        <w:rPr>
          <w:rFonts w:hint="default" w:ascii="Times New Roman" w:hAnsi="Times New Roman" w:eastAsia="宋体" w:cs="Times New Roman"/>
          <w:lang w:val="en-US" w:eastAsia="zh-CN"/>
        </w:rPr>
        <w:t>.</w:t>
      </w:r>
      <w:r>
        <w:rPr>
          <w:rFonts w:hint="eastAsia" w:cs="Times New Roman"/>
          <w:lang w:val="en-US" w:eastAsia="zh-CN"/>
        </w:rPr>
        <w:t>结论</w:t>
      </w:r>
    </w:p>
    <w:p w14:paraId="1453372A">
      <w:pPr>
        <w:spacing w:line="400" w:lineRule="exact"/>
        <w:ind w:firstLine="480" w:firstLineChars="200"/>
        <w:rPr>
          <w:rFonts w:hint="default" w:ascii="Times New Roman" w:hAnsi="Times New Roman" w:eastAsia="宋体" w:cs="Times New Roman"/>
          <w:bCs/>
          <w:iCs/>
          <w:sz w:val="24"/>
          <w:lang w:val="en-US" w:eastAsia="zh-CN"/>
        </w:rPr>
      </w:pPr>
      <w:r>
        <w:rPr>
          <w:rFonts w:hint="default" w:ascii="Times New Roman" w:hAnsi="Times New Roman" w:eastAsia="宋体" w:cs="Times New Roman"/>
          <w:bCs/>
          <w:iCs/>
          <w:sz w:val="24"/>
          <w:lang w:val="en-US" w:eastAsia="zh-CN"/>
        </w:rPr>
        <w:t>本研究提出了一种多目标视频摘要方法，用于智能城市系统中监控视频的摘要分析。该方法具有两大核心目标：一是保留视频中基于对象的统计信息，二是捕捉健康监测、安防监控及交通管理等场景中的异常行为。为此，我们开发了以对象为中心和事件为中心两大模块。其中，对象中心模块采用基于遗传算法的方法实现，其适应度函数聚焦于热力图的结构相似性分析，该方法能有效捕捉各类统计对象特征。事件中心模块通过多轮神经网络架构训练实现视频序列异常与正常分类，并对训练结果进行对比验证。由于CNN-Transformer神经网络架构在性能表现上最优，最终采用该模型进行分类处理。通过将这两个子模块与ApacheKafka集成，构建了完整的系统解决方案。我们从不同维度对各模块及集成系统进行了独立评估，并详细呈现了评估结果。通过分析数据可以发现：以对象为中心的模块在保持统计特性方面成功率超过90%，而以事件为中心的模块在异常事件汇总成功率方面超过95%。集成系统的流处理效率也表现优异（&gt;95%）。最后，我们将本研究提出的方法与其他文献中的方法进行质量对比，旨在证明所开发的原创方法在性能表现上优于现有研究。对比结果显示，本方法在事件汇总效果、视频压缩率及流处理效率方面均显著优于文献中的研究方案。凭借其高性能、创新性及多功能化的事件汇总方法，加之易于适配不同层级智慧城市系统的特点，本方法将助力智慧城市系统实现更可持续发展，并降低整体处理成本。在后续研究中，我们计划扩展系统架构以支持边缘与云端环境之间更灵活、更具适应性的任务分配策略，从而适应不同的计算能力和网络约束条件。同时，我们将着力提升系统与新兴物联网基础设施的兼容性，重点聚焦扩展性、延迟容忍度以及与异构传感器网络的互操作性。通过这些改进，预计所提出的方法在大规模动态智慧城市场景中的应用价值将得到进一步提升。</w:t>
      </w:r>
    </w:p>
    <w:p w14:paraId="53C45F55">
      <w:pPr>
        <w:spacing w:line="400" w:lineRule="exact"/>
        <w:ind w:firstLine="480" w:firstLineChars="200"/>
        <w:rPr>
          <w:rFonts w:hint="default" w:ascii="Times New Roman" w:hAnsi="Times New Roman" w:eastAsia="宋体" w:cs="Times New Roman"/>
          <w:bCs/>
          <w:iCs/>
          <w:sz w:val="24"/>
          <w:lang w:val="en-US" w:eastAsia="zh-CN"/>
        </w:rPr>
        <w:sectPr>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3EDB119">
      <w:pPr>
        <w:pStyle w:val="2"/>
        <w:ind w:left="0" w:leftChars="0" w:firstLine="3640" w:firstLineChars="1300"/>
        <w:jc w:val="both"/>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参考文献</w:t>
      </w:r>
    </w:p>
    <w:p w14:paraId="6F0D9F9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P.Kadam,D.Vora,S.Mishra,S.Patil,K.Kotecha,A.Abraham,andL.A.Gabralla,"Recentchallengesandopportunitiesinvideosummarizationwithmachinelearningalgorithms,"IEEEAccess,vol.10,pp.122762–122785,2022,doi:10.1109/ACCESS.2022.3223579.</w:t>
      </w:r>
    </w:p>
    <w:p w14:paraId="4FB3D5F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E.Apostolidis,E.Adamantidou,A.I.Metsai,V.Mezaris,andI.Patras,"Videosummarizationusingdeepneuralnetworks:Asurvey,"Proc.IEEE,vol.109,no.11,pp.1838–1863,Nov.2021,doi:10.1109/JPROC.2021.3114772.</w:t>
      </w:r>
    </w:p>
    <w:p w14:paraId="0DA35DA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M.Dhanushree,R.Priya,P.Aruna,andR.Bhavani,"Staticvideosummarizationwithmulti-objectiveconstrainedoptimization,"J.AmbientIntell.HumanizedComput.,vol.15,no.4,pp.2621–2639,Apr.2024.</w:t>
      </w:r>
    </w:p>
    <w:p w14:paraId="0D37982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K.YaswanthandB.Soni,"Encoder-decoderarchitecturesbasedvideosummarizationusingkey-shotselectionmodel,"MultimediaToolsAppl.,vol.83,no.11,pp.31395–31415,Sep.2023.</w:t>
      </w:r>
    </w:p>
    <w:p w14:paraId="3DCDEB0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Y.Xu,J.Zheng,Y.Tao,andK.Zhu,"Propertyconstrainedvideosummarizationviapixelrewardminimization,"Sci.Netw.Comput.Sci.,vol.5,no.2,Feb.2024.</w:t>
      </w:r>
    </w:p>
    <w:p w14:paraId="317135E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P.Narwal,N.Duhan,andK.K.Bhatia,"Anovelmulti-modalneuralnetworkapproachfordynamicandgeneticsparsevideosummarization,"Appl.Artif.Intell.,vol.126,Nov.2023,Art.no.106964.</w:t>
      </w:r>
    </w:p>
    <w:p w14:paraId="0CED093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P.Kadam,A.Vora,S.Patil,S.Mishra,andV.Khairnar,"Behavioralprofilingforadaptivevideosummarizationfromgeneralizationtopersonalization,"MethodsX,vol.13,Dec.2024,Art.no.102780.</w:t>
      </w:r>
    </w:p>
    <w:p w14:paraId="6847B5F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A.SabhaandA.Sohal,"Domainadaptationassistedautomaticreal-timehuman-basedvideosummarization,"Appl.Artif.Intell.,vol.124,Sep.2023,Art.no.106584.</w:t>
      </w:r>
    </w:p>
    <w:p w14:paraId="10170A0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Y.Zhu,W.Zhao,R.Hua,andX.Wu,"Topic-awarevideosummarizationusingmultimodaltransformer,"PatternRecognit.,vol.140,Aug.2023,Art.no.109578.</w:t>
      </w:r>
    </w:p>
    <w:p w14:paraId="0B4D373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Q.Li,J.Chen,Q.Xie,andX.Han,"Videosummarizationforevent-centricvideos,"NeuralNetw.,vol.161,pp.359–370,Apr.2023.</w:t>
      </w:r>
    </w:p>
    <w:p w14:paraId="07ADC43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M.D.SavidisandC.S.Christophor,"Anefficientvideosummarizationforsurveillancesystemsusingnormalized-kmeansandquicksortmethod,"MicroprocessorsMicrosyst.,vol.83,Jun.2021,Art.no.103960.</w:t>
      </w:r>
    </w:p>
    <w:p w14:paraId="1ECEE96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T.G.AltundoganandM.Karaköse,"LSTMencoderdecoderbasedtexthighlightabstractionmethodusingsummariesextractedbyPageRank,"inProc.27thInt.Conf.Inf.Technol.(IT),Feb.2023,pp.1–4,doi:10.1109/IT57137.2023.10078656.</w:t>
      </w:r>
    </w:p>
    <w:p w14:paraId="7A2FBA4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T.G.Altundogan,M.Karaköse,andS.Tanberk,"Transformerbasedmultimediasummarizationandhighlightabstractionapproachfortextsandspeechaudios,"inProc.28thInt.Conf.Inf.Technol.(IT),Jabłonka,Montenegro,Feb.2024,pp.1–4,doi:10.1109/IT61232.2024.0475775.</w:t>
      </w:r>
    </w:p>
    <w:p w14:paraId="6DCF947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A.DilawariandM.U.G.Khan,"ASoVS:Abstractivesummarizationofvideosequences,"IEEEAccess,vol.7,pp.202925–202936,2019,doi:10.1109/ACCESS.2019.2920507.</w:t>
      </w:r>
    </w:p>
    <w:p w14:paraId="5701B3F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RamakrishnanandC.-K.Ngan,"Ahybridvideo-to-textsummarizationframeworkandalgorithmoncascadingadvancedvideonarrativeandabstractive-basedapproachesforsupportingviewers'edutainmentandunderstanding,"inProc.IEEE5thInt.Conf.Artif.Intell.Knowl.Eng.(AIKE),LagunaHills,CA,USA,Sep.2022,pp.36–39,doi:10.1109/AIKE55402.2022.00012.</w:t>
      </w:r>
    </w:p>
    <w:p w14:paraId="0E29AC4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D.Singhal,K.Khatter,A.Tewari,andR.Jayashree,"Abstractivesummarizationofmeetingconversations,"inProc.IEEEInt.Conf.Inf.Innov.(INOCON),Nov.2020,pp.1–4,doi:10.1109/INOCON50539.2020.9298305.</w:t>
      </w:r>
    </w:p>
    <w:p w14:paraId="609A5D9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C.HuangandH.Wang,"Anovelkey-framesselectionframeworkforcomprehensivetechnologyvideosummarization,"CircuitsSyst.VideoTechnol.,vol.30,no.2,pp.577–589,Feb.2020,doi:10.1109/TCSVT.2019.2890899.</w:t>
      </w:r>
    </w:p>
    <w:p w14:paraId="3B464EA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E.Baddi,K.Mounane,andF.E.Ghazi,"Opportunities,applications,andchallengesofedge-AIenabledvideoanalyticsinsmartcities:Asystematicreview,"IEEEAccess,vol.11,pp.80545–80572,2023,doi:10.1109/ACCESS.2023.3300658.</w:t>
      </w:r>
    </w:p>
    <w:p w14:paraId="64B853B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A.SabhaandA.Sehgal,"Towardsmachinevision-basedvideoanalyticsinsmartcities:Asurvey,framework,applicationsandopenissues,"MultimediaToolsAppl.,vol.83,no.22,pp.62107–62158,2023.</w:t>
      </w:r>
    </w:p>
    <w:p w14:paraId="4097159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K.Aminyeganeh,R.W.L.Coutinho,andA.Boukerche,"IoTvideoanalyticsforsurveillance-basedsystemsinsmartcities,"Comput.Commun.,vol.224,pp.95–105,Aug.2024.</w:t>
      </w:r>
    </w:p>
    <w:p w14:paraId="0F3DEC9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O.ElGhazi,O.Alaoui-Fdili,O.Chahbouni,N.Alioua,andW.Bouarifi,"Artificialintelligence-poweredvisualcomputingofThingsinsmartcities:Acomprehensivereview,"Sustain.Comput.Informat.Syst.,vol.43,Sep.2024,Art.no.101004.</w:t>
      </w:r>
    </w:p>
    <w:p w14:paraId="3208175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R.An,X.Zhang,M.Sun,andG.Wang,"GC-YOLOv9:Innovativesmartcitytrafficmonitoringsolution,"AlexandriaEng.J.,vol.106,pp.277–287,Nov.2024.</w:t>
      </w:r>
    </w:p>
    <w:p w14:paraId="33EF3DA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F.U.M.Ullah,K.Muhammad,I.U.Haq,N.Khan,A.A.Heidari,S.W.Baik,andV.H.C.deAlbuquerque,"AI-assistededgevisionforviolencedetectioninIoT-basedindustrialsurveillancenetworks,"IEEETrans.Ind.Informat.,vol.18,no.8,pp.5359–5370,Aug.2022.</w:t>
      </w:r>
    </w:p>
    <w:p w14:paraId="20E4D51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M.A.Rahman,M.Hossain,A.J.Showail,N.A.Alrajeh,andA.Ghoneim,"AI-enabledIoTforlivesmartcityeventmonitoring,"IEEEInternetThingsJ.,vol.10,no.4,pp.2872–2880,Feb.2023,doi:10.1109/JIOT.2022.3109495.</w:t>
      </w:r>
    </w:p>
    <w:p w14:paraId="7C6A0FC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N.Magaia,I.L.D.Ribeiro,A.W.O.deAguiar,R.Fonseca,K.Muhammad,andV.H.C.deAlbuquerque,"Anartificialintelligenceapplicationfordrone-assisted5Gremotee-health,"IEEEInternetThingsMag.,vol.4,no.4,pp.30–35,Dec.2021.</w:t>
      </w:r>
    </w:p>
    <w:p w14:paraId="7BA3B38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L.Zhang,Z.Su,L.Song,andJ.Xu,"CrossVision:Real-timeon-cameravideoanalysisviacommonloadbalancing,"IEEETrans.MobileComput.,vol.23,no.5,pp.5027–5039,May2024.</w:t>
      </w:r>
    </w:p>
    <w:p w14:paraId="4D39DAD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W.Gao,S.Ma,L.Duan,Y.Tian,P.Xing,Y.Wang,andH.Jia,"H.264/AVC:Digitaltwin:Awaytomakethevideobrainmoreefficientinvisualcoding,"IEEETrans.CircuitsSyst.VideoTechnol.,vol.31,no.11,pp.4147–4161,Nov.2021.</w:t>
      </w:r>
    </w:p>
    <w:p w14:paraId="03E81CC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H.Liang,Q.Sang,C.Hu,D.Cheng,X.Zhou,D.Wang,W.Bao,andY.Wang,"DNNsurgery:AcceleratingDNNinferenceontheedgethroughlayerpartitioning,"IEEETrans.CloudComput.,vol.11,no.3,pp.3111–3125,Jul2023.</w:t>
      </w:r>
    </w:p>
    <w:p w14:paraId="5878C33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P.Yang,F.Liu,W.Wu,N.Zhang,L.Yu,andX.Shen,"Edge-coordinatedqueryconfigurationforlow-latencyandaccuratevideoanalytics,"IEEETrans.Ind.Informat.,vol.16,no.7,pp.4855–4864,Jul2020.</w:t>
      </w:r>
    </w:p>
    <w:p w14:paraId="33356AF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T.Hussain,F.U.M.Ullah,S.U.Khan,A.Ullah,H.Muhammad,S.W.Baik,andV.H.C.deAlbuquerque,"Deeplearningassistssurveillanceexperts:Towardhowdatadrivenproficient,"IEEETrans.,vol.19,no.7,pp.7946–7956,Jul.2023.</w:t>
      </w:r>
    </w:p>
    <w:p w14:paraId="5F2381D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S.Alsoubai,A.K.Dutta,F.Alghaythi,B.H.Alamer,R.M.Pattanayak,J.V.N.Ramesh,andN.S.Mohy,"Designofartificialintelligencedrivencrowddensityanalysisforsustainablesmartcities,"IEEEAccess,vol.12,pp.121983–121993,2024.</w:t>
      </w:r>
    </w:p>
    <w:p w14:paraId="3FB080C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R.Chatterjee,A.Chatterjee,M.R.Pradhan,B.Acharya,andT.Choudhury,"Adeeplearning-basedefficientfirecrackersmonitoringtechniqueforbuildingsecuresmartcities,"IEEEAccess,vol.11,pp.37515–37524,2023.</w:t>
      </w:r>
    </w:p>
    <w:p w14:paraId="30ADBA1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T.Hussain,K.Muhammad,A.Ullah,J.D.Ser,A.H.Gandumi,M.Sajjad,S.W.Baik,andV.H.C.deAlbuquerque,"MultiviewsurveillanceactivityrecognitionmeetsedgecomputinginIoTenvironments,"IEEEInternetThingsJ.,vol.8,no.12,pp.9634–9644,Jun.2021.</w:t>
      </w:r>
    </w:p>
    <w:p w14:paraId="30EEFD8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M.Tahir,Y.Qiao,K.Banwal,B.Lee,andM.Asghar,"Real-timeevent-drivenroadtrafficmonitoringsystemusingCCTVvideoanalytics,"IEEEAccess,vol.11,pp.139097–139111,2023.</w:t>
      </w:r>
    </w:p>
    <w:p w14:paraId="40F8F46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H.SharmaandN.Kanwal,"Videosurveillanceinsmartcities:Currentstatus,challenges,andfuturedirections,"MultimediaToolsAppl.,vol.84,pp.1–46,Jan.2024.</w:t>
      </w:r>
    </w:p>
    <w:p w14:paraId="7592666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N.Azmi,L.M.Kamardin,A.S.Yeon,A.Zakaria,S.M.S.Zakaria,R.Visvanathan,M.F.E.Ahim,X.Mao,M.S.A.Zuhair,andW.-Y.Chung,"Acasestudy:Deploymentofreal-timesmartcitymonitoringusingYOLOv7inSelangorcybervalley,"J.AmbientIntell.HumanizedComput.,vol.15,no.12,pp.3873–3886,Dec.2024.</w:t>
      </w:r>
    </w:p>
    <w:p w14:paraId="440BED1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A.RajandS.D.Shetty,"Smartparkingsystemstechnologies,tools,andchallengesforimplementinginasmartcityenvironment:AsurveybasedonIoT&amp;MLperspective,"J.Int.Learn.Cybern.,vol.15,no.7,pp.2673–2694,Jul.2024.</w:t>
      </w:r>
    </w:p>
    <w:p w14:paraId="2452AFF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B.R.Ardabili,A.D.Pazho,G.A.Noghre,C.Neff,S.D.Bhaskaranarayana,A.Ravindran,S.Reid,andH.Tabibi,"UnderstandingpolicyandtechnicalaspectsofAI-basedsmartvideosurveillancetoaddresspublicsafety,"Comput.Sustain.Cities,vol.3,no.1,p.121,May2023.</w:t>
      </w:r>
    </w:p>
    <w:p w14:paraId="4224345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C.Rong,J.H.Wang,J.Liu,J.Wang,F.Li,andX.Huang,"Schedulingmassivecamerastreamstooptimizelarge-scalelivevideoanalytics,"IEEE/ACMTrans.Netw.,vol.30,no.2,pp.867–880,Apr.2022.</w:t>
      </w:r>
    </w:p>
    <w:p w14:paraId="5AF8FFC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G.Liu,S.Liu,K.Muhammad,A.K.Sangaiah,andF.Doctor,"Objecttrackinginvaryinglightingconditionsforfogbasedintelligentsurveillanceofpublicspaces,"IEEEAccess,vol.6,pp.29285–29296,2018.</w:t>
      </w:r>
    </w:p>
    <w:p w14:paraId="048D33F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A.AslamandE.Baser,"TowardsageneralapproachfordeepneuralnetworkbasedeventcentricprocessingoftheInternetofMultimediaThings,"IEEEAccess,vol.6,pp.25573–25587,2018.</w:t>
      </w:r>
    </w:p>
    <w:p w14:paraId="05FE5416">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Z.Xiao,D.Xia,H.Zheng,B.Y.Zhao,andJ.Jiang,"Towardsperformanceparityofedgevideoanalytics,"inProc.IEEE/ACMSymp.EdgeComput.(SEC),Dec.2021,pp.148–164.</w:t>
      </w:r>
    </w:p>
    <w:p w14:paraId="79E20B0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A.C.Brooks,X.Zhao,andT.N.Pappas,"Structuralsimilaritymetricsinacodingcontext:Exploringthespaceofrealisticdistortions,"IEEETrans.ImageProcess.,vol.17,no.8,pp.1261–1273,Aug.2008,doi:10.1109/TIP.2008.926161.</w:t>
      </w:r>
    </w:p>
    <w:p w14:paraId="56239DC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S.E.F.deAvila,A.P.B.Lopes,A.daLuz,andA.deAlbuquerqueAraújo,"VSUMM:Amechanismdesignedtoproducestaticvideosummariesandanovelevaluationmethod,"PatternRecognit.Lett.,vol.32,no.1,pp.56–68,Jan.2011.</w:t>
      </w:r>
    </w:p>
    <w:p w14:paraId="4DEE7F9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VideoDataset.[Online].VideoProject.Accessed:Jan.16,2025.[Online].Available:</w:t>
      </w:r>
      <w:r>
        <w:rPr>
          <w:rFonts w:hint="default" w:ascii="Times New Roman" w:hAnsi="Times New Roman" w:eastAsia="宋体" w:cs="Times New Roman"/>
          <w:szCs w:val="21"/>
          <w:lang w:val="en-US" w:eastAsia="zh-CN"/>
        </w:rPr>
        <w:fldChar w:fldCharType="begin"/>
      </w:r>
      <w:r>
        <w:rPr>
          <w:rFonts w:hint="default" w:ascii="Times New Roman" w:hAnsi="Times New Roman" w:eastAsia="宋体" w:cs="Times New Roman"/>
          <w:szCs w:val="21"/>
          <w:lang w:val="en-US" w:eastAsia="zh-CN"/>
        </w:rPr>
        <w:instrText xml:space="preserve"> HYPERLINK "https://open-video.org/" \t "_blank" </w:instrText>
      </w:r>
      <w:r>
        <w:rPr>
          <w:rFonts w:hint="default" w:ascii="Times New Roman" w:hAnsi="Times New Roman" w:eastAsia="宋体" w:cs="Times New Roman"/>
          <w:szCs w:val="21"/>
          <w:lang w:val="en-US" w:eastAsia="zh-CN"/>
        </w:rPr>
        <w:fldChar w:fldCharType="separate"/>
      </w:r>
      <w:r>
        <w:rPr>
          <w:rFonts w:hint="default" w:ascii="Times New Roman" w:hAnsi="Times New Roman" w:eastAsia="宋体" w:cs="Times New Roman"/>
          <w:szCs w:val="21"/>
        </w:rPr>
        <w:t>https://open-video.org/</w:t>
      </w:r>
      <w:r>
        <w:rPr>
          <w:rFonts w:hint="default" w:ascii="Times New Roman" w:hAnsi="Times New Roman" w:eastAsia="宋体" w:cs="Times New Roman"/>
          <w:szCs w:val="21"/>
          <w:lang w:val="en-US" w:eastAsia="zh-CN"/>
        </w:rPr>
        <w:fldChar w:fldCharType="end"/>
      </w:r>
      <w:r>
        <w:rPr>
          <w:rFonts w:hint="default" w:ascii="Times New Roman" w:hAnsi="Times New Roman" w:eastAsia="宋体" w:cs="Times New Roman"/>
          <w:szCs w:val="21"/>
          <w:lang w:val="en-US" w:eastAsia="zh-CN"/>
        </w:rPr>
        <w:t>.</w:t>
      </w:r>
    </w:p>
    <w:p w14:paraId="5CDE5EE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Y.Song,J.Vallmitjana,A.Stent,andA.Jaimes,"TVSum:Summarizingwebvideosusingtitles,"inProc.IEEEConf.Comput.Vis.PatternRecognit.(CVPR),Jun.2015,pp.5179–5187.</w:t>
      </w:r>
    </w:p>
    <w:p w14:paraId="2B87493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M.Gygli,H.Grabner,H.Riemenschneider,andL.VanGool,"Creatingsummariesfromuservideos,"inProc.ECCV,Zurich,Switzerland,2014,pp.505–520.</w:t>
      </w:r>
    </w:p>
    <w:p w14:paraId="7391DE0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J.Xu,T.Mei,T.Yao,andY.Rui,"MSR-VTT:Alargevideodescriptiondatasetforbridgingvideoandlanguage,"inProc.IEEEConf.Comput.Vis.PatternRecognit.(CVPR),Jun.2016,pp.5288–5296.</w:t>
      </w:r>
    </w:p>
    <w:p w14:paraId="0AB0A64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F.Yu,H.Chen,X.Wang,W.Xian,Y.Chen,F.Liu,V.Madhavan,andT.Darrell,"BDD100K:Adiversedrivingdatasetforheterogeneousmultitasklearning,"inProc.IEEE/CVFConf.Comput.Vis.PatternRecognit.(CVPR),Jun.2020,pp.2633–2642.</w:t>
      </w:r>
    </w:p>
    <w:p w14:paraId="66A561A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K.K.ReddyandM.Shah,"Recognizing50humanactioncategoriesofwebvideos,"Mach.Vis.Appl.,vol.24,no.5,pp.971–981,Jul.2013.</w:t>
      </w:r>
    </w:p>
    <w:p w14:paraId="3C70982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T.Yuan,X.Zhang,K.Liu,B.Liu,C.Chen,J.Jin,andZ.Jiao,"Towardssurveillancevideoanomalyunderstanding:Newdataset,baselines,andchallenges,"2023,arXiv:2309.13925.</w:t>
      </w:r>
    </w:p>
    <w:p w14:paraId="5CFFF1B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T.-Y.Lin,M.Maire,S.Belongie,J.Hays,P.Perona,D.Ramanan,P.Dollár,andC.L.Zitnick,"MicrosoftCOCO:Commonobjectsincontext,"inProc.ECCV,Zurich,Switz</w:t>
      </w:r>
      <w:bookmarkStart w:id="11" w:name="_GoBack"/>
      <w:bookmarkEnd w:id="11"/>
      <w:r>
        <w:rPr>
          <w:rFonts w:hint="default" w:ascii="Times New Roman" w:hAnsi="Times New Roman" w:eastAsia="宋体" w:cs="Times New Roman"/>
          <w:szCs w:val="21"/>
          <w:lang w:val="en-US" w:eastAsia="zh-CN"/>
        </w:rPr>
        <w:t>erland,2014,pp.740–755.</w:t>
      </w:r>
    </w:p>
    <w:p w14:paraId="3A876531">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A.Geiger,P.Lenz,andR.Urtasun,"Arewereadyforautonomousdriving?TheKITTIvisionbenchmarksuite,"inProc.IEEEConf.Comput.Vis.PatternRecognit.,Jun.2012,pp.3354–3361.</w:t>
      </w:r>
    </w:p>
    <w:p w14:paraId="7528C8E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M.Cordts,M.Omran,S.Ramos,T.Rehfeld,M.Enzweiler,R.Benenson,U.Franke,S.Roth,andB.Schiele,"Thecityscapesdatasetforsemanticurbansceneunderstanding,"inProc.IEEEConf.Comput.Vis.PatternRecognit.(CVPR),Jun.2016,pp.3213–3223.</w:t>
      </w:r>
    </w:p>
    <w:p w14:paraId="1014057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VIRATVideoDataset.Accessed:Jan.16,2025.[Online].Available:</w:t>
      </w:r>
      <w:r>
        <w:rPr>
          <w:rFonts w:hint="default" w:ascii="Times New Roman" w:hAnsi="Times New Roman" w:eastAsia="宋体" w:cs="Times New Roman"/>
          <w:szCs w:val="21"/>
          <w:lang w:val="en-US" w:eastAsia="zh-CN"/>
        </w:rPr>
        <w:fldChar w:fldCharType="begin"/>
      </w:r>
      <w:r>
        <w:rPr>
          <w:rFonts w:hint="default" w:ascii="Times New Roman" w:hAnsi="Times New Roman" w:eastAsia="宋体" w:cs="Times New Roman"/>
          <w:szCs w:val="21"/>
          <w:lang w:val="en-US" w:eastAsia="zh-CN"/>
        </w:rPr>
        <w:instrText xml:space="preserve"> HYPERLINK "http://viratdata.org/" \t "_blank" </w:instrText>
      </w:r>
      <w:r>
        <w:rPr>
          <w:rFonts w:hint="default" w:ascii="Times New Roman" w:hAnsi="Times New Roman" w:eastAsia="宋体" w:cs="Times New Roman"/>
          <w:szCs w:val="21"/>
          <w:lang w:val="en-US" w:eastAsia="zh-CN"/>
        </w:rPr>
        <w:fldChar w:fldCharType="separate"/>
      </w:r>
      <w:r>
        <w:rPr>
          <w:rFonts w:hint="default" w:ascii="Times New Roman" w:hAnsi="Times New Roman" w:eastAsia="宋体" w:cs="Times New Roman"/>
          <w:szCs w:val="21"/>
        </w:rPr>
        <w:t>http://viratdata.org/</w:t>
      </w:r>
      <w:r>
        <w:rPr>
          <w:rFonts w:hint="default" w:ascii="Times New Roman" w:hAnsi="Times New Roman" w:eastAsia="宋体" w:cs="Times New Roman"/>
          <w:szCs w:val="21"/>
          <w:lang w:val="en-US" w:eastAsia="zh-CN"/>
        </w:rPr>
        <w:fldChar w:fldCharType="end"/>
      </w:r>
      <w:r>
        <w:rPr>
          <w:rFonts w:hint="default" w:ascii="Times New Roman" w:hAnsi="Times New Roman" w:eastAsia="宋体" w:cs="Times New Roman"/>
          <w:szCs w:val="21"/>
          <w:lang w:val="en-US" w:eastAsia="zh-CN"/>
        </w:rPr>
        <w:t>.</w:t>
      </w:r>
    </w:p>
    <w:p w14:paraId="305FFA4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M.Wang,W.Li,andX.Wang,"Transferringagenericpedestriandetectortowardsspecificscenes,"inProc.IEEEConf.Comput.Vis.PatternRecognit.(CVPR),Providence,RI,USA,Jun.2012,pp.3274–3281,doi:10.1109/CVPR.2012.6248046.</w:t>
      </w:r>
    </w:p>
    <w:p w14:paraId="6558CDA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TAODataset.Accessed:Jan.16,2025.[Online].Available:</w:t>
      </w:r>
      <w:r>
        <w:rPr>
          <w:rFonts w:hint="default" w:ascii="Times New Roman" w:hAnsi="Times New Roman" w:eastAsia="宋体" w:cs="Times New Roman"/>
          <w:szCs w:val="21"/>
          <w:lang w:val="en-US" w:eastAsia="zh-CN"/>
        </w:rPr>
        <w:fldChar w:fldCharType="begin"/>
      </w:r>
      <w:r>
        <w:rPr>
          <w:rFonts w:hint="default" w:ascii="Times New Roman" w:hAnsi="Times New Roman" w:eastAsia="宋体" w:cs="Times New Roman"/>
          <w:szCs w:val="21"/>
          <w:lang w:val="en-US" w:eastAsia="zh-CN"/>
        </w:rPr>
        <w:instrText xml:space="preserve"> HYPERLINK "https://taodataset.org/" \t "_blank" </w:instrText>
      </w:r>
      <w:r>
        <w:rPr>
          <w:rFonts w:hint="default" w:ascii="Times New Roman" w:hAnsi="Times New Roman" w:eastAsia="宋体" w:cs="Times New Roman"/>
          <w:szCs w:val="21"/>
          <w:lang w:val="en-US" w:eastAsia="zh-CN"/>
        </w:rPr>
        <w:fldChar w:fldCharType="separate"/>
      </w:r>
      <w:r>
        <w:rPr>
          <w:rFonts w:hint="default" w:ascii="Times New Roman" w:hAnsi="Times New Roman" w:eastAsia="宋体" w:cs="Times New Roman"/>
          <w:szCs w:val="21"/>
        </w:rPr>
        <w:t>https://taodataset.org/</w:t>
      </w:r>
      <w:r>
        <w:rPr>
          <w:rFonts w:hint="default" w:ascii="Times New Roman" w:hAnsi="Times New Roman" w:eastAsia="宋体" w:cs="Times New Roman"/>
          <w:szCs w:val="21"/>
          <w:lang w:val="en-US" w:eastAsia="zh-CN"/>
        </w:rPr>
        <w:fldChar w:fldCharType="end"/>
      </w:r>
      <w:r>
        <w:rPr>
          <w:rFonts w:hint="default" w:ascii="Times New Roman" w:hAnsi="Times New Roman" w:eastAsia="宋体" w:cs="Times New Roman"/>
          <w:szCs w:val="21"/>
          <w:lang w:val="en-US" w:eastAsia="zh-CN"/>
        </w:rPr>
        <w:t>.</w:t>
      </w:r>
    </w:p>
    <w:p w14:paraId="69F17B0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Y.Zhang,D.Zhou,S.Chen,S.Gao,andY.Ma,"Single-imagecrowdcountingviamulti-columnconvolutionalneuralnetwork,"inProc.IEEEConf.Comput.Vis.PatternRecognit.(CVPR),Jun.2016,pp.589–597.</w:t>
      </w:r>
    </w:p>
    <w:p w14:paraId="54FBA09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C.L.Loy,S.Gong,andT.Xiang,"Fromsemi-supervisedtotransfercountingofcrowds,"inProc.IEEEInt.Conf.Comput.Vis.,Dec.2013,pp.2256–2263.</w:t>
      </w:r>
    </w:p>
    <w:p w14:paraId="0062222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L.Kezebou,V.Oludare,K.Panetta,J.Intriligator,andS.Agaian,"Highwayaccidentdetectionandclassificationfromlivetrafficsurveillancecameras:Acomprehensivedatasetandvideoactionrecognitionbenchmark,"Proc.SPIE,vol.12100,pp.240–250,May2022,doi:10.1117/12.2618943.</w:t>
      </w:r>
    </w:p>
    <w:p w14:paraId="4F4DB9F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M.M.Soliman,M.H.Kamal,M.A.El-MassihNashed,Y.M.Mostafa,B.S.Chawky,andD.Khattab,"Violencerecognitionfromvideosusingdeeplearningtechniques,"inProc.9thInt.Conf.Intell.Comput.Inf.Syst.(ICICIS),Dec.2019,pp.80–85.</w:t>
      </w:r>
    </w:p>
    <w:p w14:paraId="417A4EA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J.P.Jokinen,A.G.Bilodeau,andN.Saunier,"Urbantracker:Multipleobjecttrackinginurbanmixedtraffic,"inProc.IEEEWinterConf.Appl.Comput.Vis.(WACV),Mar.2014,pp.885–892.</w:t>
      </w:r>
    </w:p>
    <w:p w14:paraId="0811F45B">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T.Aremu,Z.Li,R.Alameeri,M.Khan,andA.E.Saddik,"SSIVD-Net:Anovelsalientsuperimageclassificationanddetectiontechniqueforweaponizedviolence,"inProc.Int.Sci.Inf.Conf.,Cham,Switzerland,Jun.2024,pp.16–35.</w:t>
      </w:r>
    </w:p>
    <w:p w14:paraId="40EA51AC">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5" w:leftChars="0" w:hanging="425" w:firstLineChars="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A.B.ChanandN.Vasconcelos,"Probabilistickernelsfortheclassificationofauto-regressivevisualprocesses,"inProc.IEEEComput.Soc.Conf.Comput.Vis.PatternRecognit.(CVPR),Jun.2005,pp.846–851.</w:t>
      </w:r>
    </w:p>
    <w:p w14:paraId="7A9F9FF6">
      <w:pPr>
        <w:spacing w:line="400" w:lineRule="exact"/>
        <w:jc w:val="both"/>
        <w:rPr>
          <w:rFonts w:hint="default" w:ascii="Times New Roman" w:hAnsi="Times New Roman" w:eastAsia="宋体" w:cs="Times New Roman"/>
          <w:bCs/>
          <w:iCs/>
          <w:sz w:val="24"/>
          <w:lang w:val="en-US" w:eastAsia="zh-CN"/>
        </w:rPr>
      </w:pPr>
    </w:p>
    <w:p w14:paraId="27BE0DB2">
      <w:pPr>
        <w:spacing w:line="240" w:lineRule="auto"/>
        <w:jc w:val="left"/>
        <w:rPr>
          <w:rFonts w:hint="default" w:ascii="Times New Roman" w:hAnsi="Times New Roman" w:eastAsia="宋体" w:cs="Times New Roman"/>
          <w:spacing w:val="5"/>
          <w:sz w:val="17"/>
          <w:szCs w:val="17"/>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7DA4">
    <w:pPr>
      <w:pStyle w:val="5"/>
      <w:jc w:val="center"/>
      <w:rPr>
        <w:rFonts w:ascii="Times New Roman" w:hAnsi="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EBC58">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E9D">
    <w:pPr>
      <w:pStyle w:val="5"/>
      <w:jc w:val="center"/>
      <w:rPr>
        <w:rFonts w:ascii="Times New Roman" w:hAnsi="Times New Roman"/>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5E6DB40">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14:paraId="15E6DB40">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82DE9">
    <w:pPr>
      <w:pStyle w:val="5"/>
      <w:jc w:val="center"/>
      <w:rPr>
        <w:rFonts w:ascii="Times New Roman" w:hAnsi="Times New Roman"/>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952F8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3AXVb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cBdVt0CAAAmBgAADgAAAAAAAAABACAAAAAfAQAAZHJzL2Uyb0RvYy54bWxQSwUG&#10;AAAAAAYABgBZAQAAbgYAAAAA&#10;">
              <v:fill on="f" focussize="0,0"/>
              <v:stroke on="f" weight="0.5pt"/>
              <v:imagedata o:title=""/>
              <o:lock v:ext="edit" aspectratio="f"/>
              <v:textbox inset="0mm,0mm,0mm,0mm" style="mso-fit-shape-to-text:t;">
                <w:txbxContent>
                  <w:p w14:paraId="3E952F8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C3E77">
    <w:pPr>
      <w:pStyle w:val="6"/>
      <w:jc w:val="center"/>
      <w:rPr>
        <w:sz w:val="21"/>
        <w:szCs w:val="21"/>
      </w:rPr>
    </w:pPr>
    <w:r>
      <w:rPr>
        <w:rFonts w:hint="eastAsia"/>
        <w:sz w:val="21"/>
        <w:szCs w:val="21"/>
      </w:rPr>
      <w:t>天津科技大学外文资料翻译</w:t>
    </w:r>
  </w:p>
  <w:p w14:paraId="00D549D1">
    <w:pPr>
      <w:pStyle w:val="6"/>
      <w:jc w:val="center"/>
      <w:rPr>
        <w:sz w:val="21"/>
        <w:szCs w:val="21"/>
      </w:rPr>
    </w:pPr>
    <w:r>
      <mc:AlternateContent>
        <mc:Choice Requires="wps">
          <w:drawing>
            <wp:anchor distT="0" distB="0" distL="114300" distR="114300" simplePos="0" relativeHeight="251659264" behindDoc="1" locked="0" layoutInCell="1" allowOverlap="1">
              <wp:simplePos x="0" y="0"/>
              <wp:positionH relativeFrom="page">
                <wp:posOffset>1241425</wp:posOffset>
              </wp:positionH>
              <wp:positionV relativeFrom="page">
                <wp:posOffset>725805</wp:posOffset>
              </wp:positionV>
              <wp:extent cx="5100320" cy="508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5100320" cy="5080"/>
                      </a:xfrm>
                      <a:prstGeom prst="line">
                        <a:avLst/>
                      </a:prstGeom>
                      <a:ln w="9144"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flip:y;margin-left:97.75pt;margin-top:57.15pt;height:0.4pt;width:401.6pt;mso-position-horizontal-relative:page;mso-position-vertical-relative:page;z-index:-251657216;mso-width-relative:page;mso-height-relative:page;" filled="f" stroked="t" coordsize="21600,21600" o:gfxdata="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v3A37XAAAACwEAAA8AAAAAAAAAAQAgAAAAIgAAAGRycy9kb3ducmV2&#10;LnhtbFBLAQIUABQAAAAIAIdO4kAU/1QI/QEAAPMDAAAOAAAAAAAAAAEAIAAAACYBAABkcnMvZTJv&#10;RG9jLnhtbFBLBQYAAAAABgAGAFkBAACVBQAAAAA=&#10;">
              <v:fill on="f" focussize="0,0"/>
              <v:stroke weight="0.72pt" color="#000000"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C58D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BED5C"/>
    <w:multiLevelType w:val="singleLevel"/>
    <w:tmpl w:val="1FBBED5C"/>
    <w:lvl w:ilvl="0" w:tentative="0">
      <w:start w:val="1"/>
      <w:numFmt w:val="decimal"/>
      <w:lvlText w:val="[%1] "/>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FmOTQ0NjVjNzQ1YTc3ODdmMDQ2NWE2MTYyZTMxODcifQ=="/>
  </w:docVars>
  <w:rsids>
    <w:rsidRoot w:val="18046BBE"/>
    <w:rsid w:val="00050775"/>
    <w:rsid w:val="000E5857"/>
    <w:rsid w:val="00114E5D"/>
    <w:rsid w:val="001302DA"/>
    <w:rsid w:val="001A51A7"/>
    <w:rsid w:val="002011A3"/>
    <w:rsid w:val="00214EF7"/>
    <w:rsid w:val="00277F62"/>
    <w:rsid w:val="00310A0D"/>
    <w:rsid w:val="003211AA"/>
    <w:rsid w:val="003F0F68"/>
    <w:rsid w:val="0048269E"/>
    <w:rsid w:val="005006F3"/>
    <w:rsid w:val="005123AA"/>
    <w:rsid w:val="005212C1"/>
    <w:rsid w:val="005379FE"/>
    <w:rsid w:val="00560454"/>
    <w:rsid w:val="00591003"/>
    <w:rsid w:val="00632CE4"/>
    <w:rsid w:val="006B6BD3"/>
    <w:rsid w:val="00733D46"/>
    <w:rsid w:val="007846B9"/>
    <w:rsid w:val="00887662"/>
    <w:rsid w:val="008932C3"/>
    <w:rsid w:val="00961AB5"/>
    <w:rsid w:val="00982995"/>
    <w:rsid w:val="009E5B3C"/>
    <w:rsid w:val="009F46E7"/>
    <w:rsid w:val="00AD6216"/>
    <w:rsid w:val="00AF7488"/>
    <w:rsid w:val="00C621A8"/>
    <w:rsid w:val="00CC4260"/>
    <w:rsid w:val="00D613E0"/>
    <w:rsid w:val="00DE7E37"/>
    <w:rsid w:val="00F20C8D"/>
    <w:rsid w:val="00F41194"/>
    <w:rsid w:val="00F84AE4"/>
    <w:rsid w:val="0167398B"/>
    <w:rsid w:val="028F07CD"/>
    <w:rsid w:val="0C746EAB"/>
    <w:rsid w:val="0DFE11D3"/>
    <w:rsid w:val="108B0D18"/>
    <w:rsid w:val="13F452A2"/>
    <w:rsid w:val="1730169D"/>
    <w:rsid w:val="18046BBE"/>
    <w:rsid w:val="18826F52"/>
    <w:rsid w:val="18DF2B6A"/>
    <w:rsid w:val="19235F91"/>
    <w:rsid w:val="1ADD6434"/>
    <w:rsid w:val="1BBA6636"/>
    <w:rsid w:val="1FD32700"/>
    <w:rsid w:val="24407E6C"/>
    <w:rsid w:val="247022A7"/>
    <w:rsid w:val="25677D1E"/>
    <w:rsid w:val="26210D6B"/>
    <w:rsid w:val="26645028"/>
    <w:rsid w:val="26DE4C72"/>
    <w:rsid w:val="30534F57"/>
    <w:rsid w:val="30FD381E"/>
    <w:rsid w:val="32F64B55"/>
    <w:rsid w:val="38F0441B"/>
    <w:rsid w:val="3AB00F11"/>
    <w:rsid w:val="41CF2738"/>
    <w:rsid w:val="44B37CF9"/>
    <w:rsid w:val="453B0C21"/>
    <w:rsid w:val="45FD7C1E"/>
    <w:rsid w:val="474B300D"/>
    <w:rsid w:val="4C4D2043"/>
    <w:rsid w:val="50254AD8"/>
    <w:rsid w:val="505F4DFA"/>
    <w:rsid w:val="52BA3F87"/>
    <w:rsid w:val="5CBD3041"/>
    <w:rsid w:val="5CCC3817"/>
    <w:rsid w:val="5EE230F8"/>
    <w:rsid w:val="5F1D3882"/>
    <w:rsid w:val="5F4678B1"/>
    <w:rsid w:val="61DE0274"/>
    <w:rsid w:val="6256605D"/>
    <w:rsid w:val="62CD10CE"/>
    <w:rsid w:val="64FC400C"/>
    <w:rsid w:val="65882DCF"/>
    <w:rsid w:val="66F67E0E"/>
    <w:rsid w:val="670D7347"/>
    <w:rsid w:val="7539276E"/>
    <w:rsid w:val="766528BB"/>
    <w:rsid w:val="786B5207"/>
    <w:rsid w:val="797F0137"/>
    <w:rsid w:val="7B2E5B8B"/>
    <w:rsid w:val="7E2C7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13"/>
    <w:autoRedefine/>
    <w:qFormat/>
    <w:uiPriority w:val="9"/>
    <w:pPr>
      <w:widowControl/>
      <w:spacing w:before="0" w:after="65" w:line="259" w:lineRule="auto"/>
      <w:ind w:left="95" w:right="635" w:hanging="10"/>
      <w:jc w:val="left"/>
      <w:outlineLvl w:val="0"/>
    </w:pPr>
    <w:rPr>
      <w:rFonts w:ascii="Times New Roman" w:hAnsi="Times New Roman" w:eastAsia="宋体" w:cs="Times New Roman"/>
      <w:bCs w:val="0"/>
      <w:color w:val="000000"/>
      <w:sz w:val="24"/>
      <w:szCs w:val="22"/>
    </w:rPr>
  </w:style>
  <w:style w:type="paragraph" w:styleId="3">
    <w:name w:val="heading 2"/>
    <w:basedOn w:val="1"/>
    <w:next w:val="1"/>
    <w:link w:val="14"/>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13"/>
      <w:szCs w:val="13"/>
      <w:lang w:val="en-US" w:eastAsia="en-US" w:bidi="ar-SA"/>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0"/>
    <w:rPr>
      <w:i/>
      <w:iCs/>
    </w:rPr>
  </w:style>
  <w:style w:type="character" w:styleId="11">
    <w:name w:val="Hyperlink"/>
    <w:basedOn w:val="9"/>
    <w:uiPriority w:val="0"/>
    <w:rPr>
      <w:color w:val="0000FF"/>
      <w:u w:val="single"/>
    </w:rPr>
  </w:style>
  <w:style w:type="character" w:styleId="12">
    <w:name w:val="Placeholder Text"/>
    <w:basedOn w:val="9"/>
    <w:autoRedefine/>
    <w:unhideWhenUsed/>
    <w:qFormat/>
    <w:uiPriority w:val="99"/>
    <w:rPr>
      <w:color w:val="666666"/>
    </w:rPr>
  </w:style>
  <w:style w:type="character" w:customStyle="1" w:styleId="13">
    <w:name w:val="标题 1 字符"/>
    <w:basedOn w:val="9"/>
    <w:link w:val="2"/>
    <w:qFormat/>
    <w:uiPriority w:val="9"/>
    <w:rPr>
      <w:b/>
      <w:color w:val="000000"/>
      <w:kern w:val="2"/>
      <w:sz w:val="24"/>
      <w:szCs w:val="22"/>
    </w:rPr>
  </w:style>
  <w:style w:type="character" w:customStyle="1" w:styleId="14">
    <w:name w:val="标题 2 字符"/>
    <w:basedOn w:val="9"/>
    <w:link w:val="3"/>
    <w:autoRedefine/>
    <w:qFormat/>
    <w:uiPriority w:val="0"/>
    <w:rPr>
      <w:rFonts w:asciiTheme="majorHAnsi" w:hAnsiTheme="majorHAnsi" w:eastAsiaTheme="majorEastAsia" w:cstheme="majorBidi"/>
      <w:b/>
      <w:bCs/>
      <w:kern w:val="2"/>
      <w:sz w:val="32"/>
      <w:szCs w:val="32"/>
    </w:rPr>
  </w:style>
  <w:style w:type="paragraph" w:customStyle="1" w:styleId="15">
    <w:name w:val="Table Text"/>
    <w:basedOn w:val="1"/>
    <w:semiHidden/>
    <w:qFormat/>
    <w:uiPriority w:val="0"/>
    <w:rPr>
      <w:rFonts w:ascii="宋体" w:hAnsi="宋体" w:eastAsia="宋体" w:cs="宋体"/>
      <w:sz w:val="9"/>
      <w:szCs w:val="9"/>
      <w:lang w:val="en-US" w:eastAsia="en-US" w:bidi="ar-SA"/>
    </w:rPr>
  </w:style>
  <w:style w:type="table" w:customStyle="1" w:styleId="1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5776</Words>
  <Characters>5961</Characters>
  <Lines>322</Lines>
  <Paragraphs>102</Paragraphs>
  <TotalTime>13</TotalTime>
  <ScaleCrop>false</ScaleCrop>
  <LinksUpToDate>false</LinksUpToDate>
  <CharactersWithSpaces>6006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2024-03-15T05:54:00Z</dcterms:created>
  <dc:creator>Petrichor</dc:creator>
  <cp:lastModifiedBy>小熠</cp:lastModifiedBy>
  <cp:lastPrinted>2024-04-03T14:37:00Z</cp:lastPrinted>
  <dcterms:modified xsi:type="dcterms:W3CDTF">2026-03-19T07:05:04Z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6DADFC61BD74452EA93F1F2E14E3C433_13</vt:lpwstr>
  </property>
  <property fmtid="{D5CDD505-2E9C-101B-9397-08002B2CF9AE}" pid="4" name="KSOTemplateDocerSaveRecord">
    <vt:lpwstr>eyJoZGlkIjoiMWY0MzMwZmE1ZGU4Mzg1OGZmNGU2NjNmODI5NTc1ZWQiLCJ1c2VySWQiOiIxMTQyODQ2Nzc0In0=</vt:lpwstr>
  </property>
</Properties>
</file>