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Hiragino Sans GB" w:hAnsi="Hiragino Sans GB" w:eastAsia="Hiragino Sans GB"/>
          <w:b/>
          <w:color w:val="0B2545"/>
          <w:sz w:val="44"/>
        </w:rPr>
        <w:t>四只股票技术分析与操作建议报告</w:t>
      </w:r>
    </w:p>
    <w:p>
      <w:pPr>
        <w:spacing w:after="240"/>
      </w:pPr>
      <w:r>
        <w:rPr>
          <w:rFonts w:ascii="Hiragino Sans GB" w:hAnsi="Hiragino Sans GB" w:eastAsia="Hiragino Sans GB"/>
          <w:b w:val="0"/>
          <w:color w:val="5B6573"/>
          <w:sz w:val="21"/>
        </w:rPr>
        <w:t>盛弘股份（300693）｜震裕科技（300953）｜达利凯普（301566）｜旭光电子（600353）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数据口径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以 2026-08-11 收盘后腾讯行情快照为准；指标、价位均按该口径整理。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市场背景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上证 -0.82%、深成指 -0.40%、创业板 +0.34%。属于局部强势与快速轮动，单日拉升不等同于大级别趋势反转。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框架依据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情绪、筹码、时间 + 月线/日线/60分钟三周期；顺大势、逆小势，不以题材叙事替代价格与量能确认。</w:t>
            </w:r>
          </w:p>
        </w:tc>
      </w:tr>
    </w:tbl>
    <w:p>
      <w:pPr>
        <w:pStyle w:val="Heading1"/>
        <w:keepNext/>
      </w:pPr>
      <w:r>
        <w:t>一、执行摘要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40" w:after="40" w:line="259" w:lineRule="auto"/>
            </w:pPr>
            <w:r>
              <w:rPr>
                <w:rFonts w:ascii="Hiragino Sans GB" w:hAnsi="Hiragino Sans GB" w:eastAsia="Hiragino Sans GB"/>
                <w:b/>
                <w:color w:val="7A5A00"/>
                <w:sz w:val="21"/>
              </w:rPr>
              <w:t xml:space="preserve">总判断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四只都出现强反弹，但没有一只完成“周线/MA60趋势确认 + 日线承接 + 60分钟买点”三项闭环。明日的优先事项是验证回踩承接，不是在强拉日后的高位追买。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600"/>
        <w:gridCol w:w="1350"/>
        <w:gridCol w:w="1350"/>
        <w:gridCol w:w="27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标的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当前形态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关键防守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上方压力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操作结论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300693</w:t>
              <w:br/>
              <w:t>盛弘股份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放量突破后偏离过大</w:t>
              <w:br/>
              <w:t>强修复，未完成MA60确认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41.73</w:t>
              <w:br/>
              <w:t>39.84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44.14</w:t>
              <w:br/>
              <w:t>45.70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不追高；等回踩缩量确认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300953</w:t>
              <w:br/>
              <w:t>震裕科技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弱势大周期中的修复反弹</w:t>
              <w:br/>
              <w:t>观察优先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102.17</w:t>
              <w:br/>
              <w:t>97.00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107.36</w:t>
              <w:br/>
              <w:t>116.17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四只中更适合等回踩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301566</w:t>
              <w:br/>
              <w:t>达利凯普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高换手强拉、短线过热</w:t>
              <w:br/>
              <w:t>筹码稳定性最弱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26.46</w:t>
              <w:br/>
              <w:t>25.19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29.88</w:t>
              <w:br/>
              <w:t>30.08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高风险；不接加速段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600353</w:t>
              <w:br/>
              <w:t>旭光电子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弱化520金叉</w:t>
              <w:br/>
              <w:t>中期修复而非主升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27.32</w:t>
              <w:br/>
              <w:t>26.88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30.03</w:t>
              <w:br/>
              <w:t>31.68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仅观察后续确认，不追涨</w:t>
            </w:r>
          </w:p>
        </w:tc>
      </w:tr>
    </w:tbl>
    <w:p>
      <w:pPr>
        <w:spacing w:after="0"/>
      </w:pPr>
    </w:p>
    <w:p>
      <w:pPr>
        <w:spacing w:before="0" w:after="160" w:line="269" w:lineRule="auto"/>
      </w:pPr>
      <w:r>
        <w:rPr>
          <w:rFonts w:ascii="Hiragino Sans GB" w:hAnsi="Hiragino Sans GB" w:eastAsia="Hiragino Sans GB"/>
          <w:b w:val="0"/>
          <w:color w:val="0B2545"/>
          <w:sz w:val="21"/>
        </w:rPr>
        <w:t>排序不是开仓指令：300953适合观察回踩修复；600353等待弱化520的后续确认；300693、301566只适合已有仓位做防守管理。任何新增必须同时满足板块持续性、量能不衰竭、60分钟不再破低和回踩后重新破前高。</w:t>
      </w:r>
    </w:p>
    <w:p>
      <w:pPr>
        <w:pStyle w:val="Heading1"/>
        <w:keepNext/>
      </w:pPr>
      <w:r>
        <w:t>二、统一策略纪律</w:t>
      </w:r>
    </w:p>
    <w:p>
      <w:pPr>
        <w:pStyle w:val="ListBullet"/>
        <w:spacing w:before="0" w:after="60" w:line="269" w:lineRule="auto"/>
      </w:pPr>
      <w:r>
        <w:rPr>
          <w:rFonts w:ascii="Hiragino Sans GB" w:hAnsi="Hiragino Sans GB" w:eastAsia="Hiragino Sans GB"/>
          <w:b w:val="0"/>
          <w:color w:val="0B2545"/>
          <w:sz w:val="20"/>
        </w:rPr>
        <w:t>情绪：当指数弱、热点快速轮动时，题材强度只能决定观察优先级，不能直接生成买点。</w:t>
      </w:r>
    </w:p>
    <w:p>
      <w:pPr>
        <w:pStyle w:val="ListBullet"/>
        <w:spacing w:before="0" w:after="60" w:line="269" w:lineRule="auto"/>
      </w:pPr>
      <w:r>
        <w:rPr>
          <w:rFonts w:ascii="Hiragino Sans GB" w:hAnsi="Hiragino Sans GB" w:eastAsia="Hiragino Sans GB"/>
          <w:b w:val="0"/>
          <w:color w:val="0B2545"/>
          <w:sz w:val="20"/>
        </w:rPr>
        <w:t>筹码：放量阳线后的高换手，先看作筹码交换；次日若放量跌破关键价位且不能修复，不用“洗盘”解释。</w:t>
      </w:r>
    </w:p>
    <w:p>
      <w:pPr>
        <w:pStyle w:val="ListBullet"/>
        <w:spacing w:before="0" w:after="60" w:line="269" w:lineRule="auto"/>
      </w:pPr>
      <w:r>
        <w:rPr>
          <w:rFonts w:ascii="Hiragino Sans GB" w:hAnsi="Hiragino Sans GB" w:eastAsia="Hiragino Sans GB"/>
          <w:b w:val="0"/>
          <w:color w:val="0B2545"/>
          <w:sz w:val="20"/>
        </w:rPr>
        <w:t>时间：慢J高位只提高承接门槛；不因高J机械卖出，也不因MACD金叉在零轴下就追涨。</w:t>
      </w:r>
    </w:p>
    <w:p>
      <w:pPr>
        <w:pStyle w:val="ListBullet"/>
        <w:spacing w:before="0" w:after="60" w:line="269" w:lineRule="auto"/>
      </w:pPr>
      <w:r>
        <w:rPr>
          <w:rFonts w:ascii="Hiragino Sans GB" w:hAnsi="Hiragino Sans GB" w:eastAsia="Hiragino Sans GB"/>
          <w:b w:val="0"/>
          <w:color w:val="0B2545"/>
          <w:sz w:val="20"/>
        </w:rPr>
        <w:t>三周期：月线决定是否具备大趋势，日线决定结构是否修复，60分钟负责真正的执行点。任一环未过，只能观察或轻仓试错。</w:t>
      </w:r>
    </w:p>
    <w:p>
      <w:pPr>
        <w:pStyle w:val="ListBullet"/>
        <w:spacing w:before="0" w:after="60" w:line="269" w:lineRule="auto"/>
      </w:pPr>
      <w:r>
        <w:rPr>
          <w:rFonts w:ascii="Hiragino Sans GB" w:hAnsi="Hiragino Sans GB" w:eastAsia="Hiragino Sans GB"/>
          <w:b w:val="0"/>
          <w:color w:val="0B2545"/>
          <w:sz w:val="20"/>
        </w:rPr>
        <w:t>执行：新增仓位必须等“回踩承接后再突破”，而不是开盘冲高、偏离VWAP或首次触及压力位时追入。</w:t>
      </w:r>
    </w:p>
    <w:p>
      <w:pPr>
        <w:pStyle w:val="Heading1"/>
        <w:keepNext/>
      </w:pPr>
      <w:r>
        <w:t>三、300693 盛弘股份｜强修复，爆发后先看承接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形态判断：</w:t>
      </w:r>
      <w:r>
        <w:rPr>
          <w:rFonts w:ascii="Hiragino Sans GB" w:hAnsi="Hiragino Sans GB" w:eastAsia="Hiragino Sans GB"/>
          <w:b w:val="0"/>
          <w:color w:val="0B2545"/>
          <w:sz w:val="21"/>
        </w:rPr>
        <w:t>收盘43.87，上涨12.92%，换手15.44%，成交量约为近20日3.47倍。MA5/MA20转强，但仍略低于MA60 43.92；MACD金叉位于零轴下，60日收益仍为负。策略上定义为“520后第4日确认”的强修复，而不是标准趋势主升。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情绪与筹码：</w:t>
      </w:r>
      <w:r>
        <w:rPr>
          <w:rFonts w:ascii="Hiragino Sans GB" w:hAnsi="Hiragino Sans GB" w:eastAsia="Hiragino Sans GB"/>
          <w:b w:val="0"/>
          <w:color w:val="0B2545"/>
          <w:sz w:val="21"/>
        </w:rPr>
        <w:t>超充、储能出海和算力电源给了情绪催化，但市场当日属于局部强势。公司已有减持计划带来的潜在供给扰动，必须由价格和量能决定是否持续。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三周期：</w:t>
      </w:r>
      <w:r>
        <w:rPr>
          <w:rFonts w:ascii="Hiragino Sans GB" w:hAnsi="Hiragino Sans GB" w:eastAsia="Hiragino Sans GB"/>
          <w:b w:val="0"/>
          <w:color w:val="0B2545"/>
          <w:sz w:val="21"/>
        </w:rPr>
        <w:t>月线/中周期尚未得到趋势反转确认；日线突破强，但收盘接近MA60与44.14高点压力；60分钟只用于明日确认回踩后是否重获主动，不能据当天大阳直接追。</w:t>
      </w:r>
    </w:p>
    <w:p>
      <w:pPr>
        <w:pStyle w:val="Heading2"/>
        <w:keepNext/>
      </w:pPr>
      <w:r>
        <w:t>情景化执行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策略动作</w:t>
            </w:r>
          </w:p>
        </w:tc>
      </w:tr>
      <w:tr>
        <w:tc>
          <w:tcPr>
            <w:tcW w:type="dxa" w:w="1700"/>
            <w:shd w:fill="FFF4D6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空仓等待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不在44附近追；回踩41.73-39.84区间时，量能应明显回落并出现止跌。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仅在回踩承接后重新接近或突破日内高点时评估；否则继续等。</w:t>
            </w:r>
          </w:p>
        </w:tc>
      </w:tr>
      <w:tr>
        <w:tc>
          <w:tcPr>
            <w:tcW w:type="dxa" w:w="1700"/>
            <w:shd w:fill="FCE8E6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已有持仓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盘中失守41.73且反抽不能收回。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降低风险；日线跌破39.84，视为本轮突破结构基本失效。</w:t>
            </w:r>
          </w:p>
        </w:tc>
      </w:tr>
      <w:tr>
        <w:tc>
          <w:tcPr>
            <w:tcW w:type="dxa" w:w="1700"/>
            <w:shd w:fill="EAF4EA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转强确认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回踩不破关键带，随后重新放量站上44.14。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转强后仍以分段跟随为主，不用单笔追满。</w:t>
            </w:r>
          </w:p>
        </w:tc>
      </w:tr>
    </w:tbl>
    <w:p>
      <w:pPr>
        <w:spacing w:after="0"/>
      </w:pPr>
    </w:p>
    <w:p>
      <w:pPr>
        <w:spacing w:before="0" w:after="140" w:line="269" w:lineRule="auto"/>
      </w:pPr>
      <w:r>
        <w:rPr>
          <w:rFonts w:ascii="Hiragino Sans GB" w:hAnsi="Hiragino Sans GB" w:eastAsia="Hiragino Sans GB"/>
          <w:b w:val="0"/>
          <w:color w:val="5B6573"/>
          <w:sz w:val="17"/>
        </w:rPr>
        <w:t>参考：盛弘股份年报与业务、减持计划报道。https://stock.10jqka.com.cn/20260410/c675888814.shtml  https://stock.10jqka.com.cn/20260511/c676582526.shtml</w:t>
      </w:r>
    </w:p>
    <w:p>
      <w:pPr>
        <w:pStyle w:val="Heading1"/>
        <w:keepNext/>
      </w:pPr>
      <w:r>
        <w:t>四、300953 震裕科技｜弱势大周期中的修复反弹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形态判断：</w:t>
      </w:r>
      <w:r>
        <w:rPr>
          <w:rFonts w:ascii="Hiragino Sans GB" w:hAnsi="Hiragino Sans GB" w:eastAsia="Hiragino Sans GB"/>
          <w:b w:val="0"/>
          <w:color w:val="0B2545"/>
          <w:sz w:val="21"/>
        </w:rPr>
        <w:t>收盘105.68，上涨5.00%；MA5 102.17、MA20 97.00，MACD修复较强，但仍显著低于MA60 128.73。上方先后面临107.36和116.17两层压力，因此不是已经反转。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情绪与筹码：</w:t>
      </w:r>
      <w:r>
        <w:rPr>
          <w:rFonts w:ascii="Hiragino Sans GB" w:hAnsi="Hiragino Sans GB" w:eastAsia="Hiragino Sans GB"/>
          <w:b w:val="0"/>
          <w:color w:val="0B2545"/>
          <w:sz w:val="21"/>
        </w:rPr>
        <w:t>机器人产业链预期可维持关注度，但主题预期不能代替确认。相对另外三只，它更适合用“回踩确认”方式观察，而不是抢首日突破。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三周期：</w:t>
      </w:r>
      <w:r>
        <w:rPr>
          <w:rFonts w:ascii="Hiragino Sans GB" w:hAnsi="Hiragino Sans GB" w:eastAsia="Hiragino Sans GB"/>
          <w:b w:val="0"/>
          <w:color w:val="0B2545"/>
          <w:sz w:val="21"/>
        </w:rPr>
        <w:t>中大周期仍弱，日线为反弹修复，60分钟的任务是验证101-102附近能否缩量企稳并重新站回105.68。若没有这个过程，107.36附近容易变成短线压力。</w:t>
      </w:r>
    </w:p>
    <w:p>
      <w:pPr>
        <w:pStyle w:val="Heading2"/>
        <w:keepNext/>
      </w:pPr>
      <w:r>
        <w:t>情景化执行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策略动作</w:t>
            </w:r>
          </w:p>
        </w:tc>
      </w:tr>
      <w:tr>
        <w:tc>
          <w:tcPr>
            <w:tcW w:type="dxa" w:w="1700"/>
            <w:shd w:fill="FFF4D6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空仓等待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等待101-102附近缩量企稳，后续重新站回105.68。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比直接追107.36更符合逆小势交易；未确认前只观察。</w:t>
            </w:r>
          </w:p>
        </w:tc>
      </w:tr>
      <w:tr>
        <w:tc>
          <w:tcPr>
            <w:tcW w:type="dxa" w:w="1700"/>
            <w:shd w:fill="FCE8E6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已有持仓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放量跌破MA5 102.17。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先收缩仓位；日线失守97.00，520修复逻辑失效。</w:t>
            </w:r>
          </w:p>
        </w:tc>
      </w:tr>
      <w:tr>
        <w:tc>
          <w:tcPr>
            <w:tcW w:type="dxa" w:w="1700"/>
            <w:shd w:fill="EAF4EA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转强确认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站稳107.36，并且回踩不破、板块仍有承接。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再看116.17的套牢盘压力；未消化前不定义为趋势主升。</w:t>
            </w:r>
          </w:p>
        </w:tc>
      </w:tr>
    </w:tbl>
    <w:p>
      <w:pPr>
        <w:spacing w:after="0"/>
      </w:pPr>
    </w:p>
    <w:p>
      <w:pPr>
        <w:spacing w:before="0" w:after="140" w:line="269" w:lineRule="auto"/>
      </w:pPr>
      <w:r>
        <w:rPr>
          <w:rFonts w:ascii="Hiragino Sans GB" w:hAnsi="Hiragino Sans GB" w:eastAsia="Hiragino Sans GB"/>
          <w:b w:val="0"/>
          <w:color w:val="5B6573"/>
          <w:sz w:val="17"/>
        </w:rPr>
        <w:t>参考：公司主营信息。https://stock.10jqka.com.cn/newstock/300953/</w:t>
      </w:r>
    </w:p>
    <w:p>
      <w:pPr>
        <w:pStyle w:val="Heading1"/>
        <w:keepNext/>
      </w:pPr>
      <w:r>
        <w:t>五、301566 达利凯普｜高换手强拉，风险优先于空间预测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形态判断：</w:t>
      </w:r>
      <w:r>
        <w:rPr>
          <w:rFonts w:ascii="Hiragino Sans GB" w:hAnsi="Hiragino Sans GB" w:eastAsia="Hiragino Sans GB"/>
          <w:b w:val="0"/>
          <w:color w:val="0B2545"/>
          <w:sz w:val="21"/>
        </w:rPr>
        <w:t>收盘28.19，上涨13.21%，换手31.54%，成交量约为近20日2.79倍。MA5/MA20转多、MACD金叉，但收盘仍低于MA60 30.08；单日振幅21.20%，筹码稳定性四只中最弱。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情绪与筹码：</w:t>
      </w:r>
      <w:r>
        <w:rPr>
          <w:rFonts w:ascii="Hiragino Sans GB" w:hAnsi="Hiragino Sans GB" w:eastAsia="Hiragino Sans GB"/>
          <w:b w:val="0"/>
          <w:color w:val="0B2545"/>
          <w:sz w:val="21"/>
        </w:rPr>
        <w:t>MLCC景气与AI服务器需求形成题材助推，但高弹性涨幅与高换手同时出现时，重点不是预判还能走多远，而是防止强分歧回落。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三周期：</w:t>
      </w:r>
      <w:r>
        <w:rPr>
          <w:rFonts w:ascii="Hiragino Sans GB" w:hAnsi="Hiragino Sans GB" w:eastAsia="Hiragino Sans GB"/>
          <w:b w:val="0"/>
          <w:color w:val="0B2545"/>
          <w:sz w:val="21"/>
        </w:rPr>
        <w:t>中周期未修复，日线属于强势爆发，60分钟需要先消化29.88前高的获利与解套压力。未经过缩量整理的再次上冲，均不属于策略性低风险买点。</w:t>
      </w:r>
    </w:p>
    <w:p>
      <w:pPr>
        <w:pStyle w:val="Heading2"/>
        <w:keepNext/>
      </w:pPr>
      <w:r>
        <w:t>情景化执行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策略动作</w:t>
            </w:r>
          </w:p>
        </w:tc>
      </w:tr>
      <w:tr>
        <w:tc>
          <w:tcPr>
            <w:tcW w:type="dxa" w:w="1700"/>
            <w:shd w:fill="FFF4D6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空仓等待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不接29.88附近加速段；优先看回踩26.46附近能否不破、量能明显缩下去。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没有缩量承接，不做追高试错。</w:t>
            </w:r>
          </w:p>
        </w:tc>
      </w:tr>
      <w:tr>
        <w:tc>
          <w:tcPr>
            <w:tcW w:type="dxa" w:w="1700"/>
            <w:shd w:fill="FCE8E6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已有持仓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29.88不能有效站稳，且日线跌回26.46下方。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明显降低仓位；24.60为本轮反弹的硬失效参考。</w:t>
            </w:r>
          </w:p>
        </w:tc>
      </w:tr>
      <w:tr>
        <w:tc>
          <w:tcPr>
            <w:tcW w:type="dxa" w:w="1700"/>
            <w:shd w:fill="EAF4EA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转强确认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经过整理后再次站上29.88，且换手下降、板块不掉队。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只允许小步跟随；不以强题材替代筹码稳定验证。</w:t>
            </w:r>
          </w:p>
        </w:tc>
      </w:tr>
    </w:tbl>
    <w:p>
      <w:pPr>
        <w:spacing w:after="0"/>
      </w:pPr>
    </w:p>
    <w:p>
      <w:pPr>
        <w:spacing w:before="0" w:after="140" w:line="269" w:lineRule="auto"/>
      </w:pPr>
      <w:r>
        <w:rPr>
          <w:rFonts w:ascii="Hiragino Sans GB" w:hAnsi="Hiragino Sans GB" w:eastAsia="Hiragino Sans GB"/>
          <w:b w:val="0"/>
          <w:color w:val="5B6573"/>
          <w:sz w:val="17"/>
        </w:rPr>
        <w:t>观察重点：高换手与压力位变化，不以题材叙事替代价量确认。</w:t>
      </w:r>
    </w:p>
    <w:p>
      <w:pPr>
        <w:pStyle w:val="Heading1"/>
        <w:keepNext/>
      </w:pPr>
      <w:r>
        <w:t>六、600353 旭光电子｜弱化520金叉，先完成修复验证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形态判断：</w:t>
      </w:r>
      <w:r>
        <w:rPr>
          <w:rFonts w:ascii="Hiragino Sans GB" w:hAnsi="Hiragino Sans GB" w:eastAsia="Hiragino Sans GB"/>
          <w:b w:val="0"/>
          <w:color w:val="0B2545"/>
          <w:sz w:val="21"/>
        </w:rPr>
        <w:t>收盘29.40，上涨7.69%，当日出现MA5上穿MA20的520信号，量比1.42。但DIF/DEA仍在零轴下，股价低于MA60 31.68，因此系统结论应为“弱化520、轻仓观察”，而不是核心入场。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情绪与筹码：</w:t>
      </w:r>
      <w:r>
        <w:rPr>
          <w:rFonts w:ascii="Hiragino Sans GB" w:hAnsi="Hiragino Sans GB" w:eastAsia="Hiragino Sans GB"/>
          <w:b w:val="0"/>
          <w:color w:val="0B2545"/>
          <w:sz w:val="21"/>
        </w:rPr>
        <w:t>公司具备多题材催化，但催化较多反而要警惕资金快速轮动；只有题材持续、价格站稳和量能健康三者同时成立，才具备跟随条件。</w:t>
      </w:r>
    </w:p>
    <w:p>
      <w:pPr>
        <w:spacing w:before="0" w:after="120" w:line="269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三周期：</w:t>
      </w:r>
      <w:r>
        <w:rPr>
          <w:rFonts w:ascii="Hiragino Sans GB" w:hAnsi="Hiragino Sans GB" w:eastAsia="Hiragino Sans GB"/>
          <w:b w:val="0"/>
          <w:color w:val="0B2545"/>
          <w:sz w:val="21"/>
        </w:rPr>
        <w:t>月线/中周期是回落后的修复，日线520刚出现，60分钟需验证27.32-28.03回踩是否有承接。若先冲30.03但不能站稳，依然是压力测试而非突破确认。</w:t>
      </w:r>
    </w:p>
    <w:p>
      <w:pPr>
        <w:pStyle w:val="Heading2"/>
        <w:keepNext/>
      </w:pPr>
      <w:r>
        <w:t>情景化执行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策略动作</w:t>
            </w:r>
          </w:p>
        </w:tc>
      </w:tr>
      <w:tr>
        <w:tc>
          <w:tcPr>
            <w:tcW w:type="dxa" w:w="1700"/>
            <w:shd w:fill="FFF4D6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空仓等待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不追29.40附近；观察27.32-28.03回踩承接，或有效站上30.03后再验证。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先完成520后续确认，再观察能否挑战31.68。</w:t>
            </w:r>
          </w:p>
        </w:tc>
      </w:tr>
      <w:tr>
        <w:tc>
          <w:tcPr>
            <w:tcW w:type="dxa" w:w="1700"/>
            <w:shd w:fill="FCE8E6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已有持仓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放量跌破27.32。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先减仓；日线跌破26.88，视为本次金叉失败。</w:t>
            </w:r>
          </w:p>
        </w:tc>
      </w:tr>
      <w:tr>
        <w:tc>
          <w:tcPr>
            <w:tcW w:type="dxa" w:w="1700"/>
            <w:shd w:fill="EAF4EA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转强确认</w:t>
            </w:r>
          </w:p>
        </w:tc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突破30.03且回踩不破，随后挑战并站稳31.68。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8"/>
              </w:rPr>
              <w:t>只有完成MA60确认，才可由修复观察升级为趋势跟随。</w:t>
            </w:r>
          </w:p>
        </w:tc>
      </w:tr>
    </w:tbl>
    <w:p>
      <w:pPr>
        <w:spacing w:after="0"/>
      </w:pPr>
    </w:p>
    <w:p>
      <w:pPr>
        <w:spacing w:before="0" w:after="140" w:line="269" w:lineRule="auto"/>
      </w:pPr>
      <w:r>
        <w:rPr>
          <w:rFonts w:ascii="Hiragino Sans GB" w:hAnsi="Hiragino Sans GB" w:eastAsia="Hiragino Sans GB"/>
          <w:b w:val="0"/>
          <w:color w:val="5B6573"/>
          <w:sz w:val="17"/>
        </w:rPr>
        <w:t>参考：旭光电子年报解读。https://stock.10jqka.com.cn/20260320/c675430211.shtml</w:t>
      </w:r>
    </w:p>
    <w:p>
      <w:pPr>
        <w:pStyle w:val="Heading1"/>
        <w:keepNext/>
      </w:pPr>
      <w:r>
        <w:t>七、下一交易日执行清单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59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 xml:space="preserve">新增仓位门槛  </w:t>
            </w:r>
            <w:r>
              <w:rPr>
                <w:rFonts w:ascii="Hiragino Sans GB" w:hAnsi="Hiragino Sans GB" w:eastAsia="Hiragino Sans GB"/>
                <w:b w:val="0"/>
                <w:color w:val="0B2545"/>
                <w:sz w:val="21"/>
              </w:rPr>
              <w:t>必须同时满足：板块仍有持续性；价格回踩关键带后不再破低；重新站回VWAP或日内关键位；突破前高时有成交确认。少任一项，均不新增。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269" w:lineRule="auto"/>
      </w:pPr>
      <w:r>
        <w:rPr>
          <w:rFonts w:ascii="Hiragino Sans GB" w:hAnsi="Hiragino Sans GB" w:eastAsia="Hiragino Sans GB"/>
          <w:b w:val="0"/>
          <w:color w:val="0B2545"/>
          <w:sz w:val="20"/>
        </w:rPr>
        <w:t>300953：优先看101-102附近缩量承接，随后是否重新站回105.68。</w:t>
      </w:r>
    </w:p>
    <w:p>
      <w:pPr>
        <w:pStyle w:val="ListBullet"/>
        <w:spacing w:before="0" w:after="60" w:line="269" w:lineRule="auto"/>
      </w:pPr>
      <w:r>
        <w:rPr>
          <w:rFonts w:ascii="Hiragino Sans GB" w:hAnsi="Hiragino Sans GB" w:eastAsia="Hiragino Sans GB"/>
          <w:b w:val="0"/>
          <w:color w:val="0B2545"/>
          <w:sz w:val="20"/>
        </w:rPr>
        <w:t>600353：优先看27.32-28.03是否守住，30.03突破后是否能有效承接。</w:t>
      </w:r>
    </w:p>
    <w:p>
      <w:pPr>
        <w:pStyle w:val="ListBullet"/>
        <w:spacing w:before="0" w:after="60" w:line="269" w:lineRule="auto"/>
      </w:pPr>
      <w:r>
        <w:rPr>
          <w:rFonts w:ascii="Hiragino Sans GB" w:hAnsi="Hiragino Sans GB" w:eastAsia="Hiragino Sans GB"/>
          <w:b w:val="0"/>
          <w:color w:val="0B2545"/>
          <w:sz w:val="20"/>
        </w:rPr>
        <w:t>300693：已有仓位防守41.73；空仓不追44附近，等回踩。</w:t>
      </w:r>
    </w:p>
    <w:p>
      <w:pPr>
        <w:pStyle w:val="ListBullet"/>
        <w:spacing w:before="0" w:after="60" w:line="269" w:lineRule="auto"/>
      </w:pPr>
      <w:r>
        <w:rPr>
          <w:rFonts w:ascii="Hiragino Sans GB" w:hAnsi="Hiragino Sans GB" w:eastAsia="Hiragino Sans GB"/>
          <w:b w:val="0"/>
          <w:color w:val="0B2545"/>
          <w:sz w:val="20"/>
        </w:rPr>
        <w:t>301566：不接29.88加速，只有26.46附近缩量承接才重新纳入观察。</w:t>
      </w:r>
    </w:p>
    <w:p>
      <w:pPr>
        <w:spacing w:before="0" w:after="0" w:line="269" w:lineRule="auto"/>
      </w:pPr>
      <w:r>
        <w:rPr>
          <w:rFonts w:ascii="Hiragino Sans GB" w:hAnsi="Hiragino Sans GB" w:eastAsia="Hiragino Sans GB"/>
          <w:b/>
          <w:color w:val="9B1C1C"/>
          <w:sz w:val="21"/>
        </w:rPr>
        <w:t>风险声明：</w:t>
      </w:r>
      <w:r>
        <w:rPr>
          <w:rFonts w:ascii="Hiragino Sans GB" w:hAnsi="Hiragino Sans GB" w:eastAsia="Hiragino Sans GB"/>
          <w:b w:val="0"/>
          <w:color w:val="9B1C1C"/>
          <w:sz w:val="21"/>
        </w:rPr>
        <w:t>本报告基于指定时点行情快照与技术分析框架，不构成任何证券投资建议或收益承诺。市场跳空、消息、流动性和板块轮动均可能使既定价位失效，执行时应以实时行情和个人风险承受能力为准。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5B6573"/>
        <w:sz w:val="16"/>
      </w:rPr>
      <w:t>仅作策略研究，不构成投资建议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b w:val="0"/>
        <w:color w:val="5B6573"/>
        <w:sz w:val="17"/>
      </w:rPr>
      <w:t>策略研究｜技术形态与操作计划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2026-08-11 四只股票技术分析与操作建议报告</dc:title>
  <dc:subject>技术形态、关键价位与情景化操作计划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