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Reflection on Paper 1: What the Conference and Hu's Lecture Changed, and How I Will Get It Published</w:t>
      </w:r>
    </w:p>
    <w:p>
      <w:r>
        <w:rPr>
          <w:i/>
          <w:color w:val="555555"/>
        </w:rPr>
        <w:t>Qingyun Lyu — post-conference reflection for supervision</w:t>
      </w:r>
    </w:p>
    <w:p>
      <w:r>
        <w:rPr>
          <w:i/>
          <w:color w:val="555555"/>
        </w:rPr>
        <w:t>Paper 1 (under revision): "Value Co-Creation and Attenuation in a Social Virtual World: Interaction Activities, Co-Creator Roles and Structural Barriers." Target journal: Online Information Review (SSCI, ABS 1).</w:t>
      </w:r>
    </w:p>
    <w:p>
      <w:pPr>
        <w:pBdr>
          <w:bottom w:val="single" w:sz="6" w:space="1" w:color="BBBBBB"/>
        </w:pBdr>
      </w:pPr>
    </w:p>
    <w:p>
      <w:pPr>
        <w:pStyle w:val="Quote"/>
      </w:pPr>
      <w:r>
        <w:rPr>
          <w:b/>
        </w:rPr>
        <w:t>中文导读</w:t>
      </w:r>
    </w:p>
    <w:p>
      <w:pPr>
        <w:pStyle w:val="Quote"/>
      </w:pPr>
      <w:r>
        <w:t>本文是我在宁波诺丁汉 IS 会议做完 Paper 1 报告、并听完华威大学 Hu 教授讲座之后的反思。核心判断只有一句：</w:t>
      </w:r>
      <w:r>
        <w:rPr>
          <w:b/>
        </w:rPr>
        <w:t>Paper 1 目前"描述"多于"解释"——把 what（四活动、五角色、五障碍及其对应价值）说清楚了，但 how（价值究竟如何被生成、又如何被侵蚀的那个过程/机制）还不够深。</w:t>
      </w:r>
      <w:r>
        <w:t xml:space="preserve"> 会议上几乎所有意见（"太表层"、"元宇宙只是背景板不是理论触发点"、"attenuation 这个词被用过 / 它和 co-destruction 本是一个过程 / 要不要单列一个构念"、"先别急着做量化，把质性做深")其实指向同一个根。因此本反思不是逐条打补丁，而是围绕"从描述到机制"这一条主线，给出五个可执行的修改承诺，并附一张优先级表。第 2 部分先讲 Paper 1 已经站得住的地方（避免推倒重来），第 3–4 部分是诊断与承诺，第 5 部分是修改计划。</w:t>
      </w:r>
    </w:p>
    <w:p>
      <w:pPr>
        <w:pBdr>
          <w:bottom w:val="single" w:sz="6" w:space="1" w:color="BBBBBB"/>
        </w:pBdr>
      </w:pPr>
    </w:p>
    <w:p>
      <w:pPr>
        <w:pStyle w:val="Heading1"/>
      </w:pPr>
      <w:r>
        <w:t>1. The occasion for this reflection</w:t>
      </w:r>
    </w:p>
    <w:p>
      <w:r>
        <w:t>Presenting Paper 1 to an IS audience at UNNC, and then hearing Hu's lecture on modelling customer-experience performance as a dynamic trajectory, did something a desk revision could not: it let me see the paper from outside my own framing. Read back through the questions the session raised, and through Hu's "trajectory + latent states + transition mechanisms" lens, the scattered comments resolve into a single diagnosis, and that diagnosis is more useful to me than any individual point. This document sets out that diagnosis, what I already think the paper does well, the five changes I am committing to, and the order I will make them in.</w:t>
      </w:r>
    </w:p>
    <w:p>
      <w:pPr>
        <w:pStyle w:val="Heading1"/>
      </w:pPr>
      <w:r>
        <w:t>2. What Paper 1 already does well (so I do not over-correct)</w:t>
      </w:r>
    </w:p>
    <w:p>
      <w:r>
        <w:t>It is worth being clear about what should survive revision, because the risk after hard feedback is to dismantle load-bearing walls.</w:t>
      </w:r>
    </w:p>
    <w:p>
      <w:pPr>
        <w:pStyle w:val="ListBullet"/>
      </w:pPr>
      <w:r>
        <w:rPr>
          <w:b/>
        </w:rPr>
        <w:t>A genuinely under-studied setting studied properly.</w:t>
      </w:r>
      <w:r>
        <w:t xml:space="preserve"> An embodied, VR-based social virtual</w:t>
      </w:r>
    </w:p>
    <w:p>
      <w:r>
        <w:t xml:space="preserve">world (Light World, via PICO headsets) is not where co-creation research has been built, and I have real, ethically-approved field access to it — roughly 90 hours of immersive netnography, 457 transcribed public chat logs, an 8,000-word field diary, and ten interviews that deliberately reach newcomers, heavy contributors </w:t>
      </w:r>
      <w:r>
        <w:rPr>
          <w:i/>
        </w:rPr>
        <w:t>and</w:t>
      </w:r>
      <w:r>
        <w:t xml:space="preserve"> users who have already left. The exited-user sample is an asset most co-creation papers do not have.</w:t>
      </w:r>
    </w:p>
    <w:p>
      <w:pPr>
        <w:pStyle w:val="ListBullet"/>
      </w:pPr>
      <w:r>
        <w:rPr>
          <w:b/>
        </w:rPr>
        <w:t>A trajectory, not a snapshot.</w:t>
      </w:r>
      <w:r>
        <w:t xml:space="preserve"> The paper already tells one developmental arc — from</w:t>
      </w:r>
    </w:p>
    <w:p>
      <w:r>
        <w:t>peripheral experiential participants, through prosumers, organisers and mentors, to committed members who turn critic and withdraw. That arc is the paper's spine and it is the right spine.</w:t>
      </w:r>
    </w:p>
    <w:p>
      <w:pPr>
        <w:pStyle w:val="ListBullet"/>
      </w:pPr>
      <w:r>
        <w:rPr>
          <w:b/>
        </w:rPr>
        <w:t>One authentically counter-intuitive finding.</w:t>
      </w:r>
      <w:r>
        <w:t xml:space="preserve"> *The most committed contributors become the</w:t>
      </w:r>
    </w:p>
    <w:p>
      <w:r>
        <w:t>platform's most influential critics.* This committed-to-critic conversion, together with the exhaustion of the unpaid emotional labour that organisers and mentors supply, is the paper's sharpest and most defensible contribution. Whatever else changes, this stays at the centre.</w:t>
      </w:r>
    </w:p>
    <w:p>
      <w:r>
        <w:t xml:space="preserve">The problem is not the material. It is that the material currently </w:t>
      </w:r>
      <w:r>
        <w:rPr>
          <w:i/>
        </w:rPr>
        <w:t>describes</w:t>
      </w:r>
      <w:r>
        <w:t xml:space="preserve"> more than it </w:t>
      </w:r>
      <w:r>
        <w:rPr>
          <w:i/>
        </w:rPr>
        <w:t>explains</w:t>
      </w:r>
      <w:r>
        <w:t>.</w:t>
      </w:r>
    </w:p>
    <w:p>
      <w:pPr>
        <w:pStyle w:val="Heading1"/>
      </w:pPr>
      <w:r>
        <w:t>3. The core diagnosis: from description to mechanism</w:t>
      </w:r>
    </w:p>
    <w:p>
      <w:r>
        <w:t xml:space="preserve">Nearly every comment I received reduces to one root. In the presentation (and, honestly, in the current draft) I state </w:t>
      </w:r>
      <w:r>
        <w:rPr>
          <w:b/>
        </w:rPr>
        <w:t>what</w:t>
      </w:r>
      <w:r>
        <w:t xml:space="preserve"> happens — four activities and the value each yields, five roles, five barriers — but I under-specify </w:t>
      </w:r>
      <w:r>
        <w:rPr>
          <w:b/>
        </w:rPr>
        <w:t>how</w:t>
      </w:r>
      <w:r>
        <w:t>: the process by which value is actually generated, and the process by which it is eroded. "Users co-create relational value by socialising" names a category and attaches an outcome to it; it does not show the mechanism that turns an avatar gesture in a shared world into belonging, or the mechanism by which that belonging later drains away. A reader can accept every one of my categories and still not know how the system works.</w:t>
      </w:r>
    </w:p>
    <w:p>
      <w:r>
        <w:t>This single root explains four superficially different criticisms:</w:t>
      </w:r>
    </w:p>
    <w:p>
      <w:pPr>
        <w:pStyle w:val="ListBullet"/>
      </w:pPr>
      <w:r>
        <w:rPr>
          <w:i/>
        </w:rPr>
        <w:t>"Too surface-level; the deeper process of how value is generated is missing."</w:t>
      </w:r>
      <w:r>
        <w:t xml:space="preserve"> — This is the</w:t>
      </w:r>
    </w:p>
    <w:p>
      <w:r>
        <w:t>root stated directly.</w:t>
      </w:r>
    </w:p>
    <w:p>
      <w:pPr>
        <w:pStyle w:val="ListBullet"/>
      </w:pPr>
      <w:r>
        <w:rPr>
          <w:i/>
        </w:rPr>
        <w:t>"The metaverse is treated as a setting, not a theoretical provocation."</w:t>
      </w:r>
      <w:r>
        <w:t xml:space="preserve"> — A setting only</w:t>
      </w:r>
    </w:p>
    <w:p>
      <w:r>
        <w:t>matters descriptively; a mechanism is what makes the setting theoretically necessary.</w:t>
      </w:r>
    </w:p>
    <w:p>
      <w:pPr>
        <w:pStyle w:val="ListBullet"/>
      </w:pPr>
      <w:r>
        <w:t>*"Is attenuation really a separate construct? The term has already been used; co-creation and</w:t>
      </w:r>
    </w:p>
    <w:p>
      <w:r>
        <w:t>co-destruction are one process."* — A construct defined by its symptoms (slow decline) invites this doubt; a construct defined by its mechanism does not.</w:t>
      </w:r>
    </w:p>
    <w:p>
      <w:pPr>
        <w:pStyle w:val="ListBullet"/>
      </w:pPr>
      <w:r>
        <w:rPr>
          <w:i/>
        </w:rPr>
        <w:t>"'Extending S-D logic into immersive environments' is a location, not a contribution."</w:t>
      </w:r>
      <w:r>
        <w:t xml:space="preserve"> — A</w:t>
      </w:r>
    </w:p>
    <w:p>
      <w:r>
        <w:t xml:space="preserve">location is a </w:t>
      </w:r>
      <w:r>
        <w:rPr>
          <w:i/>
        </w:rPr>
        <w:t>where</w:t>
      </w:r>
      <w:r>
        <w:t xml:space="preserve">; a contribution is a </w:t>
      </w:r>
      <w:r>
        <w:rPr>
          <w:i/>
        </w:rPr>
        <w:t>how</w:t>
      </w:r>
      <w:r>
        <w:t>.</w:t>
      </w:r>
    </w:p>
    <w:p>
      <w:r>
        <w:t xml:space="preserve">So the revision is not eleven patches. It is one move — </w:t>
      </w:r>
      <w:r>
        <w:rPr>
          <w:b/>
        </w:rPr>
        <w:t>push the whole paper from what to how</w:t>
      </w:r>
      <w:r>
        <w:t xml:space="preserve"> — executed in five places. The five commitments below are that one move.</w:t>
      </w:r>
    </w:p>
    <w:p>
      <w:pPr>
        <w:pStyle w:val="Heading1"/>
      </w:pPr>
      <w:r>
        <w:t>4. Five revision commitments</w:t>
      </w:r>
    </w:p>
    <w:p>
      <w:pPr>
        <w:pStyle w:val="Heading2"/>
      </w:pPr>
      <w:r>
        <w:t>4.1 Make embodiment the mechanism, not the backdrop</w:t>
      </w:r>
    </w:p>
    <w:p>
      <w:r>
        <w:t xml:space="preserve">Right now the paper says immersion </w:t>
      </w:r>
      <w:r>
        <w:rPr>
          <w:i/>
        </w:rPr>
        <w:t>intensifies</w:t>
      </w:r>
      <w:r>
        <w:t xml:space="preserve"> and </w:t>
      </w:r>
      <w:r>
        <w:rPr>
          <w:i/>
        </w:rPr>
        <w:t>amplifies</w:t>
      </w:r>
      <w:r>
        <w:t xml:space="preserve"> co-creation and its decline. That is too weak — "amplify" still treats embodiment as a dial on a general process. The stronger and truer claim is that embodiment </w:t>
      </w:r>
      <w:r>
        <w:rPr>
          <w:b/>
        </w:rPr>
        <w:t>constitutes</w:t>
      </w:r>
      <w:r>
        <w:t xml:space="preserve"> the mechanism: it changes what the process is made of. I will rebuild the front of the paper around three specific properties, each of which does theoretical work that a text- or screen-based community cannot reproduce:</w:t>
      </w:r>
    </w:p>
    <w:p>
      <w:pPr>
        <w:pStyle w:val="ListNumber"/>
      </w:pPr>
      <w:r>
        <w:rPr>
          <w:b/>
        </w:rPr>
        <w:t>Non-portability of built resources.</w:t>
      </w:r>
      <w:r>
        <w:t xml:space="preserve"> What a user constructs in Light World — a world, a</w:t>
      </w:r>
    </w:p>
    <w:p>
      <w:r>
        <w:t xml:space="preserve">shop, a gathering place — cannot be exported or carried elsewhere. The co-created resource is </w:t>
      </w:r>
      <w:r>
        <w:rPr>
          <w:i/>
        </w:rPr>
        <w:t>locked to the platform</w:t>
      </w:r>
      <w:r>
        <w:t>. This is not a nuance; it is why the stakes of platform failure are categorically higher than in a text community, where content is portable and identity travels. Non-portability turns ordinary participation into a sunk, un-recoverable investment, and that lock-in is a precondition for the committed-to-critic conversion.</w:t>
      </w:r>
    </w:p>
    <w:p>
      <w:pPr>
        <w:pStyle w:val="ListNumber"/>
      </w:pPr>
      <w:r>
        <w:rPr>
          <w:b/>
        </w:rPr>
        <w:t>Removal of individual remedies.</w:t>
      </w:r>
      <w:r>
        <w:t xml:space="preserve"> In text-based communities the individual has private</w:t>
      </w:r>
    </w:p>
    <w:p>
      <w:r>
        <w:t xml:space="preserve">remedies — block, mute, scroll past, leave and take your following with you. Embodied spatial co-presence removes most of them: you cannot "scroll past" someone map-bombing the world you are standing in. When the individual remedy is gone, the </w:t>
      </w:r>
      <w:r>
        <w:rPr>
          <w:i/>
        </w:rPr>
        <w:t>only</w:t>
      </w:r>
      <w:r>
        <w:t xml:space="preserve"> remedy is platform action — which is precisely why platform silence stops being merely disappointing and becomes </w:t>
      </w:r>
      <w:r>
        <w:rPr>
          <w:b/>
        </w:rPr>
        <w:t>structural</w:t>
      </w:r>
      <w:r>
        <w:t>. This reframes my "perceived unresponsiveness" barrier from a complaint into a mechanism.</w:t>
      </w:r>
    </w:p>
    <w:p>
      <w:pPr>
        <w:pStyle w:val="ListNumber"/>
      </w:pPr>
      <w:r>
        <w:rPr>
          <w:b/>
        </w:rPr>
        <w:t>Spatial, felt depopulation.</w:t>
      </w:r>
      <w:r>
        <w:t xml:space="preserve"> Others' exit is not an abstract metric here; an emptying world</w:t>
      </w:r>
    </w:p>
    <w:p>
      <w:r>
        <w:t xml:space="preserve">is experienced spatially and bodily ("nobody plays anymore"). Decline is </w:t>
      </w:r>
      <w:r>
        <w:rPr>
          <w:i/>
        </w:rPr>
        <w:t>perceived through presence</w:t>
      </w:r>
      <w:r>
        <w:t>, which is why relational erosion propagates faster than in a feed.</w:t>
      </w:r>
    </w:p>
    <w:p>
      <w:r>
        <w:t xml:space="preserve">Framed this way, the setting is no longer a backdrop I happen to study; it is the reason the mechanism exists. This is also my answer to the conference's sharpest question — </w:t>
      </w:r>
      <w:r>
        <w:rPr>
          <w:i/>
        </w:rPr>
        <w:t>what is genuinely different about co-creation and its dark side in virtual environments?</w:t>
      </w:r>
      <w:r>
        <w:t xml:space="preserve"> The answer is these three properties, not "it feels more immersive."</w:t>
      </w:r>
    </w:p>
    <w:p>
      <w:pPr>
        <w:pStyle w:val="Heading2"/>
      </w:pPr>
      <w:r>
        <w:t>4.2 Foreground the process, not the categories</w:t>
      </w:r>
    </w:p>
    <w:p>
      <w:r>
        <w:t xml:space="preserve">I will re-weight the findings and discussion so the organising object is the </w:t>
      </w:r>
      <w:r>
        <w:rPr>
          <w:b/>
        </w:rPr>
        <w:t>process</w:t>
      </w:r>
      <w:r>
        <w:t>, not the taxonomy. Concretely:</w:t>
      </w:r>
    </w:p>
    <w:p>
      <w:pPr>
        <w:pStyle w:val="ListBullet"/>
      </w:pPr>
      <w:r>
        <w:t>For value generation, I will consistently use the compositional mechanism the revised</w:t>
      </w:r>
    </w:p>
    <w:p>
      <w:r>
        <w:t xml:space="preserve">literature review already sets up — </w:t>
      </w:r>
      <w:r>
        <w:rPr>
          <w:i/>
        </w:rPr>
        <w:t>which actors integrate which resources through which platform affordances to yield which value</w:t>
      </w:r>
      <w:r>
        <w:t xml:space="preserve"> — and actually trace it in the data, rather than labelling an activity and asserting its output. The coding tables give me the raw material; the prose currently under-uses it.</w:t>
      </w:r>
    </w:p>
    <w:p>
      <w:pPr>
        <w:pStyle w:val="ListBullet"/>
      </w:pPr>
      <w:r>
        <w:t xml:space="preserve">For decline, I will answer the three process questions head-on: </w:t>
      </w:r>
      <w:r>
        <w:rPr>
          <w:b/>
        </w:rPr>
        <w:t>when</w:t>
      </w:r>
      <w:r>
        <w:t xml:space="preserve"> each barrier emerges</w:t>
      </w:r>
    </w:p>
    <w:p>
      <w:r>
        <w:t xml:space="preserve">in the trajectory, </w:t>
      </w:r>
      <w:r>
        <w:rPr>
          <w:b/>
        </w:rPr>
        <w:t>why</w:t>
      </w:r>
      <w:r>
        <w:t xml:space="preserve"> it emerges </w:t>
      </w:r>
      <w:r>
        <w:rPr>
          <w:i/>
        </w:rPr>
        <w:t>then</w:t>
      </w:r>
      <w:r>
        <w:t xml:space="preserve">, and </w:t>
      </w:r>
      <w:r>
        <w:rPr>
          <w:b/>
        </w:rPr>
        <w:t>how</w:t>
      </w:r>
      <w:r>
        <w:t xml:space="preserve"> the barriers interact. My data already imply a recursive order — access narrows the creator base → fragile infrastructure devalues the labour of those who remain → depopulation drains organisers and mentors → toxicity raises the cost of presence → unresponsiveness converts voice into exit — but I currently present it as a sequence of categories rather than as a </w:t>
      </w:r>
      <w:r>
        <w:rPr>
          <w:i/>
        </w:rPr>
        <w:t>compounding mechanism</w:t>
      </w:r>
      <w:r>
        <w:t xml:space="preserve"> in which each stage removes a resource the next role depended on. I will write it as the latter.</w:t>
      </w:r>
    </w:p>
    <w:p>
      <w:pPr>
        <w:pStyle w:val="Heading2"/>
      </w:pPr>
      <w:r>
        <w:t>4.3 Reposition the central construct: attenuation as the bridge, not a rival</w:t>
      </w:r>
    </w:p>
    <w:p>
      <w:r>
        <w:t xml:space="preserve">This is the point I have been most stuck on, and I now think I was stuck because I had framed the question wrongly. I was defending "co-creation attenuation" as a </w:t>
      </w:r>
      <w:r>
        <w:rPr>
          <w:b/>
        </w:rPr>
        <w:t>new standalone construct</w:t>
      </w:r>
      <w:r>
        <w:t xml:space="preserve"> that sits </w:t>
      </w:r>
      <w:r>
        <w:rPr>
          <w:i/>
        </w:rPr>
        <w:t>beside</w:t>
      </w:r>
      <w:r>
        <w:t xml:space="preserve"> value co-destruction. That framing is what draws every objection: the term has been used before; co-creation and co-destruction are "really one process"; does it earn a separate name at all? Defending a rival construct is a losing position.</w:t>
      </w:r>
    </w:p>
    <w:p>
      <w:r>
        <w:t xml:space="preserve">The reframing: </w:t>
      </w:r>
      <w:r>
        <w:rPr>
          <w:b/>
        </w:rPr>
        <w:t>attenuation is not a rival to co-destruction — it is the processual bridge that shows co-creation and co-destruction are one continuous trajectory.</w:t>
      </w:r>
      <w:r>
        <w:t xml:space="preserve"> This does not weaken my contribution; it </w:t>
      </w:r>
      <w:r>
        <w:rPr>
          <w:i/>
        </w:rPr>
        <w:t>is</w:t>
      </w:r>
      <w:r>
        <w:t xml:space="preserve"> the contribution the discussion already gestures at ("the bright and dark sides as one process rather than two"). Practically:</w:t>
      </w:r>
    </w:p>
    <w:p>
      <w:pPr>
        <w:pStyle w:val="ListBullet"/>
      </w:pPr>
      <w:r>
        <w:rPr>
          <w:b/>
        </w:rPr>
        <w:t>Lead with the mechanism, not the label.</w:t>
      </w:r>
      <w:r>
        <w:t xml:space="preserve"> What is new is not the word "attenuation"; it is</w:t>
      </w:r>
    </w:p>
    <w:p>
      <w:r>
        <w:t xml:space="preserve">(a) the ecosystem-level, resource-withdrawal mechanism — when creators leave, the knowledge mentor has no one left to mentor, so decline spreads through </w:t>
      </w:r>
      <w:r>
        <w:rPr>
          <w:i/>
        </w:rPr>
        <w:t>interdependence</w:t>
      </w:r>
      <w:r>
        <w:t>, not through any single dyadic breakdown; (b) the committed-to-critic conversion; and (c) the lock-in from non-portable resources (4.1). If a reviewer dislikes the term, the contribution still stands, because it lives in the mechanism.</w:t>
      </w:r>
    </w:p>
    <w:p>
      <w:pPr>
        <w:pStyle w:val="ListBullet"/>
      </w:pPr>
      <w:r>
        <w:rPr>
          <w:b/>
        </w:rPr>
        <w:t>Two modes, not one.</w:t>
      </w:r>
      <w:r>
        <w:t xml:space="preserve"> The conference was right that "attenuation" captures only the *slow,</w:t>
      </w:r>
    </w:p>
    <w:p>
      <w:r>
        <w:t>cumulative</w:t>
      </w:r>
      <w:r>
        <w:rPr>
          <w:i/>
        </w:rPr>
        <w:t xml:space="preserve"> mode. I will explicitly contrast it with a </w:t>
      </w:r>
      <w:r>
        <w:t>fast, rupture* mode — a single catastrophic governance failure or a co-ordinated exit that collapses a world at a stroke. Naming both modes (slow erosion vs. abrupt rupture) does three things: it sharpens what I mean by the slow mode, it pre-empts the "but sometimes it crashes" objection, and it maps cleanly onto Hu's promotion/prevention asymmetry (prevention is exactly the work of keeping the slow mode from tipping into the fast one).</w:t>
      </w:r>
    </w:p>
    <w:p>
      <w:pPr>
        <w:pStyle w:val="ListBullet"/>
      </w:pPr>
      <w:r>
        <w:rPr>
          <w:b/>
        </w:rPr>
        <w:t>Engage the pointers directly.</w:t>
      </w:r>
      <w:r>
        <w:t xml:space="preserve"> I will locate the construct against Sahaym et al. (2023) and</w:t>
      </w:r>
    </w:p>
    <w:p>
      <w:r>
        <w:t xml:space="preserve">Tuunanen's work (suggested to me at and after the session) and inside the co-destruction literature (Plé and Chumpitaz Cáceres, 2010; Echeverri and Skålén, 2011, 2021), so that attenuation is positioned </w:t>
      </w:r>
      <w:r>
        <w:rPr>
          <w:i/>
        </w:rPr>
        <w:t>within</w:t>
      </w:r>
      <w:r>
        <w:t xml:space="preserve"> an existing conversation rather than asserted as new vocabulary. Whether the final label stays "attenuation," shifts to a phrase that foregrounds the ecosystem/interdependence mechanism, or is demoted to a descriptor of a phase, is a decision I want to make with you — but the repositioning holds regardless of the word we choose.</w:t>
      </w:r>
    </w:p>
    <w:p>
      <w:pPr>
        <w:pStyle w:val="Heading2"/>
      </w:pPr>
      <w:r>
        <w:t>4.4 Rewrite the discussion as contribution, not location</w:t>
      </w:r>
    </w:p>
    <w:p>
      <w:r>
        <w:t xml:space="preserve">I will delete the sentences that state a </w:t>
      </w:r>
      <w:r>
        <w:rPr>
          <w:i/>
        </w:rPr>
        <w:t>location</w:t>
      </w:r>
      <w:r>
        <w:t xml:space="preserve"> ("we extend S-D logic into immersive environments," "co-creation is processual," "roles differ") and replace them with the </w:t>
      </w:r>
      <w:r>
        <w:rPr>
          <w:i/>
        </w:rPr>
        <w:t>interplay</w:t>
      </w:r>
      <w:r>
        <w:t xml:space="preserve"> they were standing in for. The three contributions become:</w:t>
      </w:r>
    </w:p>
    <w:p>
      <w:pPr>
        <w:pStyle w:val="ListNumber"/>
      </w:pPr>
      <w:r>
        <w:rPr>
          <w:b/>
        </w:rPr>
        <w:t>Embodiment reconstitutes co-creation's resources and remedies</w:t>
      </w:r>
      <w:r>
        <w:t xml:space="preserve"> (from 4.1: non-portability,</w:t>
      </w:r>
    </w:p>
    <w:p>
      <w:r>
        <w:t>removal of individual remedies) — a mechanism, not a place.</w:t>
      </w:r>
    </w:p>
    <w:p>
      <w:pPr>
        <w:pStyle w:val="ListNumber"/>
      </w:pPr>
      <w:r>
        <w:rPr>
          <w:b/>
        </w:rPr>
        <w:t>Co-creator roles as a layered, interdependent architecture with a reverse gear</w:t>
      </w:r>
      <w:r>
        <w:t xml:space="preserve"> — not a</w:t>
      </w:r>
    </w:p>
    <w:p>
      <w:r>
        <w:t xml:space="preserve">typology but a functional division of labour in which each role supplies a resource the next depends on, </w:t>
      </w:r>
      <w:r>
        <w:rPr>
          <w:i/>
        </w:rPr>
        <w:t>and</w:t>
      </w:r>
      <w:r>
        <w:t xml:space="preserve"> in which the trajectory runs backwards when that support is withdrawn.</w:t>
      </w:r>
    </w:p>
    <w:p>
      <w:pPr>
        <w:pStyle w:val="ListNumber"/>
      </w:pPr>
      <w:r>
        <w:rPr>
          <w:b/>
        </w:rPr>
        <w:t>Attenuation as the process that unifies the bright and dark sides</w:t>
      </w:r>
      <w:r>
        <w:t xml:space="preserve"> (from 4.3).</w:t>
      </w:r>
    </w:p>
    <w:p>
      <w:r>
        <w:t xml:space="preserve">Each is phrased as a </w:t>
      </w:r>
      <w:r>
        <w:rPr>
          <w:i/>
        </w:rPr>
        <w:t>how</w:t>
      </w:r>
      <w:r>
        <w:t>, and each is tied to a specific piece of my data.</w:t>
      </w:r>
    </w:p>
    <w:p>
      <w:pPr>
        <w:pStyle w:val="Heading2"/>
      </w:pPr>
      <w:r>
        <w:t>4.5 Deepen the qualitative work — and resist the pull to go quantitative too early</w:t>
      </w:r>
    </w:p>
    <w:p>
      <w:r>
        <w:t xml:space="preserve">Two comments sit in tension and I want to be explicit about how I am resolving them. Hu's lecture makes a quantitative, HMM-based operationalisation of exactly my trajectory look almost tailor-made (and I develop that as a </w:t>
      </w:r>
      <w:r>
        <w:rPr>
          <w:i/>
        </w:rPr>
        <w:t>future</w:t>
      </w:r>
      <w:r>
        <w:t xml:space="preserve"> paper — see the proposal document). But the conference's advice was the opposite and, for </w:t>
      </w:r>
      <w:r>
        <w:rPr>
          <w:i/>
        </w:rPr>
        <w:t>this</w:t>
      </w:r>
      <w:r>
        <w:t xml:space="preserve"> paper, correct: </w:t>
      </w:r>
      <w:r>
        <w:rPr>
          <w:b/>
        </w:rPr>
        <w:t>do not rush into quantitative method; make the qualitative work deep first.</w:t>
      </w:r>
      <w:r>
        <w:t xml:space="preserve"> If I bolt an HMM onto a mechanism I have only described, I will have reproduced Paper 1's weakness in a more expensive form. So for Paper 1 the commitment is to </w:t>
      </w:r>
      <w:r>
        <w:rPr>
          <w:i/>
        </w:rPr>
        <w:t>depth</w:t>
      </w:r>
      <w:r>
        <w:t>, not new methods:</w:t>
      </w:r>
    </w:p>
    <w:p>
      <w:pPr>
        <w:pStyle w:val="ListBullet"/>
      </w:pPr>
      <w:r>
        <w:t>Deliver the full methodological transparency the last review round demanded and which the</w:t>
      </w:r>
    </w:p>
    <w:p>
      <w:r>
        <w:t>revised methodology now scaffolds — the audit trail from representative data → first-order codes → second-order themes → aggregate dimensions, the maximum-variation sample that includes exited users, the evidence-status labelling (N vs. I; verbatim vs. paraphrase), ethics-before- collection, and the reflexivity around single-coder, single-translator limitations. This was the main reason for the earlier reject and it is non-negotiable.</w:t>
      </w:r>
    </w:p>
    <w:p>
      <w:pPr>
        <w:pStyle w:val="ListBullet"/>
      </w:pPr>
      <w:r>
        <w:t xml:space="preserve">Use that depth to </w:t>
      </w:r>
      <w:r>
        <w:rPr>
          <w:i/>
        </w:rPr>
        <w:t>earn</w:t>
      </w:r>
      <w:r>
        <w:t xml:space="preserve"> the mechanism claims in 4.1–4.3, e.g. by process-tracing one or two</w:t>
      </w:r>
    </w:p>
    <w:p>
      <w:r>
        <w:t>users across the whole arc (entry → contribution → disillusion → exit) so the reader sees the compounding, not just the categories.</w:t>
      </w:r>
    </w:p>
    <w:p>
      <w:pPr>
        <w:pStyle w:val="Heading1"/>
      </w:pPr>
      <w:r>
        <w:t>5. Prioritised revision plan</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fill="D9E2F3"/>
          </w:tcPr>
          <w:p>
            <w:r>
              <w:rPr>
                <w:b/>
              </w:rPr>
            </w:r>
            <w:r>
              <w:rPr>
                <w:b/>
              </w:rPr>
              <w:t>#</w:t>
            </w:r>
          </w:p>
        </w:tc>
        <w:tc>
          <w:tcPr>
            <w:tcW w:type="dxa" w:w="1728"/>
            <w:shd w:val="clear" w:fill="D9E2F3"/>
          </w:tcPr>
          <w:p>
            <w:r>
              <w:rPr>
                <w:b/>
              </w:rPr>
            </w:r>
            <w:r>
              <w:rPr>
                <w:b/>
              </w:rPr>
              <w:t>Commitment</w:t>
            </w:r>
          </w:p>
        </w:tc>
        <w:tc>
          <w:tcPr>
            <w:tcW w:type="dxa" w:w="1728"/>
            <w:shd w:val="clear" w:fill="D9E2F3"/>
          </w:tcPr>
          <w:p>
            <w:r>
              <w:rPr>
                <w:b/>
              </w:rPr>
            </w:r>
            <w:r>
              <w:rPr>
                <w:b/>
              </w:rPr>
              <w:t>Sections touched</w:t>
            </w:r>
          </w:p>
        </w:tc>
        <w:tc>
          <w:tcPr>
            <w:tcW w:type="dxa" w:w="1728"/>
            <w:shd w:val="clear" w:fill="D9E2F3"/>
          </w:tcPr>
          <w:p>
            <w:r>
              <w:rPr>
                <w:b/>
              </w:rPr>
            </w:r>
            <w:r>
              <w:rPr>
                <w:b/>
              </w:rPr>
              <w:t>Why it matters for acceptance</w:t>
            </w:r>
          </w:p>
        </w:tc>
        <w:tc>
          <w:tcPr>
            <w:tcW w:type="dxa" w:w="1728"/>
            <w:shd w:val="clear" w:fill="D9E2F3"/>
          </w:tcPr>
          <w:p>
            <w:r>
              <w:rPr>
                <w:b/>
              </w:rPr>
            </w:r>
            <w:r>
              <w:rPr>
                <w:b/>
              </w:rPr>
              <w:t>Priority</w:t>
            </w:r>
          </w:p>
        </w:tc>
      </w:tr>
      <w:tr>
        <w:tc>
          <w:tcPr>
            <w:tcW w:type="dxa" w:w="1728"/>
          </w:tcPr>
          <w:p>
            <w:r>
              <w:rPr>
                <w:sz w:val="19"/>
              </w:rPr>
            </w:r>
            <w:r>
              <w:rPr>
                <w:sz w:val="19"/>
              </w:rPr>
              <w:t>1</w:t>
            </w:r>
          </w:p>
        </w:tc>
        <w:tc>
          <w:tcPr>
            <w:tcW w:type="dxa" w:w="1728"/>
          </w:tcPr>
          <w:p>
            <w:r>
              <w:rPr>
                <w:sz w:val="19"/>
              </w:rPr>
            </w:r>
            <w:r>
              <w:rPr>
                <w:sz w:val="19"/>
              </w:rPr>
              <w:t>Embodiment as constitutive mechanism (non-portability, removed remedies, felt depopulation)</w:t>
            </w:r>
          </w:p>
        </w:tc>
        <w:tc>
          <w:tcPr>
            <w:tcW w:type="dxa" w:w="1728"/>
          </w:tcPr>
          <w:p>
            <w:r>
              <w:rPr>
                <w:sz w:val="19"/>
              </w:rPr>
            </w:r>
            <w:r>
              <w:rPr>
                <w:sz w:val="19"/>
              </w:rPr>
              <w:t>Intro, Lit 2.5, Findings 5.1/5.3, Discussion 5.2</w:t>
            </w:r>
          </w:p>
        </w:tc>
        <w:tc>
          <w:tcPr>
            <w:tcW w:type="dxa" w:w="1728"/>
          </w:tcPr>
          <w:p>
            <w:r>
              <w:rPr>
                <w:sz w:val="19"/>
              </w:rPr>
            </w:r>
            <w:r>
              <w:rPr>
                <w:sz w:val="19"/>
              </w:rPr>
              <w:t>Makes the setting theoretically necessary; answers "why the metaverse matters"</w:t>
            </w:r>
          </w:p>
        </w:tc>
        <w:tc>
          <w:tcPr>
            <w:tcW w:type="dxa" w:w="1728"/>
          </w:tcPr>
          <w:p>
            <w:r>
              <w:rPr>
                <w:sz w:val="19"/>
              </w:rPr>
            </w:r>
            <w:r>
              <w:rPr>
                <w:b/>
                <w:sz w:val="19"/>
              </w:rPr>
              <w:t>High</w:t>
            </w:r>
          </w:p>
        </w:tc>
      </w:tr>
      <w:tr>
        <w:tc>
          <w:tcPr>
            <w:tcW w:type="dxa" w:w="1728"/>
          </w:tcPr>
          <w:p>
            <w:r>
              <w:rPr>
                <w:sz w:val="19"/>
              </w:rPr>
            </w:r>
            <w:r>
              <w:rPr>
                <w:sz w:val="19"/>
              </w:rPr>
              <w:t>2</w:t>
            </w:r>
          </w:p>
        </w:tc>
        <w:tc>
          <w:tcPr>
            <w:tcW w:type="dxa" w:w="1728"/>
          </w:tcPr>
          <w:p>
            <w:r>
              <w:rPr>
                <w:sz w:val="19"/>
              </w:rPr>
            </w:r>
            <w:r>
              <w:rPr>
                <w:sz w:val="19"/>
              </w:rPr>
              <w:t>Foreground the process (when/why/how barriers emerge and compound)</w:t>
            </w:r>
          </w:p>
        </w:tc>
        <w:tc>
          <w:tcPr>
            <w:tcW w:type="dxa" w:w="1728"/>
          </w:tcPr>
          <w:p>
            <w:r>
              <w:rPr>
                <w:sz w:val="19"/>
              </w:rPr>
            </w:r>
            <w:r>
              <w:rPr>
                <w:sz w:val="19"/>
              </w:rPr>
              <w:t>Findings 5.3, Discussion 5.1</w:t>
            </w:r>
          </w:p>
        </w:tc>
        <w:tc>
          <w:tcPr>
            <w:tcW w:type="dxa" w:w="1728"/>
          </w:tcPr>
          <w:p>
            <w:r>
              <w:rPr>
                <w:sz w:val="19"/>
              </w:rPr>
            </w:r>
            <w:r>
              <w:rPr>
                <w:sz w:val="19"/>
              </w:rPr>
              <w:t>Directly answers "too descriptive / deeper process missing"</w:t>
            </w:r>
          </w:p>
        </w:tc>
        <w:tc>
          <w:tcPr>
            <w:tcW w:type="dxa" w:w="1728"/>
          </w:tcPr>
          <w:p>
            <w:r>
              <w:rPr>
                <w:sz w:val="19"/>
              </w:rPr>
            </w:r>
            <w:r>
              <w:rPr>
                <w:b/>
                <w:sz w:val="19"/>
              </w:rPr>
              <w:t>High</w:t>
            </w:r>
          </w:p>
        </w:tc>
      </w:tr>
      <w:tr>
        <w:tc>
          <w:tcPr>
            <w:tcW w:type="dxa" w:w="1728"/>
          </w:tcPr>
          <w:p>
            <w:r>
              <w:rPr>
                <w:sz w:val="19"/>
              </w:rPr>
            </w:r>
            <w:r>
              <w:rPr>
                <w:sz w:val="19"/>
              </w:rPr>
              <w:t>3</w:t>
            </w:r>
          </w:p>
        </w:tc>
        <w:tc>
          <w:tcPr>
            <w:tcW w:type="dxa" w:w="1728"/>
          </w:tcPr>
          <w:p>
            <w:r>
              <w:rPr>
                <w:sz w:val="19"/>
              </w:rPr>
            </w:r>
            <w:r>
              <w:rPr>
                <w:sz w:val="19"/>
              </w:rPr>
              <w:t>Reposition attenuation as the bridge; two modes; engage Sahaym/Tuunanen</w:t>
            </w:r>
          </w:p>
        </w:tc>
        <w:tc>
          <w:tcPr>
            <w:tcW w:type="dxa" w:w="1728"/>
          </w:tcPr>
          <w:p>
            <w:r>
              <w:rPr>
                <w:sz w:val="19"/>
              </w:rPr>
            </w:r>
            <w:r>
              <w:rPr>
                <w:sz w:val="19"/>
              </w:rPr>
              <w:t>Lit 2.4, Discussion 5.2</w:t>
            </w:r>
          </w:p>
        </w:tc>
        <w:tc>
          <w:tcPr>
            <w:tcW w:type="dxa" w:w="1728"/>
          </w:tcPr>
          <w:p>
            <w:r>
              <w:rPr>
                <w:sz w:val="19"/>
              </w:rPr>
            </w:r>
            <w:r>
              <w:rPr>
                <w:sz w:val="19"/>
              </w:rPr>
              <w:t>Defuses "is it a real/new construct?"; keeps the true novelty</w:t>
            </w:r>
          </w:p>
        </w:tc>
        <w:tc>
          <w:tcPr>
            <w:tcW w:type="dxa" w:w="1728"/>
          </w:tcPr>
          <w:p>
            <w:r>
              <w:rPr>
                <w:sz w:val="19"/>
              </w:rPr>
            </w:r>
            <w:r>
              <w:rPr>
                <w:b/>
                <w:sz w:val="19"/>
              </w:rPr>
              <w:t>High</w:t>
            </w:r>
          </w:p>
        </w:tc>
      </w:tr>
      <w:tr>
        <w:tc>
          <w:tcPr>
            <w:tcW w:type="dxa" w:w="1728"/>
          </w:tcPr>
          <w:p>
            <w:r>
              <w:rPr>
                <w:sz w:val="19"/>
              </w:rPr>
            </w:r>
            <w:r>
              <w:rPr>
                <w:sz w:val="19"/>
              </w:rPr>
              <w:t>4</w:t>
            </w:r>
          </w:p>
        </w:tc>
        <w:tc>
          <w:tcPr>
            <w:tcW w:type="dxa" w:w="1728"/>
          </w:tcPr>
          <w:p>
            <w:r>
              <w:rPr>
                <w:sz w:val="19"/>
              </w:rPr>
            </w:r>
            <w:r>
              <w:rPr>
                <w:sz w:val="19"/>
              </w:rPr>
              <w:t>Discussion as contribution, not location</w:t>
            </w:r>
          </w:p>
        </w:tc>
        <w:tc>
          <w:tcPr>
            <w:tcW w:type="dxa" w:w="1728"/>
          </w:tcPr>
          <w:p>
            <w:r>
              <w:rPr>
                <w:sz w:val="19"/>
              </w:rPr>
            </w:r>
            <w:r>
              <w:rPr>
                <w:sz w:val="19"/>
              </w:rPr>
              <w:t>Discussion 5.2</w:t>
            </w:r>
          </w:p>
        </w:tc>
        <w:tc>
          <w:tcPr>
            <w:tcW w:type="dxa" w:w="1728"/>
          </w:tcPr>
          <w:p>
            <w:r>
              <w:rPr>
                <w:sz w:val="19"/>
              </w:rPr>
            </w:r>
            <w:r>
              <w:rPr>
                <w:sz w:val="19"/>
              </w:rPr>
              <w:t>Turns "locations" into publishable contributions</w:t>
            </w:r>
          </w:p>
        </w:tc>
        <w:tc>
          <w:tcPr>
            <w:tcW w:type="dxa" w:w="1728"/>
          </w:tcPr>
          <w:p>
            <w:r>
              <w:rPr>
                <w:sz w:val="19"/>
              </w:rPr>
            </w:r>
            <w:r>
              <w:rPr>
                <w:b/>
                <w:sz w:val="19"/>
              </w:rPr>
              <w:t>High</w:t>
            </w:r>
          </w:p>
        </w:tc>
      </w:tr>
      <w:tr>
        <w:tc>
          <w:tcPr>
            <w:tcW w:type="dxa" w:w="1728"/>
          </w:tcPr>
          <w:p>
            <w:r>
              <w:rPr>
                <w:sz w:val="19"/>
              </w:rPr>
            </w:r>
            <w:r>
              <w:rPr>
                <w:sz w:val="19"/>
              </w:rPr>
              <w:t>5</w:t>
            </w:r>
          </w:p>
        </w:tc>
        <w:tc>
          <w:tcPr>
            <w:tcW w:type="dxa" w:w="1728"/>
          </w:tcPr>
          <w:p>
            <w:r>
              <w:rPr>
                <w:sz w:val="19"/>
              </w:rPr>
            </w:r>
            <w:r>
              <w:rPr>
                <w:sz w:val="19"/>
              </w:rPr>
              <w:t>Methodological depth &amp; transparency; hold the line on qualitative</w:t>
            </w:r>
          </w:p>
        </w:tc>
        <w:tc>
          <w:tcPr>
            <w:tcW w:type="dxa" w:w="1728"/>
          </w:tcPr>
          <w:p>
            <w:r>
              <w:rPr>
                <w:sz w:val="19"/>
              </w:rPr>
            </w:r>
            <w:r>
              <w:rPr>
                <w:sz w:val="19"/>
              </w:rPr>
              <w:t>Methodology 4.1–4.5, Appendices</w:t>
            </w:r>
          </w:p>
        </w:tc>
        <w:tc>
          <w:tcPr>
            <w:tcW w:type="dxa" w:w="1728"/>
          </w:tcPr>
          <w:p>
            <w:r>
              <w:rPr>
                <w:sz w:val="19"/>
              </w:rPr>
            </w:r>
            <w:r>
              <w:rPr>
                <w:sz w:val="19"/>
              </w:rPr>
              <w:t>Was the main prior reject reason; honours "deepen qualitative"</w:t>
            </w:r>
          </w:p>
        </w:tc>
        <w:tc>
          <w:tcPr>
            <w:tcW w:type="dxa" w:w="1728"/>
          </w:tcPr>
          <w:p>
            <w:r>
              <w:rPr>
                <w:sz w:val="19"/>
              </w:rPr>
            </w:r>
            <w:r>
              <w:rPr>
                <w:b/>
                <w:sz w:val="19"/>
              </w:rPr>
              <w:t>High (gate)</w:t>
            </w:r>
          </w:p>
        </w:tc>
      </w:tr>
      <w:tr>
        <w:tc>
          <w:tcPr>
            <w:tcW w:type="dxa" w:w="1728"/>
          </w:tcPr>
          <w:p>
            <w:r>
              <w:rPr>
                <w:sz w:val="19"/>
              </w:rPr>
            </w:r>
            <w:r>
              <w:rPr>
                <w:sz w:val="19"/>
              </w:rPr>
              <w:t>6</w:t>
            </w:r>
          </w:p>
        </w:tc>
        <w:tc>
          <w:tcPr>
            <w:tcW w:type="dxa" w:w="1728"/>
          </w:tcPr>
          <w:p>
            <w:r>
              <w:rPr>
                <w:sz w:val="19"/>
              </w:rPr>
            </w:r>
            <w:r>
              <w:rPr>
                <w:sz w:val="19"/>
              </w:rPr>
              <w:t>Housekeeping: de-retail wording, keyword fixes, reference DOI audit, single-translator caveat</w:t>
            </w:r>
          </w:p>
        </w:tc>
        <w:tc>
          <w:tcPr>
            <w:tcW w:type="dxa" w:w="1728"/>
          </w:tcPr>
          <w:p>
            <w:r>
              <w:rPr>
                <w:sz w:val="19"/>
              </w:rPr>
            </w:r>
            <w:r>
              <w:rPr>
                <w:sz w:val="19"/>
              </w:rPr>
              <w:t>Title, Keywords, Abstract, References</w:t>
            </w:r>
          </w:p>
        </w:tc>
        <w:tc>
          <w:tcPr>
            <w:tcW w:type="dxa" w:w="1728"/>
          </w:tcPr>
          <w:p>
            <w:r>
              <w:rPr>
                <w:sz w:val="19"/>
              </w:rPr>
            </w:r>
            <w:r>
              <w:rPr>
                <w:sz w:val="19"/>
              </w:rPr>
              <w:t>Removes easy referee irritations</w:t>
            </w:r>
          </w:p>
        </w:tc>
        <w:tc>
          <w:tcPr>
            <w:tcW w:type="dxa" w:w="1728"/>
          </w:tcPr>
          <w:p>
            <w:r>
              <w:rPr>
                <w:sz w:val="19"/>
              </w:rPr>
            </w:r>
            <w:r>
              <w:rPr>
                <w:sz w:val="19"/>
              </w:rPr>
              <w:t>Medium</w:t>
            </w:r>
          </w:p>
        </w:tc>
      </w:tr>
    </w:tbl>
    <w:p/>
    <w:p>
      <w:r>
        <w:t>Items 1–5 are the same move (description → mechanism) seen from five angles; item 6 clears the underbrush. My proposed order is 3 → 1 → 2 → 4 (the theoretical spine) then 5 (the evidence that earns it) then 6.</w:t>
      </w:r>
    </w:p>
    <w:p>
      <w:pPr>
        <w:pStyle w:val="Heading1"/>
      </w:pPr>
      <w:r>
        <w:t>6. Positioning and the one decision I need from you</w:t>
      </w:r>
    </w:p>
    <w:p>
      <w:r>
        <w:t xml:space="preserve">The switch to </w:t>
      </w:r>
      <w:r>
        <w:rPr>
          <w:i/>
        </w:rPr>
        <w:t>Online Information Review</w:t>
      </w:r>
      <w:r>
        <w:t xml:space="preserve"> and the de-retailing were the right call — the paper is about co-creation and its erosion in an online/virtual community, and OIR's readership (online communities, user participation, the dark side of engagement) is where the committed-to-critic finding will land hardest. The mechanism reframing above pushes further in that direction, not away from it.</w:t>
      </w:r>
    </w:p>
    <w:p>
      <w:r>
        <w:t xml:space="preserve">The one thing I would value your steer on is </w:t>
      </w:r>
      <w:r>
        <w:rPr>
          <w:b/>
        </w:rPr>
        <w:t>4.3 — the fate of the word "attenuation."</w:t>
      </w:r>
      <w:r>
        <w:t xml:space="preserve"> My recommendation is to keep the term but subordinate it to the mechanism (ecosystem-level resource-withdrawal; slow vs. rupture modes) so the paper never rests on having coined a construct. But if you think the term is more liability than asset given that it has been used elsewhere, I am ready to lead with a mechanism-first label instead. Either way the argument is the same; only the signage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