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项目起步（一）结构</w:t>
      </w:r>
    </w:p>
    <w:p>
      <w:pPr>
        <w:spacing w:before="120" w:after="120" w:line="288" w:lineRule="auto"/>
        <w:ind w:left="0"/>
        <w:jc w:val="left"/>
      </w:pPr>
      <w:r>
        <w:rPr>
          <w:rFonts w:eastAsia="等线" w:ascii="Arial" w:cs="Arial" w:hAnsi="Arial"/>
          <w:sz w:val="22"/>
        </w:rPr>
        <w:t xml:space="preserve">为了保证代码整洁和协作效率，WisePen 严格遵循 </w:t>
      </w:r>
      <w:r>
        <w:rPr>
          <w:rFonts w:eastAsia="等线" w:ascii="Arial" w:cs="Arial" w:hAnsi="Arial"/>
          <w:b w:val="true"/>
          <w:sz w:val="22"/>
        </w:rPr>
        <w:t>Maven 多模块分层架构</w:t>
      </w:r>
      <w:r>
        <w:rPr>
          <w:rFonts w:eastAsia="等线" w:ascii="Arial" w:cs="Arial" w:hAnsi="Arial"/>
          <w:sz w:val="22"/>
        </w:rPr>
        <w:t>。</w:t>
      </w:r>
    </w:p>
    <w:p>
      <w:pPr>
        <w:pStyle w:val="3"/>
        <w:spacing w:before="300" w:after="120" w:line="288" w:lineRule="auto"/>
        <w:ind w:left="0"/>
        <w:jc w:val="left"/>
        <w:outlineLvl w:val="2"/>
      </w:pPr>
      <w:bookmarkStart w:name="heading_0" w:id="0"/>
      <w:r>
        <w:rPr>
          <w:rFonts w:eastAsia="等线" w:ascii="Arial" w:cs="Arial" w:hAnsi="Arial"/>
          <w:b w:val="true"/>
          <w:sz w:val="30"/>
        </w:rPr>
        <w:t>模块命名规则</w:t>
      </w:r>
      <w:bookmarkEnd w:id="0"/>
    </w:p>
    <w:p>
      <w:pPr>
        <w:spacing w:before="120" w:after="120" w:line="288" w:lineRule="auto"/>
        <w:ind w:left="0"/>
        <w:jc w:val="left"/>
      </w:pPr>
      <w:r>
        <w:rPr>
          <w:rFonts w:eastAsia="等线" w:ascii="Arial" w:cs="Arial" w:hAnsi="Arial"/>
          <w:sz w:val="22"/>
        </w:rPr>
        <w:t xml:space="preserve">所有微服务统一以 </w:t>
      </w:r>
      <w:r>
        <w:rPr>
          <w:rFonts w:eastAsia="Consolas" w:ascii="Consolas" w:cs="Consolas" w:hAnsi="Consolas"/>
          <w:sz w:val="22"/>
          <w:shd w:fill="EFF0F1"/>
        </w:rPr>
        <w:t>wisepen-</w:t>
      </w:r>
      <w:r>
        <w:rPr>
          <w:rFonts w:eastAsia="等线" w:ascii="Arial" w:cs="Arial" w:hAnsi="Arial"/>
          <w:sz w:val="22"/>
        </w:rPr>
        <w:t xml:space="preserve"> 开头：</w:t>
      </w:r>
    </w:p>
    <w:p>
      <w:pPr>
        <w:numPr>
          <w:numId w:val="1"/>
        </w:numPr>
        <w:spacing w:before="120" w:after="120" w:line="288" w:lineRule="auto"/>
        <w:ind w:left="0"/>
        <w:jc w:val="left"/>
      </w:pPr>
      <w:r>
        <w:rPr>
          <w:rFonts w:eastAsia="Consolas" w:ascii="Consolas" w:cs="Consolas" w:hAnsi="Consolas"/>
          <w:b w:val="true"/>
          <w:sz w:val="22"/>
          <w:shd w:fill="EFF0F1"/>
        </w:rPr>
        <w:t>wisepen-common</w:t>
      </w:r>
      <w:r>
        <w:rPr>
          <w:rFonts w:eastAsia="等线" w:ascii="Arial" w:cs="Arial" w:hAnsi="Arial"/>
          <w:sz w:val="22"/>
        </w:rPr>
        <w:t>：公共模块（工具类、全局异常、通用常量）。</w:t>
      </w:r>
      <w:r>
        <w:rPr>
          <w:rFonts w:eastAsia="等线" w:ascii="Arial" w:cs="Arial" w:hAnsi="Arial"/>
          <w:b w:val="true"/>
          <w:sz w:val="22"/>
        </w:rPr>
        <w:t>所有服务都必须依赖它。</w:t>
      </w:r>
    </w:p>
    <w:p>
      <w:pPr>
        <w:numPr>
          <w:numId w:val="2"/>
        </w:numPr>
        <w:spacing w:before="120" w:after="120" w:line="288" w:lineRule="auto"/>
        <w:ind w:left="0"/>
        <w:jc w:val="left"/>
      </w:pPr>
      <w:r>
        <w:rPr>
          <w:rFonts w:eastAsia="Consolas" w:ascii="Consolas" w:cs="Consolas" w:hAnsi="Consolas"/>
          <w:b w:val="true"/>
          <w:sz w:val="22"/>
          <w:shd w:fill="EFF0F1"/>
        </w:rPr>
        <w:t>wisepen-system</w:t>
      </w:r>
      <w:r>
        <w:rPr>
          <w:rFonts w:eastAsia="等线" w:ascii="Arial" w:cs="Arial" w:hAnsi="Arial"/>
          <w:sz w:val="22"/>
        </w:rPr>
        <w:t>：系统基础服务（日志管理）。</w:t>
      </w:r>
    </w:p>
    <w:p>
      <w:pPr>
        <w:numPr>
          <w:numId w:val="3"/>
        </w:numPr>
        <w:spacing w:before="120" w:after="120" w:line="288" w:lineRule="auto"/>
        <w:ind w:left="0"/>
        <w:jc w:val="left"/>
      </w:pPr>
      <w:r>
        <w:rPr>
          <w:rFonts w:eastAsia="Consolas" w:ascii="Consolas" w:cs="Consolas" w:hAnsi="Consolas"/>
          <w:b w:val="true"/>
          <w:sz w:val="22"/>
          <w:shd w:fill="EFF0F1"/>
        </w:rPr>
        <w:t>wisepen-xxx</w:t>
      </w:r>
      <w:r>
        <w:rPr>
          <w:rFonts w:eastAsia="等线" w:ascii="Arial" w:cs="Arial" w:hAnsi="Arial"/>
          <w:sz w:val="22"/>
        </w:rPr>
        <w:t xml:space="preserve">：具体的业务服务（如 </w:t>
      </w:r>
      <w:r>
        <w:rPr>
          <w:rFonts w:eastAsia="Consolas" w:ascii="Consolas" w:cs="Consolas" w:hAnsi="Consolas"/>
          <w:sz w:val="22"/>
          <w:shd w:fill="EFF0F1"/>
        </w:rPr>
        <w:t>wisepen-user</w:t>
      </w:r>
      <w:r>
        <w:rPr>
          <w:rFonts w:eastAsia="等线" w:ascii="Arial" w:cs="Arial" w:hAnsi="Arial"/>
          <w:sz w:val="22"/>
        </w:rPr>
        <w:t>）。</w:t>
      </w:r>
    </w:p>
    <w:p>
      <w:pPr>
        <w:pStyle w:val="3"/>
        <w:spacing w:before="300" w:after="120" w:line="288" w:lineRule="auto"/>
        <w:ind w:left="0"/>
        <w:jc w:val="left"/>
        <w:outlineLvl w:val="2"/>
      </w:pPr>
      <w:bookmarkStart w:name="heading_1" w:id="1"/>
      <w:r>
        <w:rPr>
          <w:rFonts w:eastAsia="等线" w:ascii="Arial" w:cs="Arial" w:hAnsi="Arial"/>
          <w:b w:val="true"/>
          <w:sz w:val="30"/>
        </w:rPr>
        <w:t>拆分模式：API 与 Biz 分离</w:t>
      </w:r>
      <w:bookmarkEnd w:id="1"/>
    </w:p>
    <w:p>
      <w:pPr>
        <w:spacing w:before="120" w:after="120" w:line="288" w:lineRule="auto"/>
        <w:ind w:left="0"/>
        <w:jc w:val="left"/>
      </w:pPr>
      <w:r>
        <w:rPr>
          <w:rFonts w:eastAsia="等线" w:ascii="Arial" w:cs="Arial" w:hAnsi="Arial"/>
          <w:sz w:val="22"/>
        </w:rPr>
        <w:t xml:space="preserve">为了优雅地实现 RPC 调用，每个业务服务 </w:t>
      </w:r>
      <w:r>
        <w:rPr>
          <w:rFonts w:eastAsia="Consolas" w:ascii="Consolas" w:cs="Consolas" w:hAnsi="Consolas"/>
          <w:sz w:val="22"/>
          <w:shd w:fill="EFF0F1"/>
        </w:rPr>
        <w:t>wisepen-xxx</w:t>
      </w:r>
      <w:r>
        <w:rPr>
          <w:rFonts w:eastAsia="等线" w:ascii="Arial" w:cs="Arial" w:hAnsi="Arial"/>
          <w:sz w:val="22"/>
        </w:rPr>
        <w:t xml:space="preserve"> 必须拆分为两个子模块：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wisepen-user (父工程)</w:t>
              <w:br/>
              <w:t>├── wisepen-user-api (对外暴露包 - 轻量级)</w:t>
              <w:br/>
              <w:t>│   ├── 作用：提供给其他微服务依赖，用于 Feign 调用。</w:t>
              <w:br/>
              <w:t>│   ├── 内容：</w:t>
              <w:br/>
              <w:t>│   │   ├── dto (Data Transfer Object): RPC 接口的入参和出参类。</w:t>
              <w:br/>
              <w:t>│   │   └── feign (Feign Clients): 定义远程调用的接口（@FeignClient）。</w:t>
              <w:br/>
              <w:t>│   └── ⚠️ 禁止：此处严禁包含 Service 实现类或数据库操作代码。</w:t>
              <w:br/>
              <w:t>│</w:t>
              <w:br/>
              <w:t>└── wisepen-user-biz (业务实现包 - 核心逻辑)</w:t>
              <w:br/>
              <w:t xml:space="preserve">    ├── 作用：服务的实际运行代码，包含所有业务逻辑和数据库操作。</w:t>
              <w:br/>
              <w:t xml:space="preserve">    ├── 依赖：必须在 pom.xml 中引用 wisepen-user-api。</w:t>
              <w:br/>
            </w:r>
            <w:r>
              <w:rPr>
                <w:rFonts w:eastAsia="Consolas" w:ascii="Consolas" w:cs="Consolas" w:hAnsi="Consolas"/>
                <w:sz w:val="22"/>
              </w:rPr>
              <w:t xml:space="preserve">    └── 内容：Controller, Service, Mapper, Entity 等。</w:t>
            </w:r>
          </w:p>
        </w:tc>
      </w:tr>
    </w:tbl>
    <w:p>
      <w:pPr>
        <w:pStyle w:val="3"/>
        <w:spacing w:before="300" w:after="120" w:line="288" w:lineRule="auto"/>
        <w:ind w:left="0"/>
        <w:jc w:val="left"/>
        <w:outlineLvl w:val="2"/>
      </w:pPr>
      <w:bookmarkStart w:name="heading_2" w:id="2"/>
      <w:r>
        <w:rPr>
          <w:rFonts w:eastAsia="等线" w:ascii="Arial" w:cs="Arial" w:hAnsi="Arial"/>
          <w:b w:val="true"/>
          <w:sz w:val="30"/>
        </w:rPr>
        <w:t>代码包分层规范</w:t>
      </w:r>
      <w:bookmarkEnd w:id="2"/>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wisepen-xxx-biz</w:t>
      </w:r>
      <w:r>
        <w:rPr>
          <w:rFonts w:eastAsia="等线" w:ascii="Arial" w:cs="Arial" w:hAnsi="Arial"/>
          <w:sz w:val="22"/>
        </w:rPr>
        <w:t xml:space="preserve"> 模块中，代码目录结构严格规定如下：</w:t>
      </w:r>
    </w:p>
    <w:p>
      <w:pPr>
        <w:pStyle w:val="4"/>
        <w:spacing w:before="260" w:after="120" w:line="288" w:lineRule="auto"/>
        <w:ind w:left="0"/>
        <w:jc w:val="left"/>
        <w:outlineLvl w:val="3"/>
      </w:pPr>
      <w:bookmarkStart w:name="heading_3" w:id="3"/>
      <w:r>
        <w:rPr>
          <w:rFonts w:eastAsia="等线" w:ascii="Arial" w:cs="Arial" w:hAnsi="Arial"/>
          <w:b w:val="true"/>
          <w:sz w:val="28"/>
        </w:rPr>
        <w:t>目录树概览</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com.wisepen.xxx.biz</w:t>
              <w:br/>
              <w:t>├── controller      # Web 层 (HTTP 接口)</w:t>
              <w:br/>
              <w:t>├── service         # 业务接口层 (纯 Java 接口，禁止继承 MP)</w:t>
              <w:br/>
              <w:t>│   └── impl        # 业务实现层</w:t>
              <w:br/>
              <w:t>├── mapper          # 数据层 (继承 MP BaseMapper)</w:t>
              <w:br/>
              <w:t>└── domain          # 领域对象层 (核心数据收口)</w:t>
              <w:br/>
              <w:t xml:space="preserve">    ├── entity      # 数据库实体 (Table 映射)</w:t>
              <w:br/>
            </w:r>
            <w:r>
              <w:rPr>
                <w:rFonts w:eastAsia="Consolas" w:ascii="Consolas" w:cs="Consolas" w:hAnsi="Consolas"/>
                <w:sz w:val="22"/>
              </w:rPr>
              <w:t xml:space="preserve">    └── dto         # 数据传输对象</w:t>
            </w:r>
          </w:p>
        </w:tc>
      </w:tr>
    </w:tbl>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wisepen-xxx-biz</w:t>
      </w:r>
      <w:r>
        <w:rPr>
          <w:rFonts w:eastAsia="等线" w:ascii="Arial" w:cs="Arial" w:hAnsi="Arial"/>
          <w:sz w:val="22"/>
        </w:rPr>
        <w:t xml:space="preserve"> 模块中，代码包结构如下：</w:t>
      </w:r>
    </w:p>
    <w:p>
      <w:pPr>
        <w:numPr>
          <w:numId w:val="4"/>
        </w:numPr>
        <w:spacing w:before="120" w:after="120" w:line="288" w:lineRule="auto"/>
        <w:ind w:left="0"/>
        <w:jc w:val="left"/>
      </w:pPr>
      <w:r>
        <w:rPr>
          <w:rFonts w:eastAsia="Consolas" w:ascii="Consolas" w:cs="Consolas" w:hAnsi="Consolas"/>
          <w:b w:val="true"/>
          <w:sz w:val="22"/>
          <w:shd w:fill="EFF0F1"/>
        </w:rPr>
        <w:t>controller</w:t>
      </w:r>
      <w:r>
        <w:rPr>
          <w:rFonts w:eastAsia="等线" w:ascii="Arial" w:cs="Arial" w:hAnsi="Arial"/>
          <w:b w:val="true"/>
          <w:sz w:val="22"/>
        </w:rPr>
        <w:t>：</w:t>
      </w:r>
      <w:r>
        <w:rPr>
          <w:rFonts w:eastAsia="等线" w:ascii="Arial" w:cs="Arial" w:hAnsi="Arial"/>
          <w:sz w:val="22"/>
        </w:rPr>
        <w:t xml:space="preserve">接入层。负责接收 HTTP 请求，参数校验，调用 Service，返回统一结果 </w:t>
      </w:r>
      <w:r>
        <w:rPr>
          <w:rFonts w:eastAsia="Consolas" w:ascii="Consolas" w:cs="Consolas" w:hAnsi="Consolas"/>
          <w:sz w:val="22"/>
          <w:shd w:fill="EFF0F1"/>
        </w:rPr>
        <w:t>R&lt;T&gt;</w:t>
      </w:r>
      <w:r>
        <w:rPr>
          <w:rFonts w:eastAsia="等线" w:ascii="Arial" w:cs="Arial" w:hAnsi="Arial"/>
          <w:sz w:val="22"/>
        </w:rPr>
        <w:t>。</w:t>
      </w:r>
      <w:r>
        <w:rPr>
          <w:rFonts w:eastAsia="等线" w:ascii="Arial" w:cs="Arial" w:hAnsi="Arial"/>
          <w:b w:val="true"/>
          <w:sz w:val="22"/>
        </w:rPr>
        <w:t>严禁在 Controller 写复杂业务逻辑。</w:t>
      </w:r>
    </w:p>
    <w:p>
      <w:pPr>
        <w:numPr>
          <w:numId w:val="5"/>
        </w:numPr>
        <w:spacing w:before="120" w:after="120" w:line="288" w:lineRule="auto"/>
        <w:ind w:left="0"/>
        <w:jc w:val="left"/>
      </w:pPr>
      <w:r>
        <w:rPr>
          <w:rFonts w:eastAsia="Consolas" w:ascii="Consolas" w:cs="Consolas" w:hAnsi="Consolas"/>
          <w:b w:val="true"/>
          <w:sz w:val="22"/>
          <w:shd w:fill="EFF0F1"/>
        </w:rPr>
        <w:t>service</w:t>
      </w:r>
      <w:r>
        <w:rPr>
          <w:rFonts w:eastAsia="等线" w:ascii="Arial" w:cs="Arial" w:hAnsi="Arial"/>
          <w:b w:val="true"/>
          <w:sz w:val="22"/>
        </w:rPr>
        <w:t>：</w:t>
      </w:r>
      <w:r>
        <w:rPr>
          <w:rFonts w:eastAsia="等线" w:ascii="Arial" w:cs="Arial" w:hAnsi="Arial"/>
          <w:sz w:val="22"/>
        </w:rPr>
        <w:t>业务层。存放业务接口 (</w:t>
      </w:r>
      <w:r>
        <w:rPr>
          <w:rFonts w:eastAsia="Consolas" w:ascii="Consolas" w:cs="Consolas" w:hAnsi="Consolas"/>
          <w:sz w:val="22"/>
          <w:shd w:fill="EFF0F1"/>
        </w:rPr>
        <w:t>Service</w:t>
      </w:r>
      <w:r>
        <w:rPr>
          <w:rFonts w:eastAsia="等线" w:ascii="Arial" w:cs="Arial" w:hAnsi="Arial"/>
          <w:sz w:val="22"/>
        </w:rPr>
        <w:t>)。负责业务逻辑编排、事务控制。</w:t>
      </w:r>
      <w:r>
        <w:rPr>
          <w:rFonts w:eastAsia="Consolas" w:ascii="Consolas" w:cs="Consolas" w:hAnsi="Consolas"/>
          <w:b w:val="true"/>
          <w:sz w:val="22"/>
          <w:shd w:fill="EFF0F1"/>
        </w:rPr>
        <w:t>service.impl</w:t>
      </w:r>
      <w:r>
        <w:rPr>
          <w:rFonts w:eastAsia="等线" w:ascii="Arial" w:cs="Arial" w:hAnsi="Arial"/>
          <w:b w:val="true"/>
          <w:sz w:val="22"/>
        </w:rPr>
        <w:t>：</w:t>
      </w:r>
      <w:r>
        <w:rPr>
          <w:rFonts w:eastAsia="等线" w:ascii="Arial" w:cs="Arial" w:hAnsi="Arial"/>
          <w:sz w:val="22"/>
        </w:rPr>
        <w:t>业务实现。存放业务实现类 (</w:t>
      </w:r>
      <w:r>
        <w:rPr>
          <w:rFonts w:eastAsia="Consolas" w:ascii="Consolas" w:cs="Consolas" w:hAnsi="Consolas"/>
          <w:sz w:val="22"/>
          <w:shd w:fill="EFF0F1"/>
        </w:rPr>
        <w:t>ServiceImpl</w:t>
      </w:r>
      <w:r>
        <w:rPr>
          <w:rFonts w:eastAsia="等线" w:ascii="Arial" w:cs="Arial" w:hAnsi="Arial"/>
          <w:sz w:val="22"/>
        </w:rPr>
        <w:t>)。</w:t>
      </w:r>
    </w:p>
    <w:p>
      <w:pPr>
        <w:numPr>
          <w:numId w:val="6"/>
        </w:numPr>
        <w:spacing w:before="120" w:after="120" w:line="288" w:lineRule="auto"/>
        <w:ind w:left="0"/>
        <w:jc w:val="left"/>
      </w:pPr>
      <w:r>
        <w:rPr>
          <w:rFonts w:eastAsia="Consolas" w:ascii="Consolas" w:cs="Consolas" w:hAnsi="Consolas"/>
          <w:b w:val="true"/>
          <w:sz w:val="22"/>
          <w:shd w:fill="EFF0F1"/>
        </w:rPr>
        <w:t>mapper</w:t>
      </w:r>
      <w:r>
        <w:rPr>
          <w:rFonts w:eastAsia="等线" w:ascii="Arial" w:cs="Arial" w:hAnsi="Arial"/>
          <w:b w:val="true"/>
          <w:sz w:val="22"/>
        </w:rPr>
        <w:t>：</w:t>
      </w:r>
      <w:r>
        <w:rPr>
          <w:rFonts w:eastAsia="等线" w:ascii="Arial" w:cs="Arial" w:hAnsi="Arial"/>
          <w:sz w:val="22"/>
        </w:rPr>
        <w:t xml:space="preserve">数据访问层。继承 MyBatis-Plus 的 </w:t>
      </w:r>
      <w:r>
        <w:rPr>
          <w:rFonts w:eastAsia="Consolas" w:ascii="Consolas" w:cs="Consolas" w:hAnsi="Consolas"/>
          <w:sz w:val="22"/>
          <w:shd w:fill="EFF0F1"/>
        </w:rPr>
        <w:t>BaseMapper</w:t>
      </w:r>
      <w:r>
        <w:rPr>
          <w:rFonts w:eastAsia="等线" w:ascii="Arial" w:cs="Arial" w:hAnsi="Arial"/>
          <w:sz w:val="22"/>
        </w:rPr>
        <w:t>。负责与数据库交互，编写 SQL。</w:t>
      </w:r>
    </w:p>
    <w:p>
      <w:pPr>
        <w:pStyle w:val="4"/>
        <w:spacing w:before="260" w:after="120" w:line="288" w:lineRule="auto"/>
        <w:ind w:left="0"/>
        <w:jc w:val="left"/>
        <w:outlineLvl w:val="3"/>
      </w:pPr>
      <w:bookmarkStart w:name="heading_4" w:id="4"/>
      <w:r>
        <w:rPr>
          <w:rFonts w:eastAsia="等线" w:ascii="Arial" w:cs="Arial" w:hAnsi="Arial"/>
          <w:b w:val="true"/>
          <w:sz w:val="28"/>
        </w:rPr>
        <w:t>Domain包结构详解</w:t>
      </w:r>
      <w:bookmarkEnd w:id="4"/>
    </w:p>
    <w:p>
      <w:pPr>
        <w:spacing w:before="120" w:after="120" w:line="288" w:lineRule="auto"/>
        <w:ind w:left="0"/>
        <w:jc w:val="left"/>
      </w:pPr>
      <w:r>
        <w:rPr>
          <w:rFonts w:eastAsia="等线" w:ascii="Arial" w:cs="Arial" w:hAnsi="Arial"/>
          <w:sz w:val="22"/>
        </w:rPr>
        <w:t>我们实行</w:t>
      </w:r>
      <w:r>
        <w:rPr>
          <w:rFonts w:eastAsia="等线" w:ascii="Arial" w:cs="Arial" w:hAnsi="Arial"/>
          <w:b w:val="true"/>
          <w:sz w:val="22"/>
        </w:rPr>
        <w:t>前后端分离</w:t>
      </w:r>
      <w:r>
        <w:rPr>
          <w:rFonts w:eastAsia="等线" w:ascii="Arial" w:cs="Arial" w:hAnsi="Arial"/>
          <w:sz w:val="22"/>
        </w:rPr>
        <w:t>，且</w:t>
      </w:r>
      <w:r>
        <w:rPr>
          <w:rFonts w:eastAsia="等线" w:ascii="Arial" w:cs="Arial" w:hAnsi="Arial"/>
          <w:b w:val="true"/>
          <w:sz w:val="22"/>
        </w:rPr>
        <w:t>无 VO (View Object)</w:t>
      </w:r>
      <w:r>
        <w:rPr>
          <w:rFonts w:eastAsia="等线" w:ascii="Arial" w:cs="Arial" w:hAnsi="Arial"/>
          <w:sz w:val="22"/>
        </w:rPr>
        <w:t xml:space="preserve"> 设计，DTO 承担数据传输与前端交互的双重职责。</w:t>
      </w:r>
    </w:p>
    <w:p>
      <w:pPr>
        <w:numPr>
          <w:numId w:val="7"/>
        </w:numPr>
        <w:spacing w:before="120" w:after="120" w:line="288" w:lineRule="auto"/>
        <w:ind w:left="0"/>
        <w:jc w:val="left"/>
      </w:pPr>
      <w:r>
        <w:rPr>
          <w:rFonts w:eastAsia="Consolas" w:ascii="Consolas" w:cs="Consolas" w:hAnsi="Consolas"/>
          <w:b w:val="true"/>
          <w:sz w:val="22"/>
          <w:shd w:fill="EFF0F1"/>
        </w:rPr>
        <w:t>domain/entity</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b w:val="true"/>
          <w:sz w:val="22"/>
        </w:rPr>
        <w:t>定义</w:t>
      </w:r>
      <w:r>
        <w:rPr>
          <w:rFonts w:eastAsia="等线" w:ascii="Arial" w:cs="Arial" w:hAnsi="Arial"/>
          <w:sz w:val="22"/>
        </w:rPr>
        <w:t>: 与数据库表一一对应的 PO 类。</w:t>
      </w:r>
    </w:p>
    <w:p>
      <w:pPr>
        <w:numPr>
          <w:numId w:val="9"/>
        </w:numPr>
        <w:spacing w:before="120" w:after="120" w:line="288" w:lineRule="auto"/>
        <w:ind w:left="453"/>
        <w:jc w:val="left"/>
      </w:pPr>
      <w:r>
        <w:rPr>
          <w:rFonts w:eastAsia="等线" w:ascii="Arial" w:cs="Arial" w:hAnsi="Arial"/>
          <w:b w:val="true"/>
          <w:sz w:val="22"/>
        </w:rPr>
        <w:t>规范</w:t>
      </w:r>
      <w:r>
        <w:rPr>
          <w:rFonts w:eastAsia="等线" w:ascii="Arial" w:cs="Arial" w:hAnsi="Arial"/>
          <w:sz w:val="22"/>
        </w:rPr>
        <w:t xml:space="preserve">: 使用 </w:t>
      </w:r>
      <w:r>
        <w:rPr>
          <w:rFonts w:eastAsia="Consolas" w:ascii="Consolas" w:cs="Consolas" w:hAnsi="Consolas"/>
          <w:sz w:val="22"/>
          <w:shd w:fill="EFF0F1"/>
        </w:rPr>
        <w:t>@TableName</w:t>
      </w:r>
      <w:r>
        <w:rPr>
          <w:rFonts w:eastAsia="等线" w:ascii="Arial" w:cs="Arial" w:hAnsi="Arial"/>
          <w:sz w:val="22"/>
        </w:rPr>
        <w:t xml:space="preserve">, </w:t>
      </w:r>
      <w:r>
        <w:rPr>
          <w:rFonts w:eastAsia="Consolas" w:ascii="Consolas" w:cs="Consolas" w:hAnsi="Consolas"/>
          <w:sz w:val="22"/>
          <w:shd w:fill="EFF0F1"/>
        </w:rPr>
        <w:t>@TableId</w:t>
      </w:r>
      <w:r>
        <w:rPr>
          <w:rFonts w:eastAsia="等线" w:ascii="Arial" w:cs="Arial" w:hAnsi="Arial"/>
          <w:sz w:val="22"/>
        </w:rPr>
        <w:t xml:space="preserve"> 等 MP 注解。</w:t>
      </w:r>
    </w:p>
    <w:p>
      <w:pPr>
        <w:numPr>
          <w:numId w:val="10"/>
        </w:numPr>
        <w:spacing w:before="120" w:after="120" w:line="288" w:lineRule="auto"/>
        <w:ind w:left="453"/>
        <w:jc w:val="left"/>
      </w:pPr>
      <w:r>
        <w:rPr>
          <w:rFonts w:eastAsia="等线" w:ascii="Arial" w:cs="Arial" w:hAnsi="Arial"/>
          <w:b w:val="true"/>
          <w:sz w:val="22"/>
        </w:rPr>
        <w:t>红线</w:t>
      </w:r>
      <w:r>
        <w:rPr>
          <w:rFonts w:eastAsia="等线" w:ascii="Arial" w:cs="Arial" w:hAnsi="Arial"/>
          <w:sz w:val="22"/>
        </w:rPr>
        <w:t xml:space="preserve">: </w:t>
      </w:r>
      <w:r>
        <w:rPr>
          <w:rFonts w:eastAsia="等线" w:ascii="Arial" w:cs="Arial" w:hAnsi="Arial"/>
          <w:b w:val="true"/>
          <w:sz w:val="22"/>
        </w:rPr>
        <w:t>严禁</w:t>
      </w:r>
      <w:r>
        <w:rPr>
          <w:rFonts w:eastAsia="等线" w:ascii="Arial" w:cs="Arial" w:hAnsi="Arial"/>
          <w:sz w:val="22"/>
        </w:rPr>
        <w:t>将 Entity 作为 Controller 的返回值，防止数据库结构泄露。</w:t>
      </w:r>
    </w:p>
    <w:p>
      <w:pPr>
        <w:numPr>
          <w:numId w:val="11"/>
        </w:numPr>
        <w:spacing w:before="120" w:after="120" w:line="288" w:lineRule="auto"/>
        <w:ind w:left="0"/>
        <w:jc w:val="left"/>
      </w:pPr>
      <w:r>
        <w:rPr>
          <w:rFonts w:eastAsia="Consolas" w:ascii="Consolas" w:cs="Consolas" w:hAnsi="Consolas"/>
          <w:b w:val="true"/>
          <w:sz w:val="22"/>
          <w:shd w:fill="EFF0F1"/>
        </w:rPr>
        <w:t>domain/dto</w:t>
      </w:r>
      <w:r>
        <w:rPr>
          <w:rFonts w:eastAsia="等线" w:ascii="Arial" w:cs="Arial" w:hAnsi="Arial"/>
          <w:sz w:val="22"/>
        </w:rPr>
        <w:t>:</w:t>
      </w:r>
    </w:p>
    <w:p>
      <w:pPr>
        <w:numPr>
          <w:numId w:val="12"/>
        </w:numPr>
        <w:spacing w:before="120" w:after="120" w:line="288" w:lineRule="auto"/>
        <w:ind w:left="453"/>
        <w:jc w:val="left"/>
      </w:pPr>
      <w:r>
        <w:rPr>
          <w:rFonts w:eastAsia="等线" w:ascii="Arial" w:cs="Arial" w:hAnsi="Arial"/>
          <w:b w:val="true"/>
          <w:sz w:val="22"/>
        </w:rPr>
        <w:t>定义</w:t>
      </w:r>
      <w:r>
        <w:rPr>
          <w:rFonts w:eastAsia="等线" w:ascii="Arial" w:cs="Arial" w:hAnsi="Arial"/>
          <w:sz w:val="22"/>
        </w:rPr>
        <w:t>: 数据传输对象。</w:t>
      </w:r>
    </w:p>
    <w:p>
      <w:pPr>
        <w:numPr>
          <w:numId w:val="13"/>
        </w:numPr>
        <w:spacing w:before="120" w:after="120" w:line="288" w:lineRule="auto"/>
        <w:ind w:left="453"/>
        <w:jc w:val="left"/>
      </w:pPr>
      <w:r>
        <w:rPr>
          <w:rFonts w:eastAsia="等线" w:ascii="Arial" w:cs="Arial" w:hAnsi="Arial"/>
          <w:b w:val="true"/>
          <w:sz w:val="22"/>
        </w:rPr>
        <w:t>用途</w:t>
      </w:r>
      <w:r>
        <w:rPr>
          <w:rFonts w:eastAsia="等线" w:ascii="Arial" w:cs="Arial" w:hAnsi="Arial"/>
          <w:sz w:val="22"/>
        </w:rPr>
        <w:t>:</w:t>
      </w:r>
    </w:p>
    <w:p>
      <w:pPr>
        <w:numPr>
          <w:numId w:val="14"/>
        </w:numPr>
        <w:spacing w:before="120" w:after="120" w:line="288" w:lineRule="auto"/>
        <w:ind w:left="907"/>
        <w:jc w:val="left"/>
      </w:pPr>
      <w:r>
        <w:rPr>
          <w:rFonts w:eastAsia="等线" w:ascii="Arial" w:cs="Arial" w:hAnsi="Arial"/>
          <w:sz w:val="22"/>
        </w:rPr>
        <w:t>Controller 的入参 (</w:t>
      </w:r>
      <w:r>
        <w:rPr>
          <w:rFonts w:eastAsia="Consolas" w:ascii="Consolas" w:cs="Consolas" w:hAnsi="Consolas"/>
          <w:sz w:val="22"/>
          <w:shd w:fill="EFF0F1"/>
        </w:rPr>
        <w:t>@RequestBody</w:t>
      </w:r>
      <w:r>
        <w:rPr>
          <w:rFonts w:eastAsia="等线" w:ascii="Arial" w:cs="Arial" w:hAnsi="Arial"/>
          <w:sz w:val="22"/>
        </w:rPr>
        <w:t>)。</w:t>
      </w:r>
    </w:p>
    <w:p>
      <w:pPr>
        <w:numPr>
          <w:numId w:val="15"/>
        </w:numPr>
        <w:spacing w:before="120" w:after="120" w:line="288" w:lineRule="auto"/>
        <w:ind w:left="907"/>
        <w:jc w:val="left"/>
      </w:pPr>
      <w:r>
        <w:rPr>
          <w:rFonts w:eastAsia="等线" w:ascii="Arial" w:cs="Arial" w:hAnsi="Arial"/>
          <w:sz w:val="22"/>
        </w:rPr>
        <w:t>Controller 的出参 (响应给前端的 JSON)。</w:t>
      </w:r>
    </w:p>
    <w:p>
      <w:pPr>
        <w:numPr>
          <w:numId w:val="16"/>
        </w:numPr>
        <w:spacing w:before="120" w:after="120" w:line="288" w:lineRule="auto"/>
        <w:ind w:left="907"/>
        <w:jc w:val="left"/>
      </w:pPr>
      <w:r>
        <w:rPr>
          <w:rFonts w:eastAsia="等线" w:ascii="Arial" w:cs="Arial" w:hAnsi="Arial"/>
          <w:sz w:val="22"/>
        </w:rPr>
        <w:t>RPC 调用的参数与返回值。</w:t>
      </w:r>
    </w:p>
    <w:p>
      <w:pPr>
        <w:numPr>
          <w:numId w:val="17"/>
        </w:numPr>
        <w:spacing w:before="120" w:after="120" w:line="288" w:lineRule="auto"/>
        <w:ind w:left="453"/>
        <w:jc w:val="left"/>
      </w:pPr>
      <w:r>
        <w:rPr>
          <w:rFonts w:eastAsia="等线" w:ascii="Arial" w:cs="Arial" w:hAnsi="Arial"/>
          <w:b w:val="true"/>
          <w:sz w:val="22"/>
        </w:rPr>
        <w:t>技巧</w:t>
      </w:r>
      <w:r>
        <w:rPr>
          <w:rFonts w:eastAsia="等线" w:ascii="Arial" w:cs="Arial" w:hAnsi="Arial"/>
          <w:sz w:val="22"/>
        </w:rPr>
        <w:t xml:space="preserve">: 如果前端只需要部分字段，可在 DTO 转换时处理，或使用 </w:t>
      </w:r>
      <w:r>
        <w:rPr>
          <w:rFonts w:eastAsia="Consolas" w:ascii="Consolas" w:cs="Consolas" w:hAnsi="Consolas"/>
          <w:sz w:val="22"/>
          <w:shd w:fill="EFF0F1"/>
        </w:rPr>
        <w:t>@JsonIgnore</w:t>
      </w:r>
      <w:r>
        <w:rPr>
          <w:rFonts w:eastAsia="等线" w:ascii="Arial" w:cs="Arial" w:hAnsi="Arial"/>
          <w:sz w:val="22"/>
        </w:rPr>
        <w:t>。</w:t>
      </w:r>
    </w:p>
    <w:p>
      <w:pPr>
        <w:pStyle w:val="3"/>
        <w:spacing w:before="300" w:after="120" w:line="288" w:lineRule="auto"/>
        <w:ind w:left="0"/>
        <w:jc w:val="left"/>
        <w:outlineLvl w:val="2"/>
      </w:pPr>
      <w:bookmarkStart w:name="heading_5" w:id="5"/>
      <w:r>
        <w:rPr>
          <w:rFonts w:eastAsia="等线" w:ascii="Arial" w:cs="Arial" w:hAnsi="Arial"/>
          <w:b w:val="true"/>
          <w:sz w:val="30"/>
        </w:rPr>
        <w:t>Service 层开发规范</w:t>
      </w:r>
      <w:bookmarkEnd w:id="5"/>
    </w:p>
    <w:p>
      <w:pPr>
        <w:spacing w:before="120" w:after="120" w:line="288" w:lineRule="auto"/>
        <w:ind w:left="0"/>
        <w:jc w:val="left"/>
      </w:pPr>
      <w:r>
        <w:rPr>
          <w:rFonts w:eastAsia="等线" w:ascii="Arial" w:cs="Arial" w:hAnsi="Arial"/>
          <w:sz w:val="22"/>
        </w:rPr>
        <w:t>为了防止 MyBatis-Plus (MP) 过度侵入业务层，造成代码耦合度过高，我们制定了如下策略：</w:t>
      </w:r>
    </w:p>
    <w:p>
      <w:pPr>
        <w:numPr>
          <w:numId w:val="18"/>
        </w:numPr>
        <w:spacing w:before="120" w:after="120" w:line="288" w:lineRule="auto"/>
        <w:ind w:left="0"/>
        <w:jc w:val="left"/>
      </w:pPr>
      <w:r>
        <w:rPr>
          <w:rFonts w:eastAsia="等线" w:ascii="Arial" w:cs="Arial" w:hAnsi="Arial"/>
          <w:sz w:val="22"/>
        </w:rPr>
        <w:t>严禁 Service 继承 IService</w:t>
      </w:r>
    </w:p>
    <w:p>
      <w:pPr>
        <w:numPr>
          <w:numId w:val="19"/>
        </w:numPr>
        <w:spacing w:before="120" w:after="120" w:line="288" w:lineRule="auto"/>
        <w:ind w:left="453"/>
        <w:jc w:val="left"/>
      </w:pPr>
      <w:r>
        <w:rPr>
          <w:rFonts w:eastAsia="等线" w:ascii="Arial" w:cs="Arial" w:hAnsi="Arial"/>
          <w:b w:val="true"/>
          <w:sz w:val="22"/>
        </w:rPr>
        <w:t>规则</w:t>
      </w:r>
      <w:r>
        <w:rPr>
          <w:rFonts w:eastAsia="等线" w:ascii="Arial" w:cs="Arial" w:hAnsi="Arial"/>
          <w:sz w:val="22"/>
        </w:rPr>
        <w:t xml:space="preserve">: </w:t>
      </w:r>
      <w:r>
        <w:rPr>
          <w:rFonts w:eastAsia="Consolas" w:ascii="Consolas" w:cs="Consolas" w:hAnsi="Consolas"/>
          <w:sz w:val="22"/>
          <w:shd w:fill="EFF0F1"/>
        </w:rPr>
        <w:t>Service</w:t>
      </w:r>
      <w:r>
        <w:rPr>
          <w:rFonts w:eastAsia="等线" w:ascii="Arial" w:cs="Arial" w:hAnsi="Arial"/>
          <w:sz w:val="22"/>
        </w:rPr>
        <w:t xml:space="preserve"> 接口</w:t>
      </w:r>
      <w:r>
        <w:rPr>
          <w:rFonts w:eastAsia="等线" w:ascii="Arial" w:cs="Arial" w:hAnsi="Arial"/>
          <w:b w:val="true"/>
          <w:sz w:val="22"/>
        </w:rPr>
        <w:t>不要</w:t>
      </w:r>
      <w:r>
        <w:rPr>
          <w:rFonts w:eastAsia="等线" w:ascii="Arial" w:cs="Arial" w:hAnsi="Arial"/>
          <w:sz w:val="22"/>
        </w:rPr>
        <w:t xml:space="preserve">继承 </w:t>
      </w:r>
      <w:r>
        <w:rPr>
          <w:rFonts w:eastAsia="Consolas" w:ascii="Consolas" w:cs="Consolas" w:hAnsi="Consolas"/>
          <w:sz w:val="22"/>
          <w:shd w:fill="EFF0F1"/>
        </w:rPr>
        <w:t>IService</w:t>
      </w:r>
      <w:r>
        <w:rPr>
          <w:rFonts w:eastAsia="等线" w:ascii="Arial" w:cs="Arial" w:hAnsi="Arial"/>
          <w:sz w:val="22"/>
        </w:rPr>
        <w:t>，</w:t>
      </w:r>
      <w:r>
        <w:rPr>
          <w:rFonts w:eastAsia="Consolas" w:ascii="Consolas" w:cs="Consolas" w:hAnsi="Consolas"/>
          <w:sz w:val="22"/>
          <w:shd w:fill="EFF0F1"/>
        </w:rPr>
        <w:t>ServiceImpl</w:t>
      </w:r>
      <w:r>
        <w:rPr>
          <w:rFonts w:eastAsia="等线" w:ascii="Arial" w:cs="Arial" w:hAnsi="Arial"/>
          <w:sz w:val="22"/>
        </w:rPr>
        <w:t xml:space="preserve"> </w:t>
      </w:r>
      <w:r>
        <w:rPr>
          <w:rFonts w:eastAsia="等线" w:ascii="Arial" w:cs="Arial" w:hAnsi="Arial"/>
          <w:b w:val="true"/>
          <w:sz w:val="22"/>
        </w:rPr>
        <w:t>不要</w:t>
      </w:r>
      <w:r>
        <w:rPr>
          <w:rFonts w:eastAsia="等线" w:ascii="Arial" w:cs="Arial" w:hAnsi="Arial"/>
          <w:sz w:val="22"/>
        </w:rPr>
        <w:t xml:space="preserve">继承 </w:t>
      </w:r>
      <w:r>
        <w:rPr>
          <w:rFonts w:eastAsia="Consolas" w:ascii="Consolas" w:cs="Consolas" w:hAnsi="Consolas"/>
          <w:sz w:val="22"/>
          <w:shd w:fill="EFF0F1"/>
        </w:rPr>
        <w:t>ServiceImpl</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b w:val="true"/>
          <w:sz w:val="22"/>
        </w:rPr>
        <w:t>原因</w:t>
      </w:r>
      <w:r>
        <w:rPr>
          <w:rFonts w:eastAsia="等线" w:ascii="Arial" w:cs="Arial" w:hAnsi="Arial"/>
          <w:sz w:val="22"/>
        </w:rPr>
        <w:t xml:space="preserve">: 避免在 Controller 层能直接点出 </w:t>
      </w:r>
      <w:r>
        <w:rPr>
          <w:rFonts w:eastAsia="Consolas" w:ascii="Consolas" w:cs="Consolas" w:hAnsi="Consolas"/>
          <w:sz w:val="22"/>
          <w:shd w:fill="EFF0F1"/>
        </w:rPr>
        <w:t>service.getOne(wrapper)</w:t>
      </w:r>
      <w:r>
        <w:rPr>
          <w:rFonts w:eastAsia="等线" w:ascii="Arial" w:cs="Arial" w:hAnsi="Arial"/>
          <w:sz w:val="22"/>
        </w:rPr>
        <w:t xml:space="preserve"> 这种底层 SQL 构造方法，导致业务逻辑外泄。Service 层必须是纯净的业务语义。</w:t>
      </w:r>
    </w:p>
    <w:p>
      <w:pPr>
        <w:numPr>
          <w:numId w:val="21"/>
        </w:numPr>
        <w:spacing w:before="120" w:after="120" w:line="288" w:lineRule="auto"/>
        <w:ind w:left="0"/>
        <w:jc w:val="left"/>
      </w:pPr>
      <w:r>
        <w:rPr>
          <w:rFonts w:eastAsia="等线" w:ascii="Arial" w:cs="Arial" w:hAnsi="Arial"/>
          <w:sz w:val="22"/>
        </w:rPr>
        <w:t>命名风格：遵循 MP 习惯。虽然不继承接口，但为了降低团队认知成本，</w:t>
      </w:r>
      <w:r>
        <w:rPr>
          <w:rFonts w:eastAsia="等线" w:ascii="Arial" w:cs="Arial" w:hAnsi="Arial"/>
          <w:b w:val="true"/>
          <w:sz w:val="22"/>
        </w:rPr>
        <w:t>Service 层的方法命名需严格模仿 MP 的风格。</w:t>
      </w:r>
    </w:p>
    <w:p>
      <w:pPr>
        <w:pStyle w:val="3"/>
        <w:spacing w:before="300" w:after="120" w:line="288" w:lineRule="auto"/>
        <w:ind w:left="0"/>
        <w:jc w:val="left"/>
        <w:outlineLvl w:val="2"/>
      </w:pPr>
      <w:bookmarkStart w:name="heading_6" w:id="6"/>
      <w:r>
        <w:rPr>
          <w:rFonts w:eastAsia="等线" w:ascii="Arial" w:cs="Arial" w:hAnsi="Arial"/>
          <w:b w:val="true"/>
          <w:sz w:val="30"/>
        </w:rPr>
        <w:t>开发流程快速指引 (Quick Start)</w:t>
      </w:r>
      <w:bookmarkEnd w:id="6"/>
    </w:p>
    <w:p>
      <w:pPr>
        <w:spacing w:before="120" w:after="120" w:line="288" w:lineRule="auto"/>
        <w:ind w:left="0"/>
        <w:jc w:val="left"/>
      </w:pPr>
      <w:r>
        <w:rPr>
          <w:rFonts w:eastAsia="等线" w:ascii="Arial" w:cs="Arial" w:hAnsi="Arial"/>
          <w:sz w:val="22"/>
        </w:rPr>
        <w:t>假设开发一个“发布文章”的功能，标准步骤如下：</w:t>
      </w:r>
    </w:p>
    <w:p>
      <w:pPr>
        <w:numPr>
          <w:numId w:val="22"/>
        </w:numPr>
        <w:spacing w:before="120" w:after="120" w:line="288" w:lineRule="auto"/>
        <w:ind w:left="0"/>
        <w:jc w:val="left"/>
      </w:pPr>
      <w:r>
        <w:rPr>
          <w:rFonts w:eastAsia="等线" w:ascii="Arial" w:cs="Arial" w:hAnsi="Arial"/>
          <w:sz w:val="22"/>
        </w:rPr>
        <w:t>定义数据 (Domain)</w:t>
      </w:r>
    </w:p>
    <w:p>
      <w:pPr>
        <w:numPr>
          <w:numId w:val="23"/>
        </w:numPr>
        <w:spacing w:before="120" w:after="120" w:line="288" w:lineRule="auto"/>
        <w:ind w:left="453"/>
        <w:jc w:val="left"/>
      </w:pPr>
      <w:r>
        <w:rPr>
          <w:rFonts w:eastAsia="等线" w:ascii="Arial" w:cs="Arial" w:hAnsi="Arial"/>
          <w:sz w:val="22"/>
        </w:rPr>
        <w:t xml:space="preserve">在 </w:t>
      </w:r>
      <w:r>
        <w:rPr>
          <w:rFonts w:eastAsia="Consolas" w:ascii="Consolas" w:cs="Consolas" w:hAnsi="Consolas"/>
          <w:sz w:val="22"/>
          <w:shd w:fill="EFF0F1"/>
        </w:rPr>
        <w:t>domain/entity</w:t>
      </w:r>
      <w:r>
        <w:rPr>
          <w:rFonts w:eastAsia="等线" w:ascii="Arial" w:cs="Arial" w:hAnsi="Arial"/>
          <w:sz w:val="22"/>
        </w:rPr>
        <w:t xml:space="preserve"> 创建 </w:t>
      </w:r>
      <w:r>
        <w:rPr>
          <w:rFonts w:eastAsia="Consolas" w:ascii="Consolas" w:cs="Consolas" w:hAnsi="Consolas"/>
          <w:sz w:val="22"/>
          <w:shd w:fill="EFF0F1"/>
        </w:rPr>
        <w:t>Article.java</w:t>
      </w:r>
      <w:r>
        <w:rPr>
          <w:rFonts w:eastAsia="等线" w:ascii="Arial" w:cs="Arial" w:hAnsi="Arial"/>
          <w:sz w:val="22"/>
        </w:rPr>
        <w:t xml:space="preserve"> (映射数据库)。</w:t>
      </w:r>
    </w:p>
    <w:p>
      <w:pPr>
        <w:numPr>
          <w:numId w:val="24"/>
        </w:numPr>
        <w:spacing w:before="120" w:after="120" w:line="288" w:lineRule="auto"/>
        <w:ind w:left="453"/>
        <w:jc w:val="left"/>
      </w:pPr>
      <w:r>
        <w:rPr>
          <w:rFonts w:eastAsia="等线" w:ascii="Arial" w:cs="Arial" w:hAnsi="Arial"/>
          <w:sz w:val="22"/>
        </w:rPr>
        <w:t xml:space="preserve">在 </w:t>
      </w:r>
      <w:r>
        <w:rPr>
          <w:rFonts w:eastAsia="Consolas" w:ascii="Consolas" w:cs="Consolas" w:hAnsi="Consolas"/>
          <w:sz w:val="22"/>
          <w:shd w:fill="EFF0F1"/>
        </w:rPr>
        <w:t>domain/dto</w:t>
      </w:r>
      <w:r>
        <w:rPr>
          <w:rFonts w:eastAsia="等线" w:ascii="Arial" w:cs="Arial" w:hAnsi="Arial"/>
          <w:sz w:val="22"/>
        </w:rPr>
        <w:t xml:space="preserve"> 创建 </w:t>
      </w:r>
      <w:r>
        <w:rPr>
          <w:rFonts w:eastAsia="Consolas" w:ascii="Consolas" w:cs="Consolas" w:hAnsi="Consolas"/>
          <w:sz w:val="22"/>
          <w:shd w:fill="EFF0F1"/>
        </w:rPr>
        <w:t>ArticleDTO.java</w:t>
      </w:r>
      <w:r>
        <w:rPr>
          <w:rFonts w:eastAsia="等线" w:ascii="Arial" w:cs="Arial" w:hAnsi="Arial"/>
          <w:sz w:val="22"/>
        </w:rPr>
        <w:t xml:space="preserve"> (前端传来的标题、内容)。</w:t>
      </w:r>
    </w:p>
    <w:p>
      <w:pPr>
        <w:numPr>
          <w:numId w:val="25"/>
        </w:numPr>
        <w:spacing w:before="120" w:after="120" w:line="288" w:lineRule="auto"/>
        <w:ind w:left="0"/>
        <w:jc w:val="left"/>
      </w:pPr>
      <w:r>
        <w:rPr>
          <w:rFonts w:eastAsia="等线" w:ascii="Arial" w:cs="Arial" w:hAnsi="Arial"/>
          <w:sz w:val="22"/>
        </w:rPr>
        <w:t>数据访问 (Mapper)</w:t>
      </w:r>
    </w:p>
    <w:p>
      <w:pPr>
        <w:numPr>
          <w:numId w:val="26"/>
        </w:numPr>
        <w:spacing w:before="120" w:after="120" w:line="288" w:lineRule="auto"/>
        <w:ind w:left="453"/>
        <w:jc w:val="left"/>
      </w:pPr>
      <w:r>
        <w:rPr>
          <w:rFonts w:eastAsia="等线" w:ascii="Arial" w:cs="Arial" w:hAnsi="Arial"/>
          <w:sz w:val="22"/>
        </w:rPr>
        <w:t xml:space="preserve">创建 </w:t>
      </w:r>
      <w:r>
        <w:rPr>
          <w:rFonts w:eastAsia="Consolas" w:ascii="Consolas" w:cs="Consolas" w:hAnsi="Consolas"/>
          <w:sz w:val="22"/>
          <w:shd w:fill="EFF0F1"/>
        </w:rPr>
        <w:t>ArticleMapper.java</w:t>
      </w:r>
      <w:r>
        <w:rPr>
          <w:rFonts w:eastAsia="等线" w:ascii="Arial" w:cs="Arial" w:hAnsi="Arial"/>
          <w:sz w:val="22"/>
        </w:rPr>
        <w:t xml:space="preserve">，继承 </w:t>
      </w:r>
      <w:r>
        <w:rPr>
          <w:rFonts w:eastAsia="Consolas" w:ascii="Consolas" w:cs="Consolas" w:hAnsi="Consolas"/>
          <w:sz w:val="22"/>
          <w:shd w:fill="EFF0F1"/>
        </w:rPr>
        <w:t>BaseMapper&lt;Article&gt;</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@Mapperpublic interface ArticleMapper extends BaseMapper&lt;Article&gt; {</w:t>
              <w:br/>
              <w:t xml:space="preserve">    // MP 自动提供了 CRUD，这里一般是空的，除非写手写 SQL</w:t>
              <w:br/>
            </w:r>
            <w:r>
              <w:rPr>
                <w:rFonts w:eastAsia="Consolas" w:ascii="Consolas" w:cs="Consolas" w:hAnsi="Consolas"/>
                <w:sz w:val="22"/>
              </w:rPr>
              <w:t>}</w:t>
            </w:r>
          </w:p>
        </w:tc>
      </w:tr>
    </w:tbl>
    <w:p>
      <w:pPr>
        <w:numPr>
          <w:numId w:val="27"/>
        </w:numPr>
        <w:spacing w:before="120" w:after="120" w:line="288" w:lineRule="auto"/>
        <w:ind w:left="0"/>
        <w:jc w:val="left"/>
      </w:pPr>
      <w:r>
        <w:rPr>
          <w:rFonts w:eastAsia="等线" w:ascii="Arial" w:cs="Arial" w:hAnsi="Arial"/>
          <w:sz w:val="22"/>
        </w:rPr>
        <w:t>业务逻辑 (Service)</w:t>
      </w:r>
    </w:p>
    <w:p>
      <w:pPr>
        <w:numPr>
          <w:numId w:val="28"/>
        </w:numPr>
        <w:spacing w:before="120" w:after="120" w:line="288" w:lineRule="auto"/>
        <w:ind w:left="453"/>
        <w:jc w:val="left"/>
      </w:pPr>
      <w:r>
        <w:rPr>
          <w:rFonts w:eastAsia="等线" w:ascii="Arial" w:cs="Arial" w:hAnsi="Arial"/>
          <w:b w:val="true"/>
          <w:sz w:val="22"/>
        </w:rPr>
        <w:t>接口</w:t>
      </w:r>
      <w:r>
        <w:rPr>
          <w:rFonts w:eastAsia="等线" w:ascii="Arial" w:cs="Arial" w:hAnsi="Arial"/>
          <w:sz w:val="22"/>
        </w:rPr>
        <w:t xml:space="preserve">: 定义 </w:t>
      </w:r>
      <w:r>
        <w:rPr>
          <w:rFonts w:eastAsia="Consolas" w:ascii="Consolas" w:cs="Consolas" w:hAnsi="Consolas"/>
          <w:sz w:val="22"/>
          <w:shd w:fill="EFF0F1"/>
        </w:rPr>
        <w:t>IArticleService</w:t>
      </w:r>
      <w:r>
        <w:rPr>
          <w:rFonts w:eastAsia="等线" w:ascii="Arial" w:cs="Arial" w:hAnsi="Arial"/>
          <w:sz w:val="22"/>
        </w:rPr>
        <w:t xml:space="preserve">，只暴露业务方法 </w:t>
      </w:r>
      <w:r>
        <w:rPr>
          <w:rFonts w:eastAsia="Consolas" w:ascii="Consolas" w:cs="Consolas" w:hAnsi="Consolas"/>
          <w:sz w:val="22"/>
          <w:shd w:fill="EFF0F1"/>
        </w:rPr>
        <w:t>saveArticle</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实现</w:t>
      </w:r>
      <w:r>
        <w:rPr>
          <w:rFonts w:eastAsia="等线" w:ascii="Arial" w:cs="Arial" w:hAnsi="Arial"/>
          <w:sz w:val="22"/>
        </w:rPr>
        <w:t xml:space="preserve">: 创建 </w:t>
      </w:r>
      <w:r>
        <w:rPr>
          <w:rFonts w:eastAsia="Consolas" w:ascii="Consolas" w:cs="Consolas" w:hAnsi="Consolas"/>
          <w:sz w:val="22"/>
          <w:shd w:fill="EFF0F1"/>
        </w:rPr>
        <w:t>ArticleServiceImpl</w:t>
      </w:r>
      <w:r>
        <w:rPr>
          <w:rFonts w:eastAsia="等线" w:ascii="Arial" w:cs="Arial" w:hAnsi="Arial"/>
          <w:sz w:val="22"/>
        </w:rPr>
        <w:t>。</w:t>
      </w:r>
    </w:p>
    <w:p>
      <w:pPr>
        <w:numPr>
          <w:numId w:val="30"/>
        </w:numPr>
        <w:spacing w:before="120" w:after="120" w:line="288" w:lineRule="auto"/>
        <w:ind w:left="907"/>
        <w:jc w:val="left"/>
      </w:pPr>
      <w:r>
        <w:rPr>
          <w:rFonts w:eastAsia="等线" w:ascii="Arial" w:cs="Arial" w:hAnsi="Arial"/>
          <w:sz w:val="22"/>
        </w:rPr>
        <w:t xml:space="preserve">注入 </w:t>
      </w:r>
      <w:r>
        <w:rPr>
          <w:rFonts w:eastAsia="Consolas" w:ascii="Consolas" w:cs="Consolas" w:hAnsi="Consolas"/>
          <w:sz w:val="22"/>
          <w:shd w:fill="EFF0F1"/>
        </w:rPr>
        <w:t>ArticleMapper</w:t>
      </w:r>
      <w:r>
        <w:rPr>
          <w:rFonts w:eastAsia="等线" w:ascii="Arial" w:cs="Arial" w:hAnsi="Arial"/>
          <w:sz w:val="22"/>
        </w:rPr>
        <w:t>。</w:t>
      </w:r>
    </w:p>
    <w:p>
      <w:pPr>
        <w:numPr>
          <w:numId w:val="31"/>
        </w:numPr>
        <w:spacing w:before="120" w:after="120" w:line="288" w:lineRule="auto"/>
        <w:ind w:left="907"/>
        <w:jc w:val="left"/>
      </w:pPr>
      <w:r>
        <w:rPr>
          <w:rFonts w:eastAsia="等线" w:ascii="Arial" w:cs="Arial" w:hAnsi="Arial"/>
          <w:sz w:val="22"/>
        </w:rPr>
        <w:t xml:space="preserve">将 </w:t>
      </w:r>
      <w:r>
        <w:rPr>
          <w:rFonts w:eastAsia="Consolas" w:ascii="Consolas" w:cs="Consolas" w:hAnsi="Consolas"/>
          <w:sz w:val="22"/>
          <w:shd w:fill="EFF0F1"/>
        </w:rPr>
        <w:t>ArticleDTO</w:t>
      </w:r>
      <w:r>
        <w:rPr>
          <w:rFonts w:eastAsia="等线" w:ascii="Arial" w:cs="Arial" w:hAnsi="Arial"/>
          <w:sz w:val="22"/>
        </w:rPr>
        <w:t xml:space="preserve"> 转换为 </w:t>
      </w:r>
      <w:r>
        <w:rPr>
          <w:rFonts w:eastAsia="Consolas" w:ascii="Consolas" w:cs="Consolas" w:hAnsi="Consolas"/>
          <w:sz w:val="22"/>
          <w:shd w:fill="EFF0F1"/>
        </w:rPr>
        <w:t>Article</w:t>
      </w:r>
      <w:r>
        <w:rPr>
          <w:rFonts w:eastAsia="等线" w:ascii="Arial" w:cs="Arial" w:hAnsi="Arial"/>
          <w:sz w:val="22"/>
        </w:rPr>
        <w:t xml:space="preserve"> (Entity)。</w:t>
      </w:r>
    </w:p>
    <w:p>
      <w:pPr>
        <w:numPr>
          <w:numId w:val="32"/>
        </w:numPr>
        <w:spacing w:before="120" w:after="120" w:line="288" w:lineRule="auto"/>
        <w:ind w:left="907"/>
        <w:jc w:val="left"/>
      </w:pPr>
      <w:r>
        <w:rPr>
          <w:rFonts w:eastAsia="等线" w:ascii="Arial" w:cs="Arial" w:hAnsi="Arial"/>
          <w:sz w:val="22"/>
        </w:rPr>
        <w:t xml:space="preserve">调用 </w:t>
      </w:r>
      <w:r>
        <w:rPr>
          <w:rFonts w:eastAsia="Consolas" w:ascii="Consolas" w:cs="Consolas" w:hAnsi="Consolas"/>
          <w:sz w:val="22"/>
          <w:shd w:fill="EFF0F1"/>
        </w:rPr>
        <w:t>mapper.insert(entity)</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如有需要，发送消息队列或写入 ES。</w:t>
      </w:r>
    </w:p>
    <w:p>
      <w:pPr>
        <w:numPr>
          <w:numId w:val="34"/>
        </w:numPr>
        <w:spacing w:before="120" w:after="120" w:line="288" w:lineRule="auto"/>
        <w:ind w:left="0"/>
        <w:jc w:val="left"/>
      </w:pPr>
      <w:r>
        <w:rPr>
          <w:rFonts w:eastAsia="等线" w:ascii="Arial" w:cs="Arial" w:hAnsi="Arial"/>
          <w:sz w:val="22"/>
        </w:rPr>
        <w:t>接口暴露 (Controller)</w:t>
      </w:r>
    </w:p>
    <w:p>
      <w:pPr>
        <w:numPr>
          <w:numId w:val="35"/>
        </w:numPr>
        <w:spacing w:before="120" w:after="120" w:line="288" w:lineRule="auto"/>
        <w:ind w:left="453"/>
        <w:jc w:val="left"/>
      </w:pPr>
      <w:r>
        <w:rPr>
          <w:rFonts w:eastAsia="等线" w:ascii="Arial" w:cs="Arial" w:hAnsi="Arial"/>
          <w:sz w:val="22"/>
        </w:rPr>
        <w:t xml:space="preserve">注入 </w:t>
      </w:r>
      <w:r>
        <w:rPr>
          <w:rFonts w:eastAsia="Consolas" w:ascii="Consolas" w:cs="Consolas" w:hAnsi="Consolas"/>
          <w:sz w:val="22"/>
          <w:shd w:fill="EFF0F1"/>
        </w:rPr>
        <w:t>IArticleService</w:t>
      </w:r>
      <w:r>
        <w:rPr>
          <w:rFonts w:eastAsia="等线" w:ascii="Arial" w:cs="Arial" w:hAnsi="Arial"/>
          <w:sz w:val="22"/>
        </w:rPr>
        <w:t>。</w:t>
      </w:r>
    </w:p>
    <w:p>
      <w:pPr>
        <w:numPr>
          <w:numId w:val="36"/>
        </w:numPr>
        <w:spacing w:before="120" w:after="120" w:line="288" w:lineRule="auto"/>
        <w:ind w:left="453"/>
        <w:jc w:val="left"/>
      </w:pPr>
      <w:r>
        <w:rPr>
          <w:rFonts w:eastAsia="等线" w:ascii="Arial" w:cs="Arial" w:hAnsi="Arial"/>
          <w:sz w:val="22"/>
        </w:rPr>
        <w:t xml:space="preserve">接收 DTO，调用 Service，封装统一返回对象 </w:t>
      </w:r>
      <w:r>
        <w:rPr>
          <w:rFonts w:eastAsia="Consolas" w:ascii="Consolas" w:cs="Consolas" w:hAnsi="Consolas"/>
          <w:sz w:val="22"/>
          <w:shd w:fill="EFF0F1"/>
        </w:rPr>
        <w:t>R</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@PostMapping("/create")public R&lt;Boolean&gt; create(@RequestBody ArticleDTO dto) {</w:t>
              <w:br/>
              <w:t xml:space="preserve">    return R.ok(articleService.saveArticle(dto));</w:t>
              <w:br/>
            </w:r>
            <w:r>
              <w:rPr>
                <w:rFonts w:eastAsia="Consolas" w:ascii="Consolas" w:cs="Consolas" w:hAnsi="Consolas"/>
                <w:sz w:val="22"/>
              </w:rPr>
              <w:t>}</w:t>
            </w:r>
          </w:p>
        </w:tc>
      </w:tr>
    </w:tbl>
    <w:p>
      <w:pPr>
        <w:pStyle w:val="3"/>
        <w:spacing w:before="300" w:after="120" w:line="288" w:lineRule="auto"/>
        <w:ind w:left="0"/>
        <w:jc w:val="left"/>
        <w:outlineLvl w:val="2"/>
      </w:pPr>
      <w:bookmarkStart w:name="heading_7" w:id="7"/>
      <w:r>
        <w:rPr>
          <w:rFonts w:eastAsia="等线" w:ascii="Arial" w:cs="Arial" w:hAnsi="Arial"/>
          <w:b w:val="true"/>
          <w:sz w:val="30"/>
        </w:rPr>
        <w:t>注意事项</w:t>
      </w:r>
      <w:bookmarkEnd w:id="7"/>
    </w:p>
    <w:p>
      <w:pPr>
        <w:numPr>
          <w:numId w:val="37"/>
        </w:numPr>
        <w:spacing w:before="120" w:after="120" w:line="288" w:lineRule="auto"/>
        <w:ind w:left="0"/>
        <w:jc w:val="left"/>
      </w:pPr>
      <w:r>
        <w:rPr>
          <w:rFonts w:eastAsia="等线" w:ascii="Arial" w:cs="Arial" w:hAnsi="Arial"/>
          <w:b w:val="true"/>
          <w:sz w:val="22"/>
        </w:rPr>
        <w:t>公共包使用</w:t>
      </w:r>
      <w:r>
        <w:rPr>
          <w:rFonts w:eastAsia="等线" w:ascii="Arial" w:cs="Arial" w:hAnsi="Arial"/>
          <w:sz w:val="22"/>
        </w:rPr>
        <w:t>: 所有通用的工具类（DateUtil）、统一返回结果（</w:t>
      </w:r>
      <w:r>
        <w:rPr>
          <w:rFonts w:eastAsia="Consolas" w:ascii="Consolas" w:cs="Consolas" w:hAnsi="Consolas"/>
          <w:sz w:val="22"/>
          <w:shd w:fill="EFF0F1"/>
        </w:rPr>
        <w:t>R</w:t>
      </w:r>
      <w:r>
        <w:rPr>
          <w:rFonts w:eastAsia="等线" w:ascii="Arial" w:cs="Arial" w:hAnsi="Arial"/>
          <w:sz w:val="22"/>
        </w:rPr>
        <w:t xml:space="preserve">）、全局异常处理均在 </w:t>
      </w:r>
      <w:r>
        <w:rPr>
          <w:rFonts w:eastAsia="Consolas" w:ascii="Consolas" w:cs="Consolas" w:hAnsi="Consolas"/>
          <w:sz w:val="22"/>
          <w:shd w:fill="EFF0F1"/>
        </w:rPr>
        <w:t>wisepen-common</w:t>
      </w:r>
      <w:r>
        <w:rPr>
          <w:rFonts w:eastAsia="等线" w:ascii="Arial" w:cs="Arial" w:hAnsi="Arial"/>
          <w:sz w:val="22"/>
        </w:rPr>
        <w:t xml:space="preserve"> 中，禁止在业务服务中重复造轮子。</w:t>
      </w:r>
    </w:p>
    <w:p>
      <w:pPr>
        <w:numPr>
          <w:numId w:val="38"/>
        </w:numPr>
        <w:spacing w:before="120" w:after="120" w:line="288" w:lineRule="auto"/>
        <w:ind w:left="0"/>
        <w:jc w:val="left"/>
      </w:pPr>
      <w:r>
        <w:rPr>
          <w:rFonts w:eastAsia="等线" w:ascii="Arial" w:cs="Arial" w:hAnsi="Arial"/>
          <w:b w:val="true"/>
          <w:sz w:val="22"/>
        </w:rPr>
        <w:t xml:space="preserve">DTO 转换: 推荐使用 </w:t>
      </w:r>
      <w:r>
        <w:rPr>
          <w:rFonts w:eastAsia="Consolas" w:ascii="Consolas" w:cs="Consolas" w:hAnsi="Consolas"/>
          <w:b w:val="true"/>
          <w:sz w:val="22"/>
          <w:shd w:fill="EFF0F1"/>
        </w:rPr>
        <w:t>BeanUtil.copyProperties</w:t>
      </w:r>
      <w:r>
        <w:rPr>
          <w:rFonts w:eastAsia="等线" w:ascii="Arial" w:cs="Arial" w:hAnsi="Arial"/>
          <w:b w:val="true"/>
          <w:sz w:val="22"/>
        </w:rPr>
        <w:t xml:space="preserve"> 或 MapStruct 进行 Entity 与 DTO 之间的转换，不要手动大量的 </w:t>
      </w:r>
      <w:r>
        <w:rPr>
          <w:rFonts w:eastAsia="Consolas" w:ascii="Consolas" w:cs="Consolas" w:hAnsi="Consolas"/>
          <w:b w:val="true"/>
          <w:sz w:val="22"/>
          <w:shd w:fill="EFF0F1"/>
        </w:rPr>
        <w:t>set/get</w:t>
      </w:r>
      <w:r>
        <w:rPr>
          <w:rFonts w:eastAsia="等线" w:ascii="Arial" w:cs="Arial" w:hAnsi="Arial"/>
          <w:b w:val="true"/>
          <w:sz w:val="22"/>
        </w:rPr>
        <w:t>。</w:t>
      </w:r>
    </w:p>
    <w:p>
      <w:pPr>
        <w:numPr>
          <w:numId w:val="39"/>
        </w:numPr>
        <w:spacing w:before="120" w:after="120" w:line="288" w:lineRule="auto"/>
        <w:ind w:left="453"/>
        <w:jc w:val="left"/>
      </w:pPr>
      <w:r>
        <w:rPr>
          <w:rFonts w:eastAsia="等线" w:ascii="Arial" w:cs="Arial" w:hAnsi="Arial"/>
          <w:sz w:val="22"/>
        </w:rPr>
        <w:t>注意，用的是</w:t>
      </w:r>
      <w:r>
        <w:rPr>
          <w:rFonts w:eastAsia="Consolas" w:ascii="Consolas" w:cs="Consolas" w:hAnsi="Consolas"/>
          <w:b w:val="true"/>
          <w:sz w:val="22"/>
          <w:shd w:fill="EFF0F1"/>
        </w:rPr>
        <w:t>BeanUtil</w:t>
      </w:r>
      <w:r>
        <w:rPr>
          <w:rFonts w:eastAsia="等线" w:ascii="Arial" w:cs="Arial" w:hAnsi="Arial"/>
          <w:b w:val="true"/>
          <w:sz w:val="22"/>
        </w:rPr>
        <w:t>而不是</w:t>
      </w:r>
      <w:r>
        <w:rPr>
          <w:rFonts w:eastAsia="Consolas" w:ascii="Consolas" w:cs="Consolas" w:hAnsi="Consolas"/>
          <w:b w:val="true"/>
          <w:color w:val="d83931"/>
          <w:sz w:val="22"/>
          <w:shd w:fill="fff67a"/>
        </w:rPr>
        <w:t>BeanUtils</w:t>
      </w:r>
    </w:p>
    <w:p>
      <w:pPr>
        <w:numPr>
          <w:numId w:val="40"/>
        </w:numPr>
        <w:spacing w:before="120" w:after="120" w:line="288" w:lineRule="auto"/>
        <w:ind w:left="0"/>
        <w:jc w:val="left"/>
      </w:pPr>
      <w:r>
        <w:rPr>
          <w:rFonts w:eastAsia="等线" w:ascii="Arial" w:cs="Arial" w:hAnsi="Arial"/>
          <w:b w:val="true"/>
          <w:sz w:val="22"/>
        </w:rPr>
        <w:t>RPC 调用</w:t>
      </w:r>
      <w:r>
        <w:rPr>
          <w:rFonts w:eastAsia="等线" w:ascii="Arial" w:cs="Arial" w:hAnsi="Arial"/>
          <w:sz w:val="22"/>
        </w:rPr>
        <w:t xml:space="preserve">: 调用其他服务时，必须使用 </w:t>
      </w:r>
      <w:r>
        <w:rPr>
          <w:rFonts w:eastAsia="Consolas" w:ascii="Consolas" w:cs="Consolas" w:hAnsi="Consolas"/>
          <w:sz w:val="22"/>
          <w:shd w:fill="EFF0F1"/>
        </w:rPr>
        <w:t>api</w:t>
      </w:r>
      <w:r>
        <w:rPr>
          <w:rFonts w:eastAsia="等线" w:ascii="Arial" w:cs="Arial" w:hAnsi="Arial"/>
          <w:sz w:val="22"/>
        </w:rPr>
        <w:t xml:space="preserve"> 模块提供的 FeignClient，禁止使用 RestTemplate 硬编码 URL。</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周明波 3342"/>
          <v:fill opacity="0.3"/>
        </v:shape>
      </w:pict>
    </w:r>
  </w:p>
</w:hdr>
</file>

<file path=word/numbering.xml><?xml version="1.0" encoding="utf-8"?>
<w:numbering xmlns:w="http://schemas.openxmlformats.org/wordprocessingml/2006/main">
  <w:abstractNum w:abstractNumId="852828">
    <w:lvl>
      <w:numFmt w:val="bullet"/>
      <w:suff w:val="tab"/>
      <w:lvlText w:val="•"/>
      <w:rPr>
        <w:color w:val="3370ff"/>
      </w:rPr>
    </w:lvl>
  </w:abstractNum>
  <w:abstractNum w:abstractNumId="852829">
    <w:lvl>
      <w:numFmt w:val="bullet"/>
      <w:suff w:val="tab"/>
      <w:lvlText w:val="•"/>
      <w:rPr>
        <w:color w:val="3370ff"/>
      </w:rPr>
    </w:lvl>
  </w:abstractNum>
  <w:abstractNum w:abstractNumId="852830">
    <w:lvl>
      <w:numFmt w:val="bullet"/>
      <w:suff w:val="tab"/>
      <w:lvlText w:val="•"/>
      <w:rPr>
        <w:color w:val="3370ff"/>
      </w:rPr>
    </w:lvl>
  </w:abstractNum>
  <w:abstractNum w:abstractNumId="852831">
    <w:lvl>
      <w:start w:val="1"/>
      <w:numFmt w:val="decimal"/>
      <w:suff w:val="tab"/>
      <w:lvlText w:val="%1."/>
      <w:rPr>
        <w:color w:val="3370ff"/>
      </w:rPr>
    </w:lvl>
  </w:abstractNum>
  <w:abstractNum w:abstractNumId="852832">
    <w:lvl>
      <w:start w:val="2"/>
      <w:numFmt w:val="decimal"/>
      <w:suff w:val="tab"/>
      <w:lvlText w:val="%1."/>
      <w:rPr>
        <w:color w:val="3370ff"/>
      </w:rPr>
    </w:lvl>
  </w:abstractNum>
  <w:abstractNum w:abstractNumId="852833">
    <w:lvl>
      <w:start w:val="3"/>
      <w:numFmt w:val="decimal"/>
      <w:suff w:val="tab"/>
      <w:lvlText w:val="%1."/>
      <w:rPr>
        <w:color w:val="3370ff"/>
      </w:rPr>
    </w:lvl>
  </w:abstractNum>
  <w:abstractNum w:abstractNumId="852834">
    <w:lvl>
      <w:numFmt w:val="bullet"/>
      <w:suff w:val="tab"/>
      <w:lvlText w:val="•"/>
      <w:rPr>
        <w:color w:val="3370ff"/>
      </w:rPr>
    </w:lvl>
  </w:abstractNum>
  <w:abstractNum w:abstractNumId="852835">
    <w:lvl>
      <w:numFmt w:val="bullet"/>
      <w:suff w:val="tab"/>
      <w:lvlText w:val="￮"/>
      <w:rPr>
        <w:color w:val="3370ff"/>
      </w:rPr>
    </w:lvl>
  </w:abstractNum>
  <w:abstractNum w:abstractNumId="852836">
    <w:lvl>
      <w:numFmt w:val="bullet"/>
      <w:suff w:val="tab"/>
      <w:lvlText w:val="￮"/>
      <w:rPr>
        <w:color w:val="3370ff"/>
      </w:rPr>
    </w:lvl>
  </w:abstractNum>
  <w:abstractNum w:abstractNumId="852837">
    <w:lvl>
      <w:numFmt w:val="bullet"/>
      <w:suff w:val="tab"/>
      <w:lvlText w:val="￮"/>
      <w:rPr>
        <w:color w:val="3370ff"/>
      </w:rPr>
    </w:lvl>
  </w:abstractNum>
  <w:abstractNum w:abstractNumId="852838">
    <w:lvl>
      <w:numFmt w:val="bullet"/>
      <w:suff w:val="tab"/>
      <w:lvlText w:val="•"/>
      <w:rPr>
        <w:color w:val="3370ff"/>
      </w:rPr>
    </w:lvl>
  </w:abstractNum>
  <w:abstractNum w:abstractNumId="852839">
    <w:lvl>
      <w:numFmt w:val="bullet"/>
      <w:suff w:val="tab"/>
      <w:lvlText w:val="￮"/>
      <w:rPr>
        <w:color w:val="3370ff"/>
      </w:rPr>
    </w:lvl>
  </w:abstractNum>
  <w:abstractNum w:abstractNumId="852840">
    <w:lvl>
      <w:numFmt w:val="bullet"/>
      <w:suff w:val="tab"/>
      <w:lvlText w:val="￮"/>
      <w:rPr>
        <w:color w:val="3370ff"/>
      </w:rPr>
    </w:lvl>
  </w:abstractNum>
  <w:abstractNum w:abstractNumId="852841">
    <w:lvl>
      <w:start w:val="1"/>
      <w:numFmt w:val="lowerRoman"/>
      <w:suff w:val="tab"/>
      <w:lvlText w:val="%1."/>
      <w:rPr>
        <w:color w:val="3370ff"/>
      </w:rPr>
    </w:lvl>
  </w:abstractNum>
  <w:abstractNum w:abstractNumId="852842">
    <w:lvl>
      <w:start w:val="2"/>
      <w:numFmt w:val="lowerRoman"/>
      <w:suff w:val="tab"/>
      <w:lvlText w:val="%1."/>
      <w:rPr>
        <w:color w:val="3370ff"/>
      </w:rPr>
    </w:lvl>
  </w:abstractNum>
  <w:abstractNum w:abstractNumId="852843">
    <w:lvl>
      <w:start w:val="3"/>
      <w:numFmt w:val="lowerRoman"/>
      <w:suff w:val="tab"/>
      <w:lvlText w:val="%1."/>
      <w:rPr>
        <w:color w:val="3370ff"/>
      </w:rPr>
    </w:lvl>
  </w:abstractNum>
  <w:abstractNum w:abstractNumId="852844">
    <w:lvl>
      <w:numFmt w:val="bullet"/>
      <w:suff w:val="tab"/>
      <w:lvlText w:val="￮"/>
      <w:rPr>
        <w:color w:val="3370ff"/>
      </w:rPr>
    </w:lvl>
  </w:abstractNum>
  <w:abstractNum w:abstractNumId="852845">
    <w:lvl>
      <w:start w:val="1"/>
      <w:numFmt w:val="decimal"/>
      <w:suff w:val="tab"/>
      <w:lvlText w:val="%1."/>
      <w:rPr>
        <w:color w:val="3370ff"/>
      </w:rPr>
    </w:lvl>
  </w:abstractNum>
  <w:abstractNum w:abstractNumId="852846">
    <w:lvl>
      <w:numFmt w:val="bullet"/>
      <w:suff w:val="tab"/>
      <w:lvlText w:val="￮"/>
      <w:rPr>
        <w:color w:val="3370ff"/>
      </w:rPr>
    </w:lvl>
  </w:abstractNum>
  <w:abstractNum w:abstractNumId="852847">
    <w:lvl>
      <w:numFmt w:val="bullet"/>
      <w:suff w:val="tab"/>
      <w:lvlText w:val="￮"/>
      <w:rPr>
        <w:color w:val="3370ff"/>
      </w:rPr>
    </w:lvl>
  </w:abstractNum>
  <w:abstractNum w:abstractNumId="852848">
    <w:lvl>
      <w:start w:val="2"/>
      <w:numFmt w:val="decimal"/>
      <w:suff w:val="tab"/>
      <w:lvlText w:val="%1."/>
      <w:rPr>
        <w:color w:val="3370ff"/>
      </w:rPr>
    </w:lvl>
  </w:abstractNum>
  <w:abstractNum w:abstractNumId="852849">
    <w:lvl>
      <w:start w:val="1"/>
      <w:numFmt w:val="decimal"/>
      <w:suff w:val="tab"/>
      <w:lvlText w:val="%1."/>
      <w:rPr>
        <w:color w:val="3370ff"/>
      </w:rPr>
    </w:lvl>
  </w:abstractNum>
  <w:abstractNum w:abstractNumId="852850">
    <w:lvl>
      <w:numFmt w:val="bullet"/>
      <w:suff w:val="tab"/>
      <w:lvlText w:val="￮"/>
      <w:rPr>
        <w:color w:val="3370ff"/>
      </w:rPr>
    </w:lvl>
  </w:abstractNum>
  <w:abstractNum w:abstractNumId="852851">
    <w:lvl>
      <w:numFmt w:val="bullet"/>
      <w:suff w:val="tab"/>
      <w:lvlText w:val="￮"/>
      <w:rPr>
        <w:color w:val="3370ff"/>
      </w:rPr>
    </w:lvl>
  </w:abstractNum>
  <w:abstractNum w:abstractNumId="852852">
    <w:lvl>
      <w:start w:val="2"/>
      <w:numFmt w:val="decimal"/>
      <w:suff w:val="tab"/>
      <w:lvlText w:val="%1."/>
      <w:rPr>
        <w:color w:val="3370ff"/>
      </w:rPr>
    </w:lvl>
  </w:abstractNum>
  <w:abstractNum w:abstractNumId="852853">
    <w:lvl>
      <w:numFmt w:val="bullet"/>
      <w:suff w:val="tab"/>
      <w:lvlText w:val="￮"/>
      <w:rPr>
        <w:color w:val="3370ff"/>
      </w:rPr>
    </w:lvl>
  </w:abstractNum>
  <w:abstractNum w:abstractNumId="852854">
    <w:lvl>
      <w:start w:val="3"/>
      <w:numFmt w:val="decimal"/>
      <w:suff w:val="tab"/>
      <w:lvlText w:val="%1."/>
      <w:rPr>
        <w:color w:val="3370ff"/>
      </w:rPr>
    </w:lvl>
  </w:abstractNum>
  <w:abstractNum w:abstractNumId="852855">
    <w:lvl>
      <w:numFmt w:val="bullet"/>
      <w:suff w:val="tab"/>
      <w:lvlText w:val="￮"/>
      <w:rPr>
        <w:color w:val="3370ff"/>
      </w:rPr>
    </w:lvl>
  </w:abstractNum>
  <w:abstractNum w:abstractNumId="852856">
    <w:lvl>
      <w:numFmt w:val="bullet"/>
      <w:suff w:val="tab"/>
      <w:lvlText w:val="￮"/>
      <w:rPr>
        <w:color w:val="3370ff"/>
      </w:rPr>
    </w:lvl>
  </w:abstractNum>
  <w:abstractNum w:abstractNumId="852857">
    <w:lvl>
      <w:numFmt w:val="bullet"/>
      <w:suff w:val="tab"/>
      <w:lvlText w:val="▪"/>
      <w:rPr>
        <w:color w:val="3370ff"/>
        <w:sz w:val="11"/>
      </w:rPr>
    </w:lvl>
  </w:abstractNum>
  <w:abstractNum w:abstractNumId="852858">
    <w:lvl>
      <w:numFmt w:val="bullet"/>
      <w:suff w:val="tab"/>
      <w:lvlText w:val="▪"/>
      <w:rPr>
        <w:color w:val="3370ff"/>
        <w:sz w:val="11"/>
      </w:rPr>
    </w:lvl>
  </w:abstractNum>
  <w:abstractNum w:abstractNumId="852859">
    <w:lvl>
      <w:numFmt w:val="bullet"/>
      <w:suff w:val="tab"/>
      <w:lvlText w:val="▪"/>
      <w:rPr>
        <w:color w:val="3370ff"/>
        <w:sz w:val="11"/>
      </w:rPr>
    </w:lvl>
  </w:abstractNum>
  <w:abstractNum w:abstractNumId="852860">
    <w:lvl>
      <w:numFmt w:val="bullet"/>
      <w:suff w:val="tab"/>
      <w:lvlText w:val="▪"/>
      <w:rPr>
        <w:color w:val="3370ff"/>
        <w:sz w:val="11"/>
      </w:rPr>
    </w:lvl>
  </w:abstractNum>
  <w:abstractNum w:abstractNumId="852861">
    <w:lvl>
      <w:start w:val="4"/>
      <w:numFmt w:val="decimal"/>
      <w:suff w:val="tab"/>
      <w:lvlText w:val="%1."/>
      <w:rPr>
        <w:color w:val="3370ff"/>
      </w:rPr>
    </w:lvl>
  </w:abstractNum>
  <w:abstractNum w:abstractNumId="852862">
    <w:lvl>
      <w:numFmt w:val="bullet"/>
      <w:suff w:val="tab"/>
      <w:lvlText w:val="￮"/>
      <w:rPr>
        <w:color w:val="3370ff"/>
      </w:rPr>
    </w:lvl>
  </w:abstractNum>
  <w:abstractNum w:abstractNumId="852863">
    <w:lvl>
      <w:numFmt w:val="bullet"/>
      <w:suff w:val="tab"/>
      <w:lvlText w:val="￮"/>
      <w:rPr>
        <w:color w:val="3370ff"/>
      </w:rPr>
    </w:lvl>
  </w:abstractNum>
  <w:abstractNum w:abstractNumId="852864">
    <w:lvl>
      <w:start w:val="1"/>
      <w:numFmt w:val="decimal"/>
      <w:suff w:val="tab"/>
      <w:lvlText w:val="%1."/>
      <w:rPr>
        <w:color w:val="3370ff"/>
      </w:rPr>
    </w:lvl>
  </w:abstractNum>
  <w:abstractNum w:abstractNumId="852865">
    <w:lvl>
      <w:start w:val="2"/>
      <w:numFmt w:val="decimal"/>
      <w:suff w:val="tab"/>
      <w:lvlText w:val="%1."/>
      <w:rPr>
        <w:color w:val="3370ff"/>
      </w:rPr>
    </w:lvl>
  </w:abstractNum>
  <w:abstractNum w:abstractNumId="852866">
    <w:lvl>
      <w:numFmt w:val="bullet"/>
      <w:suff w:val="tab"/>
      <w:lvlText w:val="￮"/>
      <w:rPr>
        <w:color w:val="3370ff"/>
      </w:rPr>
    </w:lvl>
  </w:abstractNum>
  <w:abstractNum w:abstractNumId="852867">
    <w:lvl>
      <w:start w:val="3"/>
      <w:numFmt w:val="decimal"/>
      <w:suff w:val="tab"/>
      <w:lvlText w:val="%1."/>
      <w:rPr>
        <w:color w:val="3370ff"/>
      </w:rPr>
    </w:lvl>
  </w:abstractNum>
  <w:num w:numId="1">
    <w:abstractNumId w:val="852828"/>
  </w:num>
  <w:num w:numId="2">
    <w:abstractNumId w:val="852829"/>
  </w:num>
  <w:num w:numId="3">
    <w:abstractNumId w:val="852830"/>
  </w:num>
  <w:num w:numId="4">
    <w:abstractNumId w:val="852831"/>
  </w:num>
  <w:num w:numId="5">
    <w:abstractNumId w:val="852832"/>
  </w:num>
  <w:num w:numId="6">
    <w:abstractNumId w:val="852833"/>
  </w:num>
  <w:num w:numId="7">
    <w:abstractNumId w:val="852834"/>
  </w:num>
  <w:num w:numId="8">
    <w:abstractNumId w:val="852835"/>
  </w:num>
  <w:num w:numId="9">
    <w:abstractNumId w:val="852836"/>
  </w:num>
  <w:num w:numId="10">
    <w:abstractNumId w:val="852837"/>
  </w:num>
  <w:num w:numId="11">
    <w:abstractNumId w:val="852838"/>
  </w:num>
  <w:num w:numId="12">
    <w:abstractNumId w:val="852839"/>
  </w:num>
  <w:num w:numId="13">
    <w:abstractNumId w:val="852840"/>
  </w:num>
  <w:num w:numId="14">
    <w:abstractNumId w:val="852841"/>
  </w:num>
  <w:num w:numId="15">
    <w:abstractNumId w:val="852842"/>
  </w:num>
  <w:num w:numId="16">
    <w:abstractNumId w:val="852843"/>
  </w:num>
  <w:num w:numId="17">
    <w:abstractNumId w:val="852844"/>
  </w:num>
  <w:num w:numId="18">
    <w:abstractNumId w:val="852845"/>
  </w:num>
  <w:num w:numId="19">
    <w:abstractNumId w:val="852846"/>
  </w:num>
  <w:num w:numId="20">
    <w:abstractNumId w:val="852847"/>
  </w:num>
  <w:num w:numId="21">
    <w:abstractNumId w:val="852848"/>
  </w:num>
  <w:num w:numId="22">
    <w:abstractNumId w:val="852849"/>
  </w:num>
  <w:num w:numId="23">
    <w:abstractNumId w:val="852850"/>
  </w:num>
  <w:num w:numId="24">
    <w:abstractNumId w:val="852851"/>
  </w:num>
  <w:num w:numId="25">
    <w:abstractNumId w:val="852852"/>
  </w:num>
  <w:num w:numId="26">
    <w:abstractNumId w:val="852853"/>
  </w:num>
  <w:num w:numId="27">
    <w:abstractNumId w:val="852854"/>
  </w:num>
  <w:num w:numId="28">
    <w:abstractNumId w:val="852855"/>
  </w:num>
  <w:num w:numId="29">
    <w:abstractNumId w:val="852856"/>
  </w:num>
  <w:num w:numId="30">
    <w:abstractNumId w:val="852857"/>
  </w:num>
  <w:num w:numId="31">
    <w:abstractNumId w:val="852858"/>
  </w:num>
  <w:num w:numId="32">
    <w:abstractNumId w:val="852859"/>
  </w:num>
  <w:num w:numId="33">
    <w:abstractNumId w:val="852860"/>
  </w:num>
  <w:num w:numId="34">
    <w:abstractNumId w:val="852861"/>
  </w:num>
  <w:num w:numId="35">
    <w:abstractNumId w:val="852862"/>
  </w:num>
  <w:num w:numId="36">
    <w:abstractNumId w:val="852863"/>
  </w:num>
  <w:num w:numId="37">
    <w:abstractNumId w:val="852864"/>
  </w:num>
  <w:num w:numId="38">
    <w:abstractNumId w:val="852865"/>
  </w:num>
  <w:num w:numId="39">
    <w:abstractNumId w:val="852866"/>
  </w:num>
  <w:num w:numId="40">
    <w:abstractNumId w:val="85286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2026-05-03T10:44:10Z</dcterms:created>
  <dc:creator>Apache POI</dc:creator>
</cp:coreProperties>
</file>