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README：WisePen 核心愿景与项目概览</w:t>
      </w:r>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作者/修订：</w:t>
            </w:r>
            <w:r>
              <w:rPr>
                <w:rFonts w:eastAsia="等线" w:ascii="Arial" w:cs="Arial" w:hAnsi="Arial"/>
                <w:color w:val="3370ff"/>
                <w:sz w:val="22"/>
              </w:rPr>
              <w:t>@孙家正</w:t>
            </w:r>
            <w:r>
              <w:rPr>
                <w:rFonts w:eastAsia="等线" w:ascii="Arial" w:cs="Arial" w:hAnsi="Arial"/>
                <w:color w:val="3370ff"/>
                <w:sz w:val="22"/>
              </w:rPr>
              <w:t>@陆子龙</w:t>
            </w:r>
            <w:r>
              <w:rPr>
                <w:rFonts w:eastAsia="等线" w:ascii="Arial" w:cs="Arial" w:hAnsi="Arial"/>
                <w:sz w:val="22"/>
              </w:rPr>
              <w:t xml:space="preserve">| </w:t>
            </w:r>
            <w:r>
              <w:rPr>
                <w:rFonts w:eastAsia="等线" w:ascii="Arial" w:cs="Arial" w:hAnsi="Arial"/>
                <w:b w:val="true"/>
                <w:sz w:val="22"/>
              </w:rPr>
              <w:t>修订时间：</w:t>
            </w:r>
            <w:r>
              <w:rPr>
                <w:rFonts w:eastAsia="等线" w:ascii="Arial" w:cs="Arial" w:hAnsi="Arial"/>
                <w:sz w:val="22"/>
              </w:rPr>
              <w:t>2025-12-22</w:t>
            </w:r>
          </w:p>
        </w:tc>
      </w:tr>
    </w:tbl>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项目背景与组织</w:t>
      </w:r>
      <w:bookmarkEnd w:id="0"/>
    </w:p>
    <w:p>
      <w:pPr>
        <w:spacing w:before="120" w:after="120" w:line="288" w:lineRule="auto"/>
        <w:ind w:left="0"/>
        <w:jc w:val="left"/>
      </w:pPr>
      <w:r>
        <w:rPr>
          <w:rFonts w:eastAsia="等线" w:ascii="Arial" w:cs="Arial" w:hAnsi="Arial"/>
          <w:b w:val="true"/>
          <w:sz w:val="22"/>
        </w:rPr>
        <w:t>WisePen</w:t>
      </w:r>
      <w:r>
        <w:rPr>
          <w:rFonts w:eastAsia="等线" w:ascii="Arial" w:cs="Arial" w:hAnsi="Arial"/>
          <w:sz w:val="22"/>
        </w:rPr>
        <w:t xml:space="preserve"> 是复旦大学</w:t>
      </w:r>
      <w:r>
        <w:rPr>
          <w:rFonts w:eastAsia="等线" w:ascii="Arial" w:cs="Arial" w:hAnsi="Arial"/>
          <w:b w:val="true"/>
          <w:sz w:val="22"/>
        </w:rPr>
        <w:t>计算与智能创新学院 CodeWisdom 实验室</w:t>
      </w:r>
      <w:r>
        <w:rPr>
          <w:rFonts w:eastAsia="等线" w:ascii="Arial" w:cs="Arial" w:hAnsi="Arial"/>
          <w:sz w:val="22"/>
        </w:rPr>
        <w:t xml:space="preserve">发起，由 </w:t>
      </w:r>
      <w:r>
        <w:rPr>
          <w:rFonts w:eastAsia="等线" w:ascii="Arial" w:cs="Arial" w:hAnsi="Arial"/>
          <w:b w:val="true"/>
          <w:sz w:val="22"/>
        </w:rPr>
        <w:t xml:space="preserve">复旦大学开放原子开源社团Oriole Studio </w:t>
      </w:r>
      <w:r>
        <w:rPr>
          <w:rFonts w:eastAsia="等线" w:ascii="Arial" w:cs="Arial" w:hAnsi="Arial"/>
          <w:sz w:val="22"/>
        </w:rPr>
        <w:t>负责架构设计与核心研发的教育软件项目。</w:t>
      </w:r>
    </w:p>
    <w:p>
      <w:pPr>
        <w:spacing w:before="120" w:after="120" w:line="288" w:lineRule="auto"/>
        <w:ind w:left="0"/>
        <w:jc w:val="left"/>
      </w:pPr>
      <w:r>
        <w:rPr>
          <w:rFonts w:eastAsia="等线" w:ascii="Arial" w:cs="Arial" w:hAnsi="Arial"/>
          <w:sz w:val="22"/>
        </w:rPr>
        <w:t>本项目由复旦大学</w:t>
      </w:r>
      <w:r>
        <w:rPr>
          <w:rFonts w:eastAsia="等线" w:ascii="Arial" w:cs="Arial" w:hAnsi="Arial"/>
          <w:b w:val="true"/>
          <w:sz w:val="22"/>
        </w:rPr>
        <w:t>新闻学院</w:t>
      </w:r>
      <w:r>
        <w:rPr>
          <w:rFonts w:eastAsia="等线" w:ascii="Arial" w:cs="Arial" w:hAnsi="Arial"/>
          <w:sz w:val="22"/>
        </w:rPr>
        <w:t>与</w:t>
      </w:r>
      <w:r>
        <w:rPr>
          <w:rFonts w:eastAsia="等线" w:ascii="Arial" w:cs="Arial" w:hAnsi="Arial"/>
          <w:b w:val="true"/>
          <w:sz w:val="22"/>
        </w:rPr>
        <w:t>外国语言文学学院</w:t>
      </w:r>
      <w:r>
        <w:rPr>
          <w:rFonts w:eastAsia="等线" w:ascii="Arial" w:cs="Arial" w:hAnsi="Arial"/>
          <w:sz w:val="22"/>
        </w:rPr>
        <w:t>提供场景支持与资助。项目初衷是解决两院在“教学资源数字化管理”与“学术写作辅导”方面的实际痛点。以此为基础，我们设计并构建了一套具有</w:t>
      </w:r>
      <w:r>
        <w:rPr>
          <w:rFonts w:eastAsia="等线" w:ascii="Arial" w:cs="Arial" w:hAnsi="Arial"/>
          <w:b w:val="true"/>
          <w:sz w:val="22"/>
        </w:rPr>
        <w:t>通用性、可扩展</w:t>
      </w:r>
      <w:r>
        <w:rPr>
          <w:rFonts w:eastAsia="等线" w:ascii="Arial" w:cs="Arial" w:hAnsi="Arial"/>
          <w:sz w:val="22"/>
        </w:rPr>
        <w:t>的底层架构，旨在为高校师生提供从资料管理到内容产出的全链路技术支持，未来具备向全校其他学科推广的潜力。</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系统定位</w:t>
      </w:r>
      <w:bookmarkEnd w:id="1"/>
    </w:p>
    <w:p>
      <w:pPr>
        <w:spacing w:before="120" w:after="120" w:line="288" w:lineRule="auto"/>
        <w:ind w:left="0"/>
        <w:jc w:val="left"/>
      </w:pPr>
      <w:r>
        <w:rPr>
          <w:rFonts w:eastAsia="等线" w:ascii="Arial" w:cs="Arial" w:hAnsi="Arial"/>
          <w:sz w:val="22"/>
        </w:rPr>
        <w:t xml:space="preserve">WisePen 的核心形态是 </w:t>
      </w:r>
      <w:r>
        <w:rPr>
          <w:rFonts w:eastAsia="等线" w:ascii="Arial" w:cs="Arial" w:hAnsi="Arial"/>
          <w:b w:val="true"/>
          <w:sz w:val="22"/>
        </w:rPr>
        <w:t>“数字化课程资源库（文库） + 课程知识问答（问答） + 智能研写工作台（笔记） + 教学过程评估（教学）”</w:t>
      </w:r>
      <w:r>
        <w:rPr>
          <w:rFonts w:eastAsia="等线" w:ascii="Arial" w:cs="Arial" w:hAnsi="Arial"/>
          <w:sz w:val="22"/>
        </w:rPr>
        <w:t xml:space="preserve"> 的深度集成。 系统致力于将四个高频教学与学习场景彻底打通：</w:t>
      </w:r>
    </w:p>
    <w:p>
      <w:pPr>
        <w:numPr>
          <w:numId w:val="1"/>
        </w:numPr>
        <w:spacing w:before="120" w:after="120" w:line="288" w:lineRule="auto"/>
        <w:ind w:left="0"/>
        <w:jc w:val="left"/>
      </w:pPr>
      <w:r>
        <w:rPr>
          <w:rFonts w:eastAsia="等线" w:ascii="Arial" w:cs="Arial" w:hAnsi="Arial"/>
          <w:b w:val="true"/>
          <w:sz w:val="22"/>
        </w:rPr>
        <w:t>资源管理</w:t>
      </w:r>
      <w:r>
        <w:rPr>
          <w:rFonts w:eastAsia="等线" w:ascii="Arial" w:cs="Arial" w:hAnsi="Arial"/>
          <w:sz w:val="22"/>
        </w:rPr>
        <w:t>：构建支持多格式课件与文献托管的</w:t>
      </w:r>
      <w:r>
        <w:rPr>
          <w:rFonts w:eastAsia="等线" w:ascii="Arial" w:cs="Arial" w:hAnsi="Arial"/>
          <w:b w:val="true"/>
          <w:sz w:val="22"/>
        </w:rPr>
        <w:t>完备资料库</w:t>
      </w:r>
      <w:r>
        <w:rPr>
          <w:rFonts w:eastAsia="等线" w:ascii="Arial" w:cs="Arial" w:hAnsi="Arial"/>
          <w:sz w:val="22"/>
        </w:rPr>
        <w:t>；在此基础上，实现静态课件与文献向可被 AI 理解与检索的知识转化。</w:t>
      </w:r>
    </w:p>
    <w:p>
      <w:pPr>
        <w:numPr>
          <w:numId w:val="2"/>
        </w:numPr>
        <w:spacing w:before="120" w:after="120" w:line="288" w:lineRule="auto"/>
        <w:ind w:left="0"/>
        <w:jc w:val="left"/>
      </w:pPr>
      <w:r>
        <w:rPr>
          <w:rFonts w:eastAsia="等线" w:ascii="Arial" w:cs="Arial" w:hAnsi="Arial"/>
          <w:b w:val="true"/>
          <w:sz w:val="22"/>
        </w:rPr>
        <w:t>知识交互</w:t>
      </w:r>
      <w:r>
        <w:rPr>
          <w:rFonts w:eastAsia="等线" w:ascii="Arial" w:cs="Arial" w:hAnsi="Arial"/>
          <w:sz w:val="22"/>
        </w:rPr>
        <w:t>：</w:t>
      </w:r>
      <w:r>
        <w:rPr>
          <w:rFonts w:eastAsia="等线" w:ascii="Arial" w:cs="Arial" w:hAnsi="Arial"/>
          <w:b w:val="true"/>
          <w:sz w:val="22"/>
        </w:rPr>
        <w:t>聚合多种大模型能力</w:t>
      </w:r>
      <w:r>
        <w:rPr>
          <w:rFonts w:eastAsia="等线" w:ascii="Arial" w:cs="Arial" w:hAnsi="Arial"/>
          <w:sz w:val="22"/>
        </w:rPr>
        <w:t>，构建专注于课程资料库的智能问答服务，聚焦于课程知识的精准检索与答疑。</w:t>
      </w:r>
    </w:p>
    <w:p>
      <w:pPr>
        <w:numPr>
          <w:numId w:val="3"/>
        </w:numPr>
        <w:spacing w:before="120" w:after="120" w:line="288" w:lineRule="auto"/>
        <w:ind w:left="0"/>
        <w:jc w:val="left"/>
      </w:pPr>
      <w:r>
        <w:rPr>
          <w:rFonts w:eastAsia="等线" w:ascii="Arial" w:cs="Arial" w:hAnsi="Arial"/>
          <w:b w:val="true"/>
          <w:sz w:val="22"/>
        </w:rPr>
        <w:t>研写产出</w:t>
      </w:r>
      <w:r>
        <w:rPr>
          <w:rFonts w:eastAsia="等线" w:ascii="Arial" w:cs="Arial" w:hAnsi="Arial"/>
          <w:sz w:val="22"/>
        </w:rPr>
        <w:t>：打造覆盖</w:t>
      </w:r>
      <w:r>
        <w:rPr>
          <w:rFonts w:eastAsia="等线" w:ascii="Arial" w:cs="Arial" w:hAnsi="Arial"/>
          <w:b w:val="true"/>
          <w:sz w:val="22"/>
        </w:rPr>
        <w:t>课堂笔记、实验报告、课程作业、学术论文</w:t>
      </w:r>
      <w:r>
        <w:rPr>
          <w:rFonts w:eastAsia="等线" w:ascii="Arial" w:cs="Arial" w:hAnsi="Arial"/>
          <w:sz w:val="22"/>
        </w:rPr>
        <w:t>的通用编辑器；提供</w:t>
      </w:r>
      <w:r>
        <w:rPr>
          <w:rFonts w:eastAsia="等线" w:ascii="Arial" w:cs="Arial" w:hAnsi="Arial"/>
          <w:b w:val="true"/>
          <w:sz w:val="22"/>
        </w:rPr>
        <w:t>现代化的文档交互体验</w:t>
      </w:r>
      <w:r>
        <w:rPr>
          <w:rFonts w:eastAsia="等线" w:ascii="Arial" w:cs="Arial" w:hAnsi="Arial"/>
          <w:sz w:val="22"/>
        </w:rPr>
        <w:t>（类飞书模式），集成“脚手架”式 AI 辅助工具，引导学生规范化地独立完成内容创作。</w:t>
      </w:r>
    </w:p>
    <w:p>
      <w:pPr>
        <w:numPr>
          <w:numId w:val="4"/>
        </w:numPr>
        <w:spacing w:before="120" w:after="120" w:line="288" w:lineRule="auto"/>
        <w:ind w:left="0"/>
        <w:jc w:val="left"/>
      </w:pPr>
      <w:r>
        <w:rPr>
          <w:rFonts w:eastAsia="等线" w:ascii="Arial" w:cs="Arial" w:hAnsi="Arial"/>
          <w:b w:val="true"/>
          <w:sz w:val="22"/>
        </w:rPr>
        <w:t>教学反馈</w:t>
      </w:r>
      <w:r>
        <w:rPr>
          <w:rFonts w:eastAsia="等线" w:ascii="Arial" w:cs="Arial" w:hAnsi="Arial"/>
          <w:sz w:val="22"/>
        </w:rPr>
        <w:t>：全程记录作业的演变历史与人机交互行为，为教师提供白盒化的教学评估视角，辅助教师精准掌握学生的真实投入度与独立性。</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核心功能模块</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3.1 数字化课程资源库</w:t>
      </w:r>
      <w:bookmarkEnd w:id="3"/>
    </w:p>
    <w:p>
      <w:pPr>
        <w:spacing w:before="120" w:after="120" w:line="288" w:lineRule="auto"/>
        <w:ind w:left="0"/>
        <w:jc w:val="left"/>
      </w:pPr>
      <w:r>
        <w:rPr>
          <w:rFonts w:eastAsia="等线" w:ascii="Arial" w:cs="Arial" w:hAnsi="Arial"/>
          <w:b w:val="true"/>
          <w:sz w:val="22"/>
        </w:rPr>
        <w:t>本模块作为系统的底层数据基座，兼顾了资源管理的完备性、安全性与知识化能力。</w:t>
      </w:r>
    </w:p>
    <w:p>
      <w:pPr>
        <w:numPr>
          <w:numId w:val="5"/>
        </w:numPr>
        <w:spacing w:before="120" w:after="120" w:line="288" w:lineRule="auto"/>
        <w:ind w:left="0"/>
        <w:jc w:val="left"/>
      </w:pPr>
      <w:r>
        <w:rPr>
          <w:rFonts w:eastAsia="等线" w:ascii="Arial" w:cs="Arial" w:hAnsi="Arial"/>
          <w:b w:val="true"/>
          <w:sz w:val="22"/>
        </w:rPr>
        <w:t>多模态资源全量托管与产权保护</w:t>
      </w:r>
      <w:r>
        <w:rPr>
          <w:rFonts w:eastAsia="等线" w:ascii="Arial" w:cs="Arial" w:hAnsi="Arial"/>
          <w:sz w:val="22"/>
        </w:rPr>
        <w:t>：支持 PDF、Word、PPT、音视频等多种教学资料的直接上传与在线预览，替代传统的网盘存储，确保课程资料的完整性。在此基础上，系统采用“用户资源组”架构实现数据可见性隔离</w:t>
      </w:r>
      <w:r>
        <w:rPr>
          <w:rFonts w:eastAsia="等线" w:ascii="Arial" w:cs="Arial" w:hAnsi="Arial"/>
          <w:b w:val="true"/>
          <w:sz w:val="22"/>
        </w:rPr>
        <w:t>，</w:t>
      </w:r>
      <w:r>
        <w:rPr>
          <w:rFonts w:eastAsia="等线" w:ascii="Arial" w:cs="Arial" w:hAnsi="Arial"/>
          <w:sz w:val="22"/>
        </w:rPr>
        <w:t>并具备数字暗水印功能，有效解除教师对于课件流传与知识产权受损的顾虑。</w:t>
      </w:r>
    </w:p>
    <w:p>
      <w:pPr>
        <w:numPr>
          <w:numId w:val="6"/>
        </w:numPr>
        <w:spacing w:before="120" w:after="120" w:line="288" w:lineRule="auto"/>
        <w:ind w:left="0"/>
        <w:jc w:val="left"/>
      </w:pPr>
      <w:r>
        <w:rPr>
          <w:rFonts w:eastAsia="等线" w:ascii="Arial" w:cs="Arial" w:hAnsi="Arial"/>
          <w:b w:val="true"/>
          <w:sz w:val="22"/>
        </w:rPr>
        <w:t xml:space="preserve">双维标签体系与RAG索引： </w:t>
      </w:r>
      <w:r>
        <w:rPr>
          <w:rFonts w:eastAsia="等线" w:ascii="Arial" w:cs="Arial" w:hAnsi="Arial"/>
          <w:sz w:val="22"/>
        </w:rPr>
        <w:t>针对上传的教学资料，系统后台自动进行基于 RAG（检索增强生成）标准的切片与向量化处理，实现内容的深度语义索引。同时，系统引入“个人标签”与“组标签”的双层维度管理体系，赋能课程负责人有效整合文档资源，构建清晰的资料库索引树，引导学生按图索骥。</w:t>
      </w:r>
    </w:p>
    <w:p>
      <w:pPr>
        <w:numPr>
          <w:numId w:val="7"/>
        </w:numPr>
        <w:spacing w:before="120" w:after="120" w:line="288" w:lineRule="auto"/>
        <w:ind w:left="0"/>
        <w:jc w:val="left"/>
      </w:pPr>
      <w:r>
        <w:rPr>
          <w:rFonts w:eastAsia="等线" w:ascii="Arial" w:cs="Arial" w:hAnsi="Arial"/>
          <w:b w:val="true"/>
          <w:sz w:val="22"/>
        </w:rPr>
        <w:t>资源派生（Fork）与个性化加工</w:t>
      </w:r>
      <w:r>
        <w:rPr>
          <w:rFonts w:eastAsia="等线" w:ascii="Arial" w:cs="Arial" w:hAnsi="Arial"/>
          <w:sz w:val="22"/>
        </w:rPr>
        <w:t>： 支持学生对教学资料进行 Fork 操作，将公共课件转化为私有的学习资产。学生可基于原文档创建关联的衍生笔记或个人副本，在不破坏原始教学资源的前提下，实现对知识的个性化重构与批注。</w:t>
      </w:r>
    </w:p>
    <w:p>
      <w:pPr>
        <w:pStyle w:val="3"/>
        <w:spacing w:before="300" w:after="120" w:line="288" w:lineRule="auto"/>
        <w:ind w:left="0"/>
        <w:jc w:val="left"/>
        <w:outlineLvl w:val="2"/>
      </w:pPr>
      <w:bookmarkStart w:name="heading_4" w:id="4"/>
      <w:r>
        <w:rPr>
          <w:rFonts w:eastAsia="等线" w:ascii="Arial" w:cs="Arial" w:hAnsi="Arial"/>
          <w:b w:val="true"/>
          <w:sz w:val="30"/>
        </w:rPr>
        <w:t>3.2 课程专属问答引擎</w:t>
      </w:r>
      <w:bookmarkEnd w:id="4"/>
    </w:p>
    <w:p>
      <w:pPr>
        <w:spacing w:before="120" w:after="120" w:line="288" w:lineRule="auto"/>
        <w:ind w:left="0"/>
        <w:jc w:val="left"/>
      </w:pPr>
      <w:r>
        <w:rPr>
          <w:rFonts w:eastAsia="等线" w:ascii="Arial" w:cs="Arial" w:hAnsi="Arial"/>
          <w:b w:val="true"/>
          <w:sz w:val="22"/>
        </w:rPr>
        <w:t>本模块作为系统的通用 AI 能力底座，提供灵活可控的课程知识交互能力，并具备向主动助学延伸的潜力。</w:t>
      </w:r>
    </w:p>
    <w:p>
      <w:pPr>
        <w:numPr>
          <w:numId w:val="8"/>
        </w:numPr>
        <w:spacing w:before="120" w:after="120" w:line="288" w:lineRule="auto"/>
        <w:ind w:left="0"/>
        <w:jc w:val="left"/>
      </w:pPr>
      <w:r>
        <w:rPr>
          <w:rFonts w:eastAsia="等线" w:ascii="Arial" w:cs="Arial" w:hAnsi="Arial"/>
          <w:b w:val="true"/>
          <w:sz w:val="22"/>
        </w:rPr>
        <w:t>校园级 AI 聚合服务：</w:t>
      </w:r>
      <w:r>
        <w:rPr>
          <w:rFonts w:eastAsia="等线" w:ascii="Arial" w:cs="Arial" w:hAnsi="Arial"/>
          <w:sz w:val="22"/>
        </w:rPr>
        <w:t>集成校内统一的 AI 服务接口，聚合多种主流大模型能力，屏蔽底层的接入细节。为师生提供安全、合规的校园级 AI 入口，这种通用的智能能力也同源服务于后续的研写环节，确保了交互体验的一致性。</w:t>
      </w:r>
    </w:p>
    <w:p>
      <w:pPr>
        <w:numPr>
          <w:numId w:val="9"/>
        </w:numPr>
        <w:spacing w:before="120" w:after="120" w:line="288" w:lineRule="auto"/>
        <w:ind w:left="0"/>
        <w:jc w:val="left"/>
      </w:pPr>
      <w:r>
        <w:rPr>
          <w:rFonts w:eastAsia="等线" w:ascii="Arial" w:cs="Arial" w:hAnsi="Arial"/>
          <w:b w:val="true"/>
          <w:sz w:val="22"/>
        </w:rPr>
        <w:t>自定义知识域与精准检索：</w:t>
      </w:r>
      <w:r>
        <w:rPr>
          <w:rFonts w:eastAsia="等线" w:ascii="Arial" w:cs="Arial" w:hAnsi="Arial"/>
          <w:sz w:val="22"/>
        </w:rPr>
        <w:t>赋予学生对问答上下文的细粒度控制权。用户可根据当前的复习需求，自主勾选特定的文档、文件夹或整个课程组作为 AI 的检索范围（Context）。这种按需划定的机制，既支持跨章节的宏观复习，也支持针对单篇难点文献的深度研读。</w:t>
      </w:r>
    </w:p>
    <w:p>
      <w:pPr>
        <w:numPr>
          <w:numId w:val="10"/>
        </w:numPr>
        <w:spacing w:before="120" w:after="120" w:line="288" w:lineRule="auto"/>
        <w:ind w:left="0"/>
        <w:jc w:val="left"/>
      </w:pPr>
      <w:r>
        <w:rPr>
          <w:rFonts w:eastAsia="等线" w:ascii="Arial" w:cs="Arial" w:hAnsi="Arial"/>
          <w:b w:val="true"/>
          <w:sz w:val="22"/>
        </w:rPr>
        <w:t>主动式知识巩固（二阶段规划）：</w:t>
      </w:r>
      <w:r>
        <w:rPr>
          <w:rFonts w:eastAsia="等线" w:ascii="Arial" w:cs="Arial" w:hAnsi="Arial"/>
          <w:sz w:val="22"/>
        </w:rPr>
        <w:t>推动系统从“被动答疑”向“主动助学”演进。未来将上线“每日必刷题”等功能，利用 AI 基于课程资料库的重难点自动生成练习题，引导学生利用碎片化时间进行自我检测，强化对课程知识的掌握。</w:t>
      </w:r>
    </w:p>
    <w:p>
      <w:pPr>
        <w:pStyle w:val="3"/>
        <w:spacing w:before="300" w:after="120" w:line="288" w:lineRule="auto"/>
        <w:ind w:left="0"/>
        <w:jc w:val="left"/>
        <w:outlineLvl w:val="2"/>
      </w:pPr>
      <w:bookmarkStart w:name="heading_5" w:id="5"/>
      <w:r>
        <w:rPr>
          <w:rFonts w:eastAsia="等线" w:ascii="Arial" w:cs="Arial" w:hAnsi="Arial"/>
          <w:b w:val="true"/>
          <w:sz w:val="30"/>
        </w:rPr>
        <w:t>3.3 智能研写工作台</w:t>
      </w:r>
      <w:bookmarkEnd w:id="5"/>
    </w:p>
    <w:p>
      <w:pPr>
        <w:spacing w:before="120" w:after="120" w:line="288" w:lineRule="auto"/>
        <w:ind w:left="0"/>
        <w:jc w:val="left"/>
      </w:pPr>
      <w:r>
        <w:rPr>
          <w:rFonts w:eastAsia="等线" w:ascii="Arial" w:cs="Arial" w:hAnsi="Arial"/>
          <w:b w:val="true"/>
          <w:sz w:val="22"/>
        </w:rPr>
        <w:t>本模块面向课堂笔记、课程作业、实验报告及期末论文等核心教学场景，构建集成 AI 辅助能力的通用研写空间；通过将智能支持“伴随式”嵌入写作全流程，实现从构思到产出的规范化引导。</w:t>
      </w:r>
    </w:p>
    <w:p>
      <w:pPr>
        <w:numPr>
          <w:numId w:val="11"/>
        </w:numPr>
        <w:spacing w:before="120" w:after="120" w:line="288" w:lineRule="auto"/>
        <w:ind w:left="0"/>
        <w:jc w:val="left"/>
      </w:pPr>
      <w:r>
        <w:rPr>
          <w:rFonts w:eastAsia="等线" w:ascii="Arial" w:cs="Arial" w:hAnsi="Arial"/>
          <w:b w:val="true"/>
          <w:sz w:val="22"/>
        </w:rPr>
        <w:t>现代化块级（Block-style）编辑体验</w:t>
      </w:r>
      <w:r>
        <w:rPr>
          <w:rFonts w:eastAsia="等线" w:ascii="Arial" w:cs="Arial" w:hAnsi="Arial"/>
          <w:sz w:val="22"/>
        </w:rPr>
        <w:t>：采用类飞书（Lark）的现代化文档架构，支持文本、公式、代码块、多媒体的混合排版。无论是碎片化的课堂速记、结构化的实验报告，还是长篇幅的课程论文，都能在一个编辑器内流畅完成。</w:t>
      </w:r>
    </w:p>
    <w:p>
      <w:pPr>
        <w:numPr>
          <w:numId w:val="12"/>
        </w:numPr>
        <w:spacing w:before="120" w:after="120" w:line="288" w:lineRule="auto"/>
        <w:ind w:left="0"/>
        <w:jc w:val="left"/>
      </w:pPr>
      <w:r>
        <w:rPr>
          <w:rFonts w:eastAsia="等线" w:ascii="Arial" w:cs="Arial" w:hAnsi="Arial"/>
          <w:b w:val="true"/>
          <w:sz w:val="22"/>
        </w:rPr>
        <w:t>“脚手架”式辅助与学科智能体：</w:t>
      </w:r>
      <w:r>
        <w:rPr>
          <w:rFonts w:eastAsia="等线" w:ascii="Arial" w:cs="Arial" w:hAnsi="Arial"/>
          <w:sz w:val="22"/>
        </w:rPr>
        <w:t>通过“/”指令或悬浮菜单，即时调用底层 AI 能力。系统不仅提供基础的润色与纠错，更支持接入学科定制的垂直智能体（例如针对学术英语写作进行修辞语步（Rhetorical Move）分析，诊断文章结构是否符合国际通用的学术范式），为学生提供符合特定学科规范的深度检查与建议，严守“辅助而非替代”的伦理边界。</w:t>
      </w:r>
    </w:p>
    <w:p>
      <w:pPr>
        <w:numPr>
          <w:numId w:val="13"/>
        </w:numPr>
        <w:spacing w:before="120" w:after="120" w:line="288" w:lineRule="auto"/>
        <w:ind w:left="0"/>
        <w:jc w:val="left"/>
      </w:pPr>
      <w:r>
        <w:rPr>
          <w:rFonts w:eastAsia="等线" w:ascii="Arial" w:cs="Arial" w:hAnsi="Arial"/>
          <w:b w:val="true"/>
          <w:sz w:val="22"/>
        </w:rPr>
        <w:t>流畅的知识流转闭环</w:t>
      </w:r>
      <w:r>
        <w:rPr>
          <w:rFonts w:eastAsia="等线" w:ascii="Arial" w:cs="Arial" w:hAnsi="Arial"/>
          <w:sz w:val="22"/>
        </w:rPr>
        <w:t>：深度打通 3.1 资源库，支持“分屏对照”与“即时调用”。学生在写作时可直接检索并查看课程资料，实现从资料阅读到观点阐述的无缝切换，确保写作内容建立在扎实的知识基础之上。</w:t>
      </w:r>
    </w:p>
    <w:p>
      <w:pPr>
        <w:pStyle w:val="3"/>
        <w:spacing w:before="300" w:after="120" w:line="288" w:lineRule="auto"/>
        <w:ind w:left="0"/>
        <w:jc w:val="left"/>
        <w:outlineLvl w:val="2"/>
      </w:pPr>
      <w:bookmarkStart w:name="heading_6" w:id="6"/>
      <w:r>
        <w:rPr>
          <w:rFonts w:eastAsia="等线" w:ascii="Arial" w:cs="Arial" w:hAnsi="Arial"/>
          <w:b w:val="true"/>
          <w:sz w:val="30"/>
        </w:rPr>
        <w:t>3.4 资源流通与协作</w:t>
      </w:r>
      <w:bookmarkEnd w:id="6"/>
    </w:p>
    <w:p>
      <w:pPr>
        <w:spacing w:before="120" w:after="120" w:line="288" w:lineRule="auto"/>
        <w:ind w:left="0"/>
        <w:jc w:val="left"/>
      </w:pPr>
      <w:r>
        <w:rPr>
          <w:rFonts w:eastAsia="等线" w:ascii="Arial" w:cs="Arial" w:hAnsi="Arial"/>
          <w:b w:val="true"/>
          <w:sz w:val="22"/>
        </w:rPr>
        <w:t>本模块致力于构建活跃的知识共享生态，通过激励机制促进优质学习资料的流通，并具备向团队深度协同延伸的潜力。</w:t>
      </w:r>
    </w:p>
    <w:p>
      <w:pPr>
        <w:numPr>
          <w:numId w:val="14"/>
        </w:numPr>
        <w:spacing w:before="120" w:after="120" w:line="288" w:lineRule="auto"/>
        <w:ind w:left="0"/>
        <w:jc w:val="left"/>
      </w:pPr>
      <w:r>
        <w:rPr>
          <w:rFonts w:eastAsia="等线" w:ascii="Arial" w:cs="Arial" w:hAnsi="Arial"/>
          <w:b w:val="true"/>
          <w:sz w:val="22"/>
        </w:rPr>
        <w:t>激励型资源共享社区</w:t>
      </w:r>
      <w:r>
        <w:rPr>
          <w:rFonts w:eastAsia="等线" w:ascii="Arial" w:cs="Arial" w:hAnsi="Arial"/>
          <w:sz w:val="22"/>
        </w:rPr>
        <w:t>：建立“贡献换算力”的良性循环机制，支持学生分享高质量的衍生笔记与复习提纲，优质内容（获得高赞、高评分）的贡献者将获得额外的 AI Token（算力用量）奖励。系统通过评论、点赞与引用量等社区化评价指标自然筛选优质资源，激发知识流动的内生动力。</w:t>
      </w:r>
    </w:p>
    <w:p>
      <w:pPr>
        <w:numPr>
          <w:numId w:val="15"/>
        </w:numPr>
        <w:spacing w:before="120" w:after="120" w:line="288" w:lineRule="auto"/>
        <w:ind w:left="0"/>
        <w:jc w:val="left"/>
      </w:pPr>
      <w:r>
        <w:rPr>
          <w:rFonts w:eastAsia="等线" w:ascii="Arial" w:cs="Arial" w:hAnsi="Arial"/>
          <w:b w:val="true"/>
          <w:sz w:val="22"/>
        </w:rPr>
        <w:t>优秀成果的沉淀与传承</w:t>
      </w:r>
      <w:r>
        <w:rPr>
          <w:rFonts w:eastAsia="等线" w:ascii="Arial" w:cs="Arial" w:hAnsi="Arial"/>
          <w:sz w:val="22"/>
        </w:rPr>
        <w:t>：改变“铁打的课件，流水的学生”导致知识流失的现状。系统将围绕教师核心课件产生的优质公开笔记与批注视为宝贵的资产。随着教学周期的推移，这些经过往届学生验证的高价值注解将被保留并关联至原课件，使原本静态的教学资料逐渐演变为包含丰富上下文与理解路径的动态教材。</w:t>
      </w:r>
    </w:p>
    <w:p>
      <w:pPr>
        <w:numPr>
          <w:numId w:val="16"/>
        </w:numPr>
        <w:spacing w:before="120" w:after="120" w:line="288" w:lineRule="auto"/>
        <w:ind w:left="0"/>
        <w:jc w:val="left"/>
      </w:pPr>
      <w:r>
        <w:rPr>
          <w:rFonts w:eastAsia="等线" w:ascii="Arial" w:cs="Arial" w:hAnsi="Arial"/>
          <w:b w:val="true"/>
          <w:sz w:val="22"/>
        </w:rPr>
        <w:t>小组协同研写空间（二阶段规划）</w:t>
      </w:r>
      <w:r>
        <w:rPr>
          <w:rFonts w:eastAsia="等线" w:ascii="Arial" w:cs="Arial" w:hAnsi="Arial"/>
          <w:sz w:val="22"/>
        </w:rPr>
        <w:t>：针对小组作业与联合课题场景，未来将上线基于文档的实时协同编辑能力。支持小组成员在同一文档内分工撰写、互评批注，系统将提供完整的修订记录与贡献度统计，从技术层面解决传统小组作业中“分工不清”与“统稿困难”的顽疾。</w:t>
      </w:r>
    </w:p>
    <w:p>
      <w:pPr>
        <w:pStyle w:val="3"/>
        <w:spacing w:before="300" w:after="120" w:line="288" w:lineRule="auto"/>
        <w:ind w:left="0"/>
        <w:jc w:val="left"/>
        <w:outlineLvl w:val="2"/>
      </w:pPr>
      <w:bookmarkStart w:name="heading_7" w:id="7"/>
      <w:r>
        <w:rPr>
          <w:rFonts w:eastAsia="等线" w:ascii="Arial" w:cs="Arial" w:hAnsi="Arial"/>
          <w:b w:val="true"/>
          <w:sz w:val="30"/>
        </w:rPr>
        <w:t>3.5 过程记录与教学反馈</w:t>
      </w:r>
      <w:bookmarkEnd w:id="7"/>
    </w:p>
    <w:p>
      <w:pPr>
        <w:spacing w:before="120" w:after="120" w:line="288" w:lineRule="auto"/>
        <w:ind w:left="0"/>
        <w:jc w:val="left"/>
      </w:pPr>
      <w:r>
        <w:rPr>
          <w:rFonts w:eastAsia="等线" w:ascii="Arial" w:cs="Arial" w:hAnsi="Arial"/>
          <w:b w:val="true"/>
          <w:sz w:val="22"/>
        </w:rPr>
        <w:t>本模块通过对学习行为的全程数字化捕获，将传统的“黑盒式”结果评价转化为可视化的“白盒式”过程评估，并利用学生笔记反馈反哺教学设计。</w:t>
      </w:r>
    </w:p>
    <w:p>
      <w:pPr>
        <w:numPr>
          <w:numId w:val="17"/>
        </w:numPr>
        <w:spacing w:before="120" w:after="120" w:line="288" w:lineRule="auto"/>
        <w:ind w:left="0"/>
        <w:jc w:val="left"/>
      </w:pPr>
      <w:r>
        <w:rPr>
          <w:rFonts w:eastAsia="等线" w:ascii="Arial" w:cs="Arial" w:hAnsi="Arial"/>
          <w:b w:val="true"/>
          <w:sz w:val="22"/>
        </w:rPr>
        <w:t>作业演变与交互日志全记录</w:t>
      </w:r>
      <w:r>
        <w:rPr>
          <w:rFonts w:eastAsia="等线" w:ascii="Arial" w:cs="Arial" w:hAnsi="Arial"/>
          <w:sz w:val="22"/>
        </w:rPr>
        <w:t>：系统在后台自动记录文档从空白创建到最终完稿的全生命周期。这不仅包含常规的编辑历史与版本回溯，更关键地记录了人机交互行为（如调用 AI 辅助的频次、采纳 AI 建议的比例）。这些数据构成了作业的“数字指纹”，确保每一份作业的产出过程都有迹可循。</w:t>
      </w:r>
    </w:p>
    <w:p>
      <w:pPr>
        <w:numPr>
          <w:numId w:val="18"/>
        </w:numPr>
        <w:spacing w:before="120" w:after="120" w:line="288" w:lineRule="auto"/>
        <w:ind w:left="0"/>
        <w:jc w:val="left"/>
      </w:pPr>
      <w:r>
        <w:rPr>
          <w:rFonts w:eastAsia="等线" w:ascii="Arial" w:cs="Arial" w:hAnsi="Arial"/>
          <w:b w:val="true"/>
          <w:sz w:val="22"/>
        </w:rPr>
        <w:t>基于共享笔记的学情逆向反馈</w:t>
      </w:r>
      <w:r>
        <w:rPr>
          <w:rFonts w:eastAsia="等线" w:ascii="Arial" w:cs="Arial" w:hAnsi="Arial"/>
          <w:sz w:val="22"/>
        </w:rPr>
        <w:t>：深度利用学生分享的优质笔记数据，为教师提供</w:t>
      </w:r>
      <w:r>
        <w:rPr>
          <w:rFonts w:eastAsia="等线" w:ascii="Arial" w:cs="Arial" w:hAnsi="Arial"/>
          <w:b w:val="true"/>
          <w:sz w:val="22"/>
        </w:rPr>
        <w:t>知识掌握度画像</w:t>
      </w:r>
      <w:r>
        <w:rPr>
          <w:rFonts w:eastAsia="等线" w:ascii="Arial" w:cs="Arial" w:hAnsi="Arial"/>
          <w:sz w:val="22"/>
        </w:rPr>
        <w:t>——哪些章节被高频标注（重难点），哪些知识点无人问津（教学盲区）。这种来自学生视角的逆向反馈，能有效辅助教师调整后续的教学节奏与内容重点。</w:t>
      </w:r>
    </w:p>
    <w:p>
      <w:pPr>
        <w:numPr>
          <w:numId w:val="19"/>
        </w:numPr>
        <w:spacing w:before="120" w:after="120" w:line="288" w:lineRule="auto"/>
        <w:ind w:left="0"/>
        <w:jc w:val="left"/>
      </w:pPr>
      <w:r>
        <w:rPr>
          <w:rFonts w:eastAsia="等线" w:ascii="Arial" w:cs="Arial" w:hAnsi="Arial"/>
          <w:b w:val="true"/>
          <w:sz w:val="22"/>
        </w:rPr>
        <w:t>白盒化评估与 AI 含量分析</w:t>
      </w:r>
      <w:r>
        <w:rPr>
          <w:rFonts w:eastAsia="等线" w:ascii="Arial" w:cs="Arial" w:hAnsi="Arial"/>
          <w:sz w:val="22"/>
        </w:rPr>
        <w:t>：为教师提供直观的“作业时序图谱”。教师可以清晰查看学生在每一段文字中的贡献来源：是键盘逐字敲击（人工创作）、是复制粘贴（外部引用）、还是通过系统脚手架生成（AI 辅助）。系统自动计算“人工/AI 贡献率”，辅助教师快速识别过度依赖 AI 的异常作业，维护学术评价的公平性。</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4. </w:t>
      </w:r>
      <w:r>
        <w:rPr>
          <w:rFonts w:eastAsia="等线" w:ascii="Arial" w:cs="Arial" w:hAnsi="Arial"/>
          <w:b w:val="true"/>
          <w:sz w:val="32"/>
        </w:rPr>
        <w:t>指导老师意见</w:t>
      </w:r>
      <w:bookmarkEnd w:id="8"/>
    </w:p>
    <w:p>
      <w:pPr>
        <w:spacing w:before="120" w:after="120" w:line="288" w:lineRule="auto"/>
        <w:ind w:left="0"/>
        <w:jc w:val="center"/>
      </w:pPr>
      <w:r>
        <w:drawing>
          <wp:inline distT="0" distR="0" distB="0" distL="0">
            <wp:extent cx="3695700" cy="1000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3695700" cy="10001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2025-12-22 彭鑫老师的意见</w:t>
        <w:br/>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周明波 3342"/>
          <v:fill opacity="0.3"/>
        </v:shape>
      </w:pict>
    </w:r>
  </w:p>
</w:hdr>
</file>

<file path=word/numbering.xml><?xml version="1.0" encoding="utf-8"?>
<w:numbering xmlns:w="http://schemas.openxmlformats.org/wordprocessingml/2006/main">
  <w:abstractNum w:abstractNumId="1229296">
    <w:lvl>
      <w:numFmt w:val="bullet"/>
      <w:suff w:val="tab"/>
      <w:lvlText w:val="•"/>
      <w:rPr>
        <w:color w:val="3370ff"/>
      </w:rPr>
    </w:lvl>
  </w:abstractNum>
  <w:abstractNum w:abstractNumId="1229297">
    <w:lvl>
      <w:numFmt w:val="bullet"/>
      <w:suff w:val="tab"/>
      <w:lvlText w:val="•"/>
      <w:rPr>
        <w:color w:val="3370ff"/>
      </w:rPr>
    </w:lvl>
  </w:abstractNum>
  <w:abstractNum w:abstractNumId="1229298">
    <w:lvl>
      <w:numFmt w:val="bullet"/>
      <w:suff w:val="tab"/>
      <w:lvlText w:val="•"/>
      <w:rPr>
        <w:color w:val="3370ff"/>
      </w:rPr>
    </w:lvl>
  </w:abstractNum>
  <w:abstractNum w:abstractNumId="1229299">
    <w:lvl>
      <w:numFmt w:val="bullet"/>
      <w:suff w:val="tab"/>
      <w:lvlText w:val="•"/>
      <w:rPr>
        <w:color w:val="3370ff"/>
      </w:rPr>
    </w:lvl>
  </w:abstractNum>
  <w:abstractNum w:abstractNumId="1229300">
    <w:lvl>
      <w:numFmt w:val="bullet"/>
      <w:suff w:val="tab"/>
      <w:lvlText w:val="•"/>
      <w:rPr>
        <w:color w:val="3370ff"/>
      </w:rPr>
    </w:lvl>
  </w:abstractNum>
  <w:abstractNum w:abstractNumId="1229301">
    <w:lvl>
      <w:numFmt w:val="bullet"/>
      <w:suff w:val="tab"/>
      <w:lvlText w:val="•"/>
      <w:rPr>
        <w:color w:val="3370ff"/>
      </w:rPr>
    </w:lvl>
  </w:abstractNum>
  <w:abstractNum w:abstractNumId="1229302">
    <w:lvl>
      <w:numFmt w:val="bullet"/>
      <w:suff w:val="tab"/>
      <w:lvlText w:val="•"/>
      <w:rPr>
        <w:color w:val="3370ff"/>
      </w:rPr>
    </w:lvl>
  </w:abstractNum>
  <w:abstractNum w:abstractNumId="1229303">
    <w:lvl>
      <w:numFmt w:val="bullet"/>
      <w:suff w:val="tab"/>
      <w:lvlText w:val="•"/>
      <w:rPr>
        <w:color w:val="3370ff"/>
      </w:rPr>
    </w:lvl>
  </w:abstractNum>
  <w:abstractNum w:abstractNumId="1229304">
    <w:lvl>
      <w:numFmt w:val="bullet"/>
      <w:suff w:val="tab"/>
      <w:lvlText w:val="•"/>
      <w:rPr>
        <w:color w:val="3370ff"/>
      </w:rPr>
    </w:lvl>
  </w:abstractNum>
  <w:abstractNum w:abstractNumId="1229305">
    <w:lvl>
      <w:numFmt w:val="bullet"/>
      <w:suff w:val="tab"/>
      <w:lvlText w:val="•"/>
      <w:rPr>
        <w:color w:val="3370ff"/>
      </w:rPr>
    </w:lvl>
  </w:abstractNum>
  <w:abstractNum w:abstractNumId="1229306">
    <w:lvl>
      <w:numFmt w:val="bullet"/>
      <w:suff w:val="tab"/>
      <w:lvlText w:val="•"/>
      <w:rPr>
        <w:color w:val="3370ff"/>
      </w:rPr>
    </w:lvl>
  </w:abstractNum>
  <w:abstractNum w:abstractNumId="1229307">
    <w:lvl>
      <w:numFmt w:val="bullet"/>
      <w:suff w:val="tab"/>
      <w:lvlText w:val="•"/>
      <w:rPr>
        <w:color w:val="3370ff"/>
      </w:rPr>
    </w:lvl>
  </w:abstractNum>
  <w:abstractNum w:abstractNumId="1229308">
    <w:lvl>
      <w:numFmt w:val="bullet"/>
      <w:suff w:val="tab"/>
      <w:lvlText w:val="•"/>
      <w:rPr>
        <w:color w:val="3370ff"/>
      </w:rPr>
    </w:lvl>
  </w:abstractNum>
  <w:abstractNum w:abstractNumId="1229309">
    <w:lvl>
      <w:numFmt w:val="bullet"/>
      <w:suff w:val="tab"/>
      <w:lvlText w:val="•"/>
      <w:rPr>
        <w:color w:val="3370ff"/>
      </w:rPr>
    </w:lvl>
  </w:abstractNum>
  <w:abstractNum w:abstractNumId="1229310">
    <w:lvl>
      <w:numFmt w:val="bullet"/>
      <w:suff w:val="tab"/>
      <w:lvlText w:val="•"/>
      <w:rPr>
        <w:color w:val="3370ff"/>
      </w:rPr>
    </w:lvl>
  </w:abstractNum>
  <w:abstractNum w:abstractNumId="1229311">
    <w:lvl>
      <w:numFmt w:val="bullet"/>
      <w:suff w:val="tab"/>
      <w:lvlText w:val="•"/>
      <w:rPr>
        <w:color w:val="3370ff"/>
      </w:rPr>
    </w:lvl>
  </w:abstractNum>
  <w:abstractNum w:abstractNumId="1229312">
    <w:lvl>
      <w:numFmt w:val="bullet"/>
      <w:suff w:val="tab"/>
      <w:lvlText w:val="•"/>
      <w:rPr>
        <w:color w:val="3370ff"/>
      </w:rPr>
    </w:lvl>
  </w:abstractNum>
  <w:abstractNum w:abstractNumId="1229313">
    <w:lvl>
      <w:numFmt w:val="bullet"/>
      <w:suff w:val="tab"/>
      <w:lvlText w:val="•"/>
      <w:rPr>
        <w:color w:val="3370ff"/>
      </w:rPr>
    </w:lvl>
  </w:abstractNum>
  <w:abstractNum w:abstractNumId="1229314">
    <w:lvl>
      <w:numFmt w:val="bullet"/>
      <w:suff w:val="tab"/>
      <w:lvlText w:val="•"/>
      <w:rPr>
        <w:color w:val="3370ff"/>
      </w:rPr>
    </w:lvl>
  </w:abstractNum>
  <w:num w:numId="1">
    <w:abstractNumId w:val="1229296"/>
  </w:num>
  <w:num w:numId="2">
    <w:abstractNumId w:val="1229297"/>
  </w:num>
  <w:num w:numId="3">
    <w:abstractNumId w:val="1229298"/>
  </w:num>
  <w:num w:numId="4">
    <w:abstractNumId w:val="1229299"/>
  </w:num>
  <w:num w:numId="5">
    <w:abstractNumId w:val="1229300"/>
  </w:num>
  <w:num w:numId="6">
    <w:abstractNumId w:val="1229301"/>
  </w:num>
  <w:num w:numId="7">
    <w:abstractNumId w:val="1229302"/>
  </w:num>
  <w:num w:numId="8">
    <w:abstractNumId w:val="1229303"/>
  </w:num>
  <w:num w:numId="9">
    <w:abstractNumId w:val="1229304"/>
  </w:num>
  <w:num w:numId="10">
    <w:abstractNumId w:val="1229305"/>
  </w:num>
  <w:num w:numId="11">
    <w:abstractNumId w:val="1229306"/>
  </w:num>
  <w:num w:numId="12">
    <w:abstractNumId w:val="1229307"/>
  </w:num>
  <w:num w:numId="13">
    <w:abstractNumId w:val="1229308"/>
  </w:num>
  <w:num w:numId="14">
    <w:abstractNumId w:val="1229309"/>
  </w:num>
  <w:num w:numId="15">
    <w:abstractNumId w:val="1229310"/>
  </w:num>
  <w:num w:numId="16">
    <w:abstractNumId w:val="1229311"/>
  </w:num>
  <w:num w:numId="17">
    <w:abstractNumId w:val="1229312"/>
  </w:num>
  <w:num w:numId="18">
    <w:abstractNumId w:val="1229313"/>
  </w:num>
  <w:num w:numId="19">
    <w:abstractNumId w:val="12293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2026-05-03T10:45:56Z</dcterms:created>
  <dc:creator>Apache POI</dc:creator>
</cp:coreProperties>
</file>