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/>
      </w:pPr>
      <w:r>
        <w:rPr>
          <w:rFonts w:ascii="Songti SC" w:hAnsi="Songti SC" w:eastAsia="Songti SC" w:cs="Songti SC"/>
          <w:b/>
          <w:color w:val="000000"/>
          <w:sz w:val="32"/>
        </w:rPr>
        <w:t>轻量级大模型推理引擎复现与优化</w:t>
      </w:r>
    </w:p>
    <w:p>
      <w:pPr>
        <w:spacing w:after="240"/>
      </w:pPr>
      <w:r>
        <w:rPr>
          <w:rFonts w:ascii="Songti SC" w:hAnsi="Songti SC" w:eastAsia="Songti SC" w:cs="Songti SC"/>
          <w:sz w:val="20"/>
        </w:rPr>
        <w:t>2026.10  ·  项目经历     github.com/qingzhai/mini-vLLM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项目概述：</w:t>
      </w:r>
      <w:r>
        <w:rPr>
          <w:rFonts w:ascii="Songti SC" w:hAnsi="Songti SC" w:eastAsia="Songti SC"/>
          <w:b w:val="0"/>
          <w:color w:val="000000"/>
        </w:rPr>
        <w:t xml:space="preserve"> 基于开源 MinivLLM，围绕 Qwen3-8B 扩展 KV Cache 与请求调度，集成 DFlash 批量投机解码、Target CUDA Graph，并完成 EAGLE3/DFlash/DSpark 方法对照、Markov/Confidence 消融及双卡部署实验。技术栈：Python、PyTorch、Triton、CUDA Graph、NCCL、AWQ。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缓存与请求调度：</w:t>
      </w:r>
      <w:r>
        <w:rPr>
          <w:rFonts w:ascii="Songti SC" w:hAnsi="Songti SC" w:eastAsia="Songti SC"/>
          <w:b w:val="0"/>
          <w:color w:val="000000"/>
        </w:rPr>
        <w:t xml:space="preserve"> 扩展分页 KV、链式块哈希前缀匹配与 LRU，支持 Chunked Prefill 和 P/D 混合连续批处理，验证部分 Prefill 不采样、请求补位与页回收。固定版本 ShareGPT 派生 100 请求中，三种调度输出逐 Token 一致；同一 Chunk 配置开启 Prefix，单次吞吐 </w:t>
      </w:r>
      <w:r>
        <w:rPr>
          <w:rFonts w:ascii="Songti SC" w:hAnsi="Songti SC" w:eastAsia="Songti SC"/>
          <w:b/>
          <w:color w:val="000000"/>
        </w:rPr>
        <w:t>43.67→52.51 tokens/s（+20.2%）</w:t>
      </w:r>
      <w:r>
        <w:rPr>
          <w:rFonts w:ascii="Songti SC" w:hAnsi="Songti SC" w:eastAsia="Songti SC"/>
          <w:b w:val="0"/>
          <w:color w:val="000000"/>
        </w:rPr>
        <w:t>。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DFlash 与 CUDA Graph：</w:t>
      </w:r>
      <w:r>
        <w:rPr>
          <w:rFonts w:ascii="Songti SC" w:hAnsi="Songti SC" w:eastAsia="Songti SC"/>
          <w:b w:val="0"/>
          <w:color w:val="000000"/>
        </w:rPr>
        <w:t xml:space="preserve"> 接入官方 Draft，实现批量 Target 验证、连续前缀接受与 KV 回滚，按 batch/query 分桶捕获 Target 前向图。单 A100 40GB、固定每请求 256 输出，三轮中位数相对 </w:t>
      </w:r>
      <w:r>
        <w:rPr>
          <w:rFonts w:ascii="Songti SC" w:hAnsi="Songti SC" w:eastAsia="Songti SC"/>
          <w:b/>
          <w:color w:val="000000"/>
        </w:rPr>
        <w:t>AR Graph</w:t>
      </w:r>
      <w:r>
        <w:rPr>
          <w:rFonts w:ascii="Songti SC" w:hAnsi="Songti SC" w:eastAsia="Songti SC"/>
          <w:b w:val="0"/>
          <w:color w:val="000000"/>
        </w:rPr>
        <w:t xml:space="preserve">：单请求 </w:t>
      </w:r>
      <w:r>
        <w:rPr>
          <w:rFonts w:ascii="Songti SC" w:hAnsi="Songti SC" w:eastAsia="Songti SC"/>
          <w:b/>
          <w:color w:val="000000"/>
        </w:rPr>
        <w:t>5.513→1.846 s</w:t>
      </w:r>
      <w:r>
        <w:rPr>
          <w:rFonts w:ascii="Songti SC" w:hAnsi="Songti SC" w:eastAsia="Songti SC"/>
          <w:b w:val="0"/>
          <w:color w:val="000000"/>
        </w:rPr>
        <w:t xml:space="preserve">，驻留≤2 的三请求总耗时 </w:t>
      </w:r>
      <w:r>
        <w:rPr>
          <w:rFonts w:ascii="Songti SC" w:hAnsi="Songti SC" w:eastAsia="Songti SC"/>
          <w:b/>
          <w:color w:val="000000"/>
        </w:rPr>
        <w:t>11.653→7.651 s</w:t>
      </w:r>
      <w:r>
        <w:rPr>
          <w:rFonts w:ascii="Songti SC" w:hAnsi="Songti SC" w:eastAsia="Songti SC"/>
          <w:b w:val="0"/>
          <w:color w:val="000000"/>
        </w:rPr>
        <w:t xml:space="preserve">，总吞吐 </w:t>
      </w:r>
      <w:r>
        <w:rPr>
          <w:rFonts w:ascii="Songti SC" w:hAnsi="Songti SC" w:eastAsia="Songti SC"/>
          <w:b/>
          <w:color w:val="000000"/>
        </w:rPr>
        <w:t>2.99×/1.52×</w:t>
      </w:r>
      <w:r>
        <w:rPr>
          <w:rFonts w:ascii="Songti SC" w:hAnsi="Songti SC" w:eastAsia="Songti SC"/>
          <w:b w:val="0"/>
          <w:color w:val="000000"/>
        </w:rPr>
        <w:t>；输出和接受轨迹一致，验证前向无 fallback。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投机方法对照与消融：</w:t>
      </w:r>
      <w:r>
        <w:rPr>
          <w:rFonts w:ascii="Songti SC" w:hAnsi="Songti SC" w:eastAsia="Songti SC"/>
          <w:b w:val="0"/>
          <w:color w:val="000000"/>
        </w:rPr>
        <w:t xml:space="preserve"> 将官方 EAGLE3/DFlash/DSpark 接入同一稳定 Target。单 A100 40GB、12 条固定输入、每条 256 输出、三轮测量，相对配对 </w:t>
      </w:r>
      <w:r>
        <w:rPr>
          <w:rFonts w:ascii="Songti SC" w:hAnsi="Songti SC" w:eastAsia="Songti SC"/>
          <w:b/>
          <w:color w:val="000000"/>
        </w:rPr>
        <w:t>AR Eager</w:t>
      </w:r>
      <w:r>
        <w:rPr>
          <w:rFonts w:ascii="Songti SC" w:hAnsi="Songti SC" w:eastAsia="Songti SC"/>
          <w:b w:val="0"/>
          <w:color w:val="000000"/>
        </w:rPr>
        <w:t xml:space="preserve"> 的吞吐分别为 </w:t>
      </w:r>
      <w:r>
        <w:rPr>
          <w:rFonts w:ascii="Songti SC" w:hAnsi="Songti SC" w:eastAsia="Songti SC"/>
          <w:b/>
          <w:color w:val="000000"/>
        </w:rPr>
        <w:t>2.93×/3.48×/3.90×</w:t>
      </w:r>
      <w:r>
        <w:rPr>
          <w:rFonts w:ascii="Songti SC" w:hAnsi="Songti SC" w:eastAsia="Songti SC"/>
          <w:b w:val="0"/>
          <w:color w:val="000000"/>
        </w:rPr>
        <w:t>（DSpark Markov Only），</w:t>
      </w:r>
      <w:r>
        <w:rPr>
          <w:rFonts w:ascii="Songti SC" w:hAnsi="Songti SC" w:eastAsia="Songti SC"/>
          <w:b/>
          <w:color w:val="000000"/>
        </w:rPr>
        <w:t>252/252</w:t>
      </w:r>
      <w:r>
        <w:rPr>
          <w:rFonts w:ascii="Songti SC" w:hAnsi="Songti SC" w:eastAsia="Songti SC"/>
          <w:b w:val="0"/>
          <w:color w:val="000000"/>
        </w:rPr>
        <w:t xml:space="preserve"> 组投机输出逐 Token 一致；同一 DSpark checkpoint 启用 Markov 后配对吞吐 </w:t>
      </w:r>
      <w:r>
        <w:rPr>
          <w:rFonts w:ascii="Songti SC" w:hAnsi="Songti SC" w:eastAsia="Songti SC"/>
          <w:b/>
          <w:color w:val="000000"/>
        </w:rPr>
        <w:t>+84.68%</w:t>
      </w:r>
      <w:r>
        <w:rPr>
          <w:rFonts w:ascii="Songti SC" w:hAnsi="Songti SC" w:eastAsia="Songti SC"/>
          <w:b w:val="0"/>
          <w:color w:val="000000"/>
        </w:rPr>
        <w:t>，Confidence 截断未获得总体吞吐收益。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双卡 DP 与 P/D 分离：</w:t>
      </w:r>
      <w:r>
        <w:rPr>
          <w:rFonts w:ascii="Songti SC" w:hAnsi="Songti SC" w:eastAsia="Songti SC"/>
          <w:b w:val="0"/>
          <w:color w:val="000000"/>
        </w:rPr>
        <w:t xml:space="preserve"> 实现双副本独立 KV、按驻留数路由及单机 1P1D 的全部 36 层 K/V NCCL 迁移与页表重映射。两组 ShareGPT 派生负载单次测量中，DP2 较单卡总吞吐 </w:t>
      </w:r>
      <w:r>
        <w:rPr>
          <w:rFonts w:ascii="Songti SC" w:hAnsi="Songti SC" w:eastAsia="Songti SC"/>
          <w:b/>
          <w:color w:val="000000"/>
        </w:rPr>
        <w:t>+19%～26%</w:t>
      </w:r>
      <w:r>
        <w:rPr>
          <w:rFonts w:ascii="Songti SC" w:hAnsi="Songti SC" w:eastAsia="Songti SC"/>
          <w:b w:val="0"/>
          <w:color w:val="000000"/>
        </w:rPr>
        <w:t xml:space="preserve">；1P1D 在接近 DP2 的吞吐下，将最大 Token 间隔由 </w:t>
      </w:r>
      <w:r>
        <w:rPr>
          <w:rFonts w:ascii="Songti SC" w:hAnsi="Songti SC" w:eastAsia="Songti SC"/>
          <w:b/>
          <w:color w:val="000000"/>
        </w:rPr>
        <w:t>1.79～2.16 s 降至 0.20～0.21 s</w:t>
      </w:r>
      <w:r>
        <w:rPr>
          <w:rFonts w:ascii="Songti SC" w:hAnsi="Songti SC" w:eastAsia="Songti SC"/>
          <w:b w:val="0"/>
          <w:color w:val="000000"/>
        </w:rPr>
        <w:t>；两模式各 48 条请求与单卡输出一致。</w:t>
      </w:r>
    </w:p>
    <w:p>
      <w:pPr>
        <w:keepNext w:val="0"/>
        <w:keepLines/>
      </w:pPr>
      <w:r>
        <w:rPr>
          <w:rFonts w:ascii="Songti SC" w:hAnsi="Songti SC" w:eastAsia="Songti SC"/>
          <w:b/>
          <w:color w:val="000000"/>
        </w:rPr>
        <w:t>量化与张量并行：</w:t>
      </w:r>
      <w:r>
        <w:rPr>
          <w:rFonts w:ascii="Songti SC" w:hAnsi="Songti SC" w:eastAsia="Songti SC"/>
          <w:b w:val="0"/>
          <w:color w:val="000000"/>
        </w:rPr>
        <w:t xml:space="preserve"> 加载官方 AWQ W4A16 并验证量化 Linear，权重及量化元数据存储较 FP16 </w:t>
      </w:r>
      <w:r>
        <w:rPr>
          <w:rFonts w:ascii="Songti SC" w:hAnsi="Songti SC" w:eastAsia="Songti SC"/>
          <w:b/>
          <w:color w:val="000000"/>
        </w:rPr>
        <w:t>−62.77%</w:t>
      </w:r>
      <w:r>
        <w:rPr>
          <w:rFonts w:ascii="Songti SC" w:hAnsi="Songti SC" w:eastAsia="Songti SC"/>
          <w:b w:val="0"/>
          <w:color w:val="000000"/>
        </w:rPr>
        <w:t xml:space="preserve">；完成 NCCL TP2 分片加载与推理，每卡峰值显存约 </w:t>
      </w:r>
      <w:r>
        <w:rPr>
          <w:rFonts w:ascii="Songti SC" w:hAnsi="Songti SC" w:eastAsia="Songti SC"/>
          <w:b/>
          <w:color w:val="000000"/>
        </w:rPr>
        <w:t>20.08→10.10 GiB</w:t>
      </w:r>
      <w:r>
        <w:rPr>
          <w:rFonts w:ascii="Songti SC" w:hAnsi="Songti SC" w:eastAsia="Songti SC"/>
          <w:b w:val="0"/>
          <w:color w:val="000000"/>
        </w:rPr>
        <w:t>。所测 AWQ、TP2 均未获得吞吐提升。</w:t>
        <w:br/>
      </w:r>
    </w:p>
    <w:sectPr w:rsidR="00FC693F" w:rsidRPr="0006063C" w:rsidSect="00034616"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/>
    </w:pPr>
    <w:rPr>
      <w:rFonts w:ascii="Songti SC" w:hAnsi="Songti SC" w:eastAsia="Songti SC" w:cs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Songti SC" w:hAnsi="Songti SC" w:eastAsia="Songti SC" w:cs="Song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ongti SC" w:hAnsi="Songti SC" w:eastAsia="Songti SC" w:cs="Song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轻量级大模型推理引擎复现与优化</dc:title>
  <dc:subject>Qwen3-8B 推理系统项目经历</dc:subject>
  <dc:creator>qingzhai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