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100"/>
      </w:pPr>
      <w:r>
        <w:rPr>
          <w:rFonts w:ascii="Arial Unicode MS" w:hAnsi="Arial Unicode MS" w:eastAsia="Arial Unicode MS"/>
          <w:b/>
          <w:color w:val="000000"/>
          <w:sz w:val="32"/>
        </w:rPr>
        <w:t>Mini-vLLM 推理引擎扩展与投机解码优化</w:t>
      </w:r>
    </w:p>
    <w:p>
      <w:pPr>
        <w:keepNext/>
        <w:spacing w:after="200"/>
      </w:pPr>
      <w:r>
        <w:rPr>
          <w:rFonts w:ascii="Arial Unicode MS" w:hAnsi="Arial Unicode MS" w:eastAsia="Arial Unicode MS"/>
          <w:b w:val="0"/>
          <w:color w:val="444444"/>
          <w:sz w:val="20"/>
        </w:rPr>
        <w:t>2026.10  ·  项目经历     github.com/qingzhai/mini-vLLM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项目概述：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基于开源 MinivLLM，面向 Qwen3-8B 构建可复现的推理优化与评测框架，扩展 KV Cache、请求调度及多 GPU 推理，集成 DFlash 与 Target CUDA Graph，并接入官方 EAGLE-3、DFlash、DSpark 完成统一 Target 对照与消融。技术栈：Python、PyTorch、Triton、CUDA Graph、NCCL。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KV Cache 与请求调度：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扩展链式块哈希前缀复用、引用计数/LRU 及 Chunked Prefill 混合调度，支持共享 KV、部分 Prefill 不采样与动态补位。100 请求 ShareGPT 四组、各三轮对照中，Prefix-only 输出吞吐中位数较 Full Prefill 提升 </w:t>
      </w:r>
      <w:r>
        <w:rPr>
          <w:rFonts w:ascii="Arial Unicode MS" w:hAnsi="Arial Unicode MS" w:eastAsia="Arial Unicode MS"/>
          <w:b/>
          <w:color w:val="000000"/>
          <w:sz w:val="22"/>
        </w:rPr>
        <w:t>22.53%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；同一 Chunk 配置启用 Prefix 的配对吞吐提升 </w:t>
      </w:r>
      <w:r>
        <w:rPr>
          <w:rFonts w:ascii="Arial Unicode MS" w:hAnsi="Arial Unicode MS" w:eastAsia="Arial Unicode MS"/>
          <w:b/>
          <w:color w:val="000000"/>
          <w:sz w:val="22"/>
        </w:rPr>
        <w:t>16.61%</w:t>
      </w:r>
      <w:r>
        <w:rPr>
          <w:rFonts w:ascii="Arial Unicode MS" w:hAnsi="Arial Unicode MS" w:eastAsia="Arial Unicode MS"/>
          <w:b w:val="0"/>
          <w:color w:val="000000"/>
          <w:sz w:val="22"/>
        </w:rPr>
        <w:t>。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DFlash 与 CUDA Graph：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接入官方 DFlash Draft，实现多请求 Target 批量验证、连续前缀接受及 KV 回滚；通过静态缓冲与 Batch/Query 形状分桶捕获 Target 前向图。单 A100 40GB、每请求 256 输出 Token，单请求及三请求总吞吐分别达到 AR Graph 基线的 </w:t>
      </w:r>
      <w:r>
        <w:rPr>
          <w:rFonts w:ascii="Arial Unicode MS" w:hAnsi="Arial Unicode MS" w:eastAsia="Arial Unicode MS"/>
          <w:b/>
          <w:color w:val="000000"/>
          <w:sz w:val="22"/>
        </w:rPr>
        <w:t>2.99× / 1.52×</w:t>
      </w:r>
      <w:r>
        <w:rPr>
          <w:rFonts w:ascii="Arial Unicode MS" w:hAnsi="Arial Unicode MS" w:eastAsia="Arial Unicode MS"/>
          <w:b w:val="0"/>
          <w:color w:val="000000"/>
          <w:sz w:val="22"/>
        </w:rPr>
        <w:t>，三轮输出与接受轨迹一致，正式验证前向无 Graph Fallback。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投机解码对照与消融：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将官方 EAGLE-3、DFlash、DSpark 接入统一 Qwen3-8B Target，开展固定候选预算的方法对照与 DSpark 推理消融。单 A100、Batch=1、无 Graph 下，三种方法吞吐分别达到配对 AR Eager 的 </w:t>
      </w:r>
      <w:r>
        <w:rPr>
          <w:rFonts w:ascii="Arial Unicode MS" w:hAnsi="Arial Unicode MS" w:eastAsia="Arial Unicode MS"/>
          <w:b/>
          <w:color w:val="000000"/>
          <w:sz w:val="22"/>
        </w:rPr>
        <w:t>2.93× / 3.48× / 3.90×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（DSpark Markov Only），七种投机配置共 </w:t>
      </w:r>
      <w:r>
        <w:rPr>
          <w:rFonts w:ascii="Arial Unicode MS" w:hAnsi="Arial Unicode MS" w:eastAsia="Arial Unicode MS"/>
          <w:b/>
          <w:color w:val="000000"/>
          <w:sz w:val="22"/>
        </w:rPr>
        <w:t>252/252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组完整输出一致；启用 Markov 的配对吞吐提升 </w:t>
      </w:r>
      <w:r>
        <w:rPr>
          <w:rFonts w:ascii="Arial Unicode MS" w:hAnsi="Arial Unicode MS" w:eastAsia="Arial Unicode MS"/>
          <w:b/>
          <w:color w:val="000000"/>
          <w:sz w:val="22"/>
        </w:rPr>
        <w:t>84.68%</w:t>
      </w:r>
      <w:r>
        <w:rPr>
          <w:rFonts w:ascii="Arial Unicode MS" w:hAnsi="Arial Unicode MS" w:eastAsia="Arial Unicode MS"/>
          <w:b w:val="0"/>
          <w:color w:val="000000"/>
          <w:sz w:val="22"/>
        </w:rPr>
        <w:t>，Confidence 截断未改善整体吞吐。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AWQ 量化推理：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集成官方 AWQ W4A16 权重加载与量化 Linear 参考验证，实现 Triton 量化 GEMM，权重及量化元数据存储较 FP16 减少 </w:t>
      </w:r>
      <w:r>
        <w:rPr>
          <w:rFonts w:ascii="Arial Unicode MS" w:hAnsi="Arial Unicode MS" w:eastAsia="Arial Unicode MS"/>
          <w:b/>
          <w:color w:val="000000"/>
          <w:sz w:val="22"/>
        </w:rPr>
        <w:t>62.77%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；所测峰值 allocated 显存由 </w:t>
      </w:r>
      <w:r>
        <w:rPr>
          <w:rFonts w:ascii="Arial Unicode MS" w:hAnsi="Arial Unicode MS" w:eastAsia="Arial Unicode MS"/>
          <w:b/>
          <w:color w:val="000000"/>
          <w:sz w:val="22"/>
        </w:rPr>
        <w:t>19.87～20.03 GiB 降至 10.31～10.47 GiB</w:t>
      </w:r>
      <w:r>
        <w:rPr>
          <w:rFonts w:ascii="Arial Unicode MS" w:hAnsi="Arial Unicode MS" w:eastAsia="Arial Unicode MS"/>
          <w:b w:val="0"/>
          <w:color w:val="000000"/>
          <w:sz w:val="22"/>
        </w:rPr>
        <w:t>。所测量化推理未获得吞吐提升。</w:t>
      </w:r>
    </w:p>
    <w:p>
      <w:pPr>
        <w:keepLines/>
        <w:spacing w:line="259" w:lineRule="auto" w:after="160"/>
      </w:pPr>
      <w:r>
        <w:rPr>
          <w:rFonts w:ascii="Arial Unicode MS" w:hAnsi="Arial Unicode MS" w:eastAsia="Arial Unicode MS"/>
          <w:b/>
          <w:color w:val="000000"/>
          <w:sz w:val="22"/>
        </w:rPr>
        <w:t>多 GPU 推理：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 完善 TP2 分片加载与推理，实现 DP2 双副本路由及单机 1P1D Prefill/Decode 分离，通过 NCCL 完成全部 36 层 KV 迁移与物理页表重映射。双 A100 两组受控负载下，DP2 相较单卡总吞吐提升 </w:t>
      </w:r>
      <w:r>
        <w:rPr>
          <w:rFonts w:ascii="Arial Unicode MS" w:hAnsi="Arial Unicode MS" w:eastAsia="Arial Unicode MS"/>
          <w:b/>
          <w:color w:val="000000"/>
          <w:sz w:val="22"/>
        </w:rPr>
        <w:t>19%～26%</w:t>
      </w:r>
      <w:r>
        <w:rPr>
          <w:rFonts w:ascii="Arial Unicode MS" w:hAnsi="Arial Unicode MS" w:eastAsia="Arial Unicode MS"/>
          <w:b w:val="0"/>
          <w:color w:val="000000"/>
          <w:sz w:val="22"/>
        </w:rPr>
        <w:t xml:space="preserve">；1P1D 在与 DP2 吞吐接近时，最大 ITL 降低约 </w:t>
      </w:r>
      <w:r>
        <w:rPr>
          <w:rFonts w:ascii="Arial Unicode MS" w:hAnsi="Arial Unicode MS" w:eastAsia="Arial Unicode MS"/>
          <w:b/>
          <w:color w:val="000000"/>
          <w:sz w:val="22"/>
        </w:rPr>
        <w:t>89%～90%</w:t>
      </w:r>
      <w:r>
        <w:rPr>
          <w:rFonts w:ascii="Arial Unicode MS" w:hAnsi="Arial Unicode MS" w:eastAsia="Arial Unicode MS"/>
          <w:b w:val="0"/>
          <w:color w:val="000000"/>
          <w:sz w:val="22"/>
        </w:rPr>
        <w:t>。</w:t>
      </w:r>
    </w:p>
    <w:sectPr w:rsidR="00FC693F" w:rsidRPr="0006063C" w:rsidSect="00034616">
      <w:pgSz w:w="11906" w:h="16838"/>
      <w:pgMar w:top="935" w:right="992" w:bottom="93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/>
    </w:pPr>
    <w:rPr>
      <w:rFonts w:ascii="Arial Unicode MS" w:hAnsi="Arial Unicode MS" w:eastAsia="Arial Unicode MS" w:cs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轻量级大模型推理引擎复现与优化</dc:title>
  <dc:subject>Qwen3-8B 推理系统项目经历</dc:subject>
  <dc:creator>qingzhai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