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SmartPolicy HR and Expense Policy Assistant</w:t>
      </w:r>
    </w:p>
    <w:p>
      <w:pPr>
        <w:spacing w:after="180"/>
      </w:pPr>
      <w:r>
        <w:rPr>
          <w:sz w:val="20"/>
        </w:rPr>
        <w:t>PE6201 Final Project | QI QINGZHAOMU | Section C | 4 October 2026</w:t>
      </w:r>
    </w:p>
    <w:p>
      <w:pPr>
        <w:pStyle w:val="Heading1"/>
      </w:pPr>
      <w:r>
        <w:t>Project outcome and business purpose</w:t>
      </w:r>
    </w:p>
    <w:p>
      <w:r>
        <w:t>SmartPolicy is a public policy assistant for employees checking workplace rules or preparing expense claims. The final deliverable combines a conversational interface, a fictional employee handbook, source references and explicit limits on approval authority. It makes relevant clauses easier to reach than manually navigating a document. However, employee time savings and fewer claim corrections remain hypotheses; no workplace pilot or independent user study established these benefits.</w:t>
      </w:r>
    </w:p>
    <w:p>
      <w:r>
        <w:t>The website accepts English questions, displays answers with handbook page links, and supports returning to the question screen while retaining the current conversation. Each question is processed independently. The final build is an extractive retrieval prototype with explicit topic rules, not a deployed generative RAG system. The proposal's intended LLM path remains a future validation step. This distinction matters: a chat interface alone does not demonstrate language-model reasoning.</w:t>
      </w:r>
    </w:p>
    <w:p>
      <w:pPr>
        <w:pStyle w:val="Heading1"/>
      </w:pPr>
      <w:r>
        <w:t>Data provenance and handbook design</w:t>
      </w:r>
    </w:p>
    <w:p>
      <w:r>
        <w:t>The initial dataset contained 15 short fictional policy sections. The final website uses version 2026-10-expanded-demo, with 20 chapters across a 22-page PDF, including a cover and clickable contents. The original numerical limits remain, including SGD 25 for eligible overtime meals and SGD 180 per hotel night before tax. Chapters now explain applications, evidence, exceptions and scope boundaries. Five additions cover onboarding, attendance, procurement, gifts and conflicts of interest, and information-security incidents.</w:t>
      </w:r>
    </w:p>
    <w:p>
      <w:r>
        <w:t>All policies and questions were developed with AI assistance as synthetic project data. They are not NTU rules, actual employer entitlements or authoritative employment-law guidance. Fictional procedures allow reproducible public demonstration without exposing employee records, but they cannot prove usefulness on real organisational documents. Unsupported matters, including overtime wages and compensatory leave, remain unspecified rather than being invented to make every question answerable.</w:t>
      </w:r>
    </w:p>
    <w:p>
      <w:r>
        <w:t>Each indexed record includes its identifier, title, active status, version, summary, detailed clauses and physical PDF page. The website searches structured JSON; it does not ingest arbitrary PDFs. A generation script produces matching JSON and PDF from the authored policy content. This keeps evidence links consistent, although correctness still depends on reviewing both the policy text and its metadata.</w:t>
      </w:r>
    </w:p>
    <w:p>
      <w:pPr>
        <w:pStyle w:val="Heading1"/>
      </w:pPr>
      <w:r>
        <w:t>Architecture and implementation choices</w:t>
      </w:r>
    </w:p>
    <w:p>
      <w:r>
        <w:t>The input is an English question of at most 1,000 characters. Browser code validates it, checks a small instruction-attack pattern, filters inactive records and applies domain vocabulary expansion. Broad overtime questions follow explicit topic routing to meal and taxi policies. Other questions use BM25 ranking with a heuristic score threshold of 2.0. Explicit coverage rules reject certain unsupported benefit topics. The output is a source excerpt or an insufficient-evidence response, with applicable page links.</w:t>
      </w:r>
    </w:p>
    <w:p>
      <w:r>
        <w:t>The public application is a static website: the browser loads the policy collection and performs retrieval locally. There is no LLM call, vector database, employee authentication or approval transaction in this architecture. Conversation history stays in page memory and disappears on refresh. Questions are not written to an application database; routine hosting access logs may still exist. Public access is suitable only for the fictional collection.</w:t>
      </w:r>
    </w:p>
    <w:p>
      <w:r>
        <w:t>I chose code-based retrieval because it permits inspectable behaviour and operation without API credentials. Hosting was delegated to Sites; the interface, schema and retrieval logic remain custom. A small corpus did not justify a managed vector database. This limits dependencies and model operating costs, but custom heuristics require maintenance. A retrieval-grounded LLM could later interpret paraphrases more flexibly, while adding latency, provider dependence and generated-claim validation. Fine-tuning would not by itself solve policy freshness. An autonomous agent is unnecessary for information lookup without actions.</w:t>
      </w:r>
    </w:p>
    <w:p>
      <w:pPr>
        <w:pStyle w:val="Heading1"/>
      </w:pPr>
      <w:r>
        <w:t>Iteration and difficulties</w:t>
      </w:r>
    </w:p>
    <w:p>
      <w:r>
        <w:t>A concrete failure shaped the revision. Asked about allowances after working until 10 PM, the earlier website returned the policy-conflicts clause. BM25 rewarded the common word "or", and selecting only one section missed the multi-policy nature of the question. I expanded stop-word filtering and added overtime topic routing. The revised response quotes both meal and transport rules, identifies missing wage provisions, and distinguishes finishing exactly at 22:00 from working after 22:00 without approving eligibility.</w:t>
      </w:r>
    </w:p>
    <w:p>
      <w:r>
        <w:t>The interface also gained Back to questions, Ask another question and View previous answers. These controls restore the starting screen without discarding the current session. Checks exercised returning, asking a second question and reopening prior answers through a simulated DOM. Handbook expansion required updating citation pages: meal and taxi evidence now appears on pages 3 and 4. PDF layout and chapter-page mappings were inspected. Deployment succeeded, but comprehensive live browser, accessibility and cross-device testing was not completed.</w:t>
      </w:r>
    </w:p>
    <w:p>
      <w:pPr>
        <w:pStyle w:val="Heading1"/>
      </w:pPr>
      <w:r>
        <w:t>Evaluation results and interpretation</w:t>
      </w:r>
    </w:p>
    <w:p>
      <w:r>
        <w:t>The existing labels contain 15 development and 30 evaluation questions; the latter include 17 answerable and 13 unanswerable or adversarial cases. A correct decision means selecting the labelled top source for an answerable question, or abstaining for an unanswerable one. It does not establish complete answer correctness, multi-source completeness or individual eligibility.</w:t>
      </w:r>
    </w:p>
    <w:tbl>
      <w:tblPr>
        <w:tblW w:type="auto" w:w="0"/>
        <w:jc w:val="center"/>
        <w:tblLayout w:type="fixed"/>
        <w:tblLook w:firstColumn="1" w:firstRow="1" w:lastColumn="0" w:lastRow="0" w:noHBand="0" w:noVBand="1" w:val="04A0"/>
      </w:tblPr>
      <w:tblGrid>
        <w:gridCol w:w="4061"/>
        <w:gridCol w:w="2261"/>
        <w:gridCol w:w="2678"/>
      </w:tblGrid>
      <w:tr>
        <w:trPr>
          <w:cantSplit/>
          <w:tblHeader/>
        </w:trPr>
        <w:tc>
          <w:tcPr>
            <w:tcW w:type="dxa" w:w="4061"/>
            <w:vAlign w:val="center"/>
            <w:shd w:fill="DDE7F4"/>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0" w:line="252" w:lineRule="auto"/>
              <w:jc w:val="left"/>
            </w:pPr>
            <w:r>
              <w:rPr>
                <w:b/>
                <w:sz w:val="20"/>
              </w:rPr>
              <w:t>Measure</w:t>
            </w:r>
          </w:p>
        </w:tc>
        <w:tc>
          <w:tcPr>
            <w:tcW w:type="dxa" w:w="2261"/>
            <w:vAlign w:val="center"/>
            <w:shd w:fill="DDE7F4"/>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0" w:line="252" w:lineRule="auto"/>
              <w:jc w:val="center"/>
            </w:pPr>
            <w:r>
              <w:rPr>
                <w:b/>
                <w:sz w:val="20"/>
              </w:rPr>
              <w:t>Original 15-section build</w:t>
            </w:r>
          </w:p>
        </w:tc>
        <w:tc>
          <w:tcPr>
            <w:tcW w:type="dxa" w:w="2678"/>
            <w:vAlign w:val="center"/>
            <w:shd w:fill="DDE7F4"/>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0" w:line="252" w:lineRule="auto"/>
              <w:jc w:val="center"/>
            </w:pPr>
            <w:r>
              <w:rPr>
                <w:b/>
                <w:sz w:val="20"/>
              </w:rPr>
              <w:t>Expanded website</w:t>
            </w:r>
          </w:p>
        </w:tc>
      </w:tr>
      <w:tr>
        <w:trPr>
          <w:cantSplit/>
        </w:trPr>
        <w:tc>
          <w:tcPr>
            <w:tcW w:type="dxa" w:w="4061"/>
            <w:vAlign w:val="center"/>
            <w:shd w:fill="FFFFFF"/>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0" w:line="252" w:lineRule="auto"/>
              <w:jc w:val="left"/>
            </w:pPr>
            <w:r>
              <w:rPr>
                <w:b w:val="0"/>
                <w:sz w:val="20"/>
              </w:rPr>
              <w:t>Correct top source on answerable cases</w:t>
            </w:r>
          </w:p>
        </w:tc>
        <w:tc>
          <w:tcPr>
            <w:tcW w:type="dxa" w:w="2261"/>
            <w:vAlign w:val="center"/>
            <w:shd w:fill="FFFFFF"/>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0" w:line="252" w:lineRule="auto"/>
              <w:jc w:val="center"/>
            </w:pPr>
            <w:r>
              <w:rPr>
                <w:b w:val="0"/>
                <w:sz w:val="20"/>
              </w:rPr>
              <w:t>14/17 (82.4%)</w:t>
            </w:r>
          </w:p>
        </w:tc>
        <w:tc>
          <w:tcPr>
            <w:tcW w:type="dxa" w:w="2678"/>
            <w:vAlign w:val="center"/>
            <w:shd w:fill="FFFFFF"/>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0" w:line="252" w:lineRule="auto"/>
              <w:jc w:val="center"/>
            </w:pPr>
            <w:r>
              <w:rPr>
                <w:b w:val="0"/>
                <w:sz w:val="20"/>
              </w:rPr>
              <w:t>16/17 (94.1%)</w:t>
            </w:r>
          </w:p>
        </w:tc>
      </w:tr>
      <w:tr>
        <w:trPr>
          <w:cantSplit/>
        </w:trPr>
        <w:tc>
          <w:tcPr>
            <w:tcW w:type="dxa" w:w="4061"/>
            <w:vAlign w:val="center"/>
            <w:shd w:fill="F4F6F9"/>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0" w:line="252" w:lineRule="auto"/>
              <w:jc w:val="left"/>
            </w:pPr>
            <w:r>
              <w:rPr>
                <w:b w:val="0"/>
                <w:sz w:val="20"/>
              </w:rPr>
              <w:t>Correct source or abstention overall</w:t>
            </w:r>
          </w:p>
        </w:tc>
        <w:tc>
          <w:tcPr>
            <w:tcW w:type="dxa" w:w="2261"/>
            <w:vAlign w:val="center"/>
            <w:shd w:fill="F4F6F9"/>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0" w:line="252" w:lineRule="auto"/>
              <w:jc w:val="center"/>
            </w:pPr>
            <w:r>
              <w:rPr>
                <w:b w:val="0"/>
                <w:sz w:val="20"/>
              </w:rPr>
              <w:t>23/30 (76.7%)</w:t>
            </w:r>
          </w:p>
        </w:tc>
        <w:tc>
          <w:tcPr>
            <w:tcW w:type="dxa" w:w="2678"/>
            <w:vAlign w:val="center"/>
            <w:shd w:fill="F4F6F9"/>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0" w:line="252" w:lineRule="auto"/>
              <w:jc w:val="center"/>
            </w:pPr>
            <w:r>
              <w:rPr>
                <w:b w:val="0"/>
                <w:sz w:val="20"/>
              </w:rPr>
              <w:t>28/30 (93.3%)</w:t>
            </w:r>
          </w:p>
        </w:tc>
      </w:tr>
      <w:tr>
        <w:trPr>
          <w:cantSplit/>
        </w:trPr>
        <w:tc>
          <w:tcPr>
            <w:tcW w:type="dxa" w:w="4061"/>
            <w:vAlign w:val="center"/>
            <w:shd w:fill="FFFFFF"/>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0" w:line="252" w:lineRule="auto"/>
              <w:jc w:val="left"/>
            </w:pPr>
            <w:r>
              <w:rPr>
                <w:b w:val="0"/>
                <w:sz w:val="20"/>
              </w:rPr>
              <w:t>Abstention recall on unanswerable cases</w:t>
            </w:r>
          </w:p>
        </w:tc>
        <w:tc>
          <w:tcPr>
            <w:tcW w:type="dxa" w:w="2261"/>
            <w:vAlign w:val="center"/>
            <w:shd w:fill="FFFFFF"/>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0" w:line="252" w:lineRule="auto"/>
              <w:jc w:val="center"/>
            </w:pPr>
            <w:r>
              <w:rPr>
                <w:b w:val="0"/>
                <w:sz w:val="20"/>
              </w:rPr>
              <w:t>9/13 (69.2%)</w:t>
            </w:r>
          </w:p>
        </w:tc>
        <w:tc>
          <w:tcPr>
            <w:tcW w:type="dxa" w:w="2678"/>
            <w:vAlign w:val="center"/>
            <w:shd w:fill="FFFFFF"/>
            <w:tcMar>
              <w:top w:w="90" w:type="dxa"/>
              <w:bottom w:w="90" w:type="dxa"/>
              <w:left w:w="100" w:type="dxa"/>
              <w:right w:w="100" w:type="dxa"/>
            </w:tcMar>
            <w:tcBorders>
              <w:top w:val="single" w:sz="4" w:color="D9D9D9"/>
              <w:bottom w:val="single" w:sz="4" w:color="D9D9D9"/>
              <w:left w:val="single" w:sz="4" w:color="D9D9D9"/>
              <w:right w:val="single" w:sz="4" w:color="D9D9D9"/>
            </w:tcBorders>
          </w:tcPr>
          <w:p>
            <w:pPr>
              <w:spacing w:after="0" w:line="252" w:lineRule="auto"/>
              <w:jc w:val="center"/>
            </w:pPr>
            <w:r>
              <w:rPr>
                <w:b w:val="0"/>
                <w:sz w:val="20"/>
              </w:rPr>
              <w:t>12/13 (92.3%)</w:t>
            </w:r>
          </w:p>
        </w:tc>
      </w:tr>
    </w:tbl>
    <w:p>
      <w:pPr>
        <w:spacing w:after="0"/>
      </w:pPr>
    </w:p>
    <w:p>
      <w:r>
        <w:t>The expanded build answers 18/30 cases; 16/18 answered cases select the expected source. Its 12 abstentions are all correctly labelled unanswerable. Development decisions are correct in 14/15 cases. The original 85% source-selection and 90% abstention-recall targets are nominally exceeded on these reused questions, but not independently validated.</w:t>
      </w:r>
    </w:p>
    <w:p>
      <w:r>
        <w:t>The corpus, exclusion rules and vocabulary changed after failures and labels were seen. Consequently, the apparent increase cannot be attributed solely to retrieval tuning or claimed as generalisation. Explicit coverage rules also make some negative cases easier. Shared authorship of policies, labels and code creates further bias. The reported overtime question, paraphrases and five new-topic checks are development regressions, not an unseen benchmark.</w:t>
      </w:r>
    </w:p>
    <w:p>
      <w:r>
        <w:t>Two evaluation failures remain: a lost-receipt question retrieves security incidents, and an employment-dispute law question retrieves privacy. A development question about purchasing a monitor retrieves meals. These silent false matches show that richer documents introduce distracting vocabulary. Neither successful source links nor a high aggregate score guarantees relevance. No live LLM, Ragas faithfulness evaluation or measured employee-resolution target was achieved.</w:t>
      </w:r>
    </w:p>
    <w:p>
      <w:pPr>
        <w:pStyle w:val="Heading1"/>
      </w:pPr>
      <w:r>
        <w:t>Feasibility and next steps</w:t>
      </w:r>
    </w:p>
    <w:p>
      <w:r>
        <w:t>The deployed website has zero LLM API spend because it makes no model calls; this excludes hosting, development and maintenance costs. Public access removes the need for each visitor to install Python or start Colab. However, maintainability and independent relevance review are more important than deployment convenience for a real pilot.</w:t>
      </w:r>
    </w:p>
    <w:p>
      <w:r>
        <w:t>Next, I would freeze the policy version, commission independently authored questions, compare with ordinary handbook search, and measure task completion time and incorrect determinations. Paragraph-level retrieval could reduce distracting matches and overly long excerpts. A live RAG comparison should test unsupported claims, citations and abstention before adding generation. Real deployment additionally requires authenticated access, permissions, policy-owner review and incident monitoring. The current prototype supports an information-only demonstration, not automated HR decisions.</w:t>
      </w:r>
    </w:p>
    <w:p>
      <w:pPr>
        <w:pStyle w:val="Heading1"/>
      </w:pPr>
      <w:r>
        <w:t>Project evidence and AI assistance</w:t>
      </w:r>
    </w:p>
    <w:p>
      <w:r>
        <w:t>Evidence: public website https://smartpolicy-pe6201.qingzhaomuqi.chatgpt.site; policies.json; build_handbook.py; handbook-v4-evaluation.json; check-parity.mjs; check-handbook.mjs. This report evaluates the expanded website; the older Python/Colab package is a separate snapshot and does not reproduce these results. I used AI assistance for implementation, synthetic data and report preparation, and remain responsible for reviewing the work and following course disclosure requirements.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254" w:lineRule="auto"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SmartPolicy HR and Expense Policy Assistant</dc:title>
  <dc:subject>PE6201 final report on expanded public website</dc:subject>
  <dc:creator>QI QINGZHAOMU</dc:creator>
  <cp:keywords/>
  <dc:description>generated by python-docx</dc:description>
  <cp:lastModifiedBy/>
  <cp:revision>1</cp:revision>
  <dcterms:created xsi:type="dcterms:W3CDTF">2013-12-23T23:15:00Z</dcterms:created>
  <dcterms:modified xsi:type="dcterms:W3CDTF">2013-12-23T23:15:00Z</dcterms:modified>
  <cp:category/>
</cp:coreProperties>
</file>