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472f700240a91f1faf584cd604ed4da6ea297d4"/>
    <w:p>
      <w:pPr>
        <w:pStyle w:val="Heading1"/>
      </w:pPr>
      <w:r>
        <w:t xml:space="preserve">Cardiac-NSIM: A Quad-Modal Conformal Device for Comprehensive Non-Invasive Cardiac Assessment</w:t>
      </w:r>
    </w:p>
    <w:bookmarkStart w:id="9" w:name="Xc01e8ee2a78b2598b462453c907d4fc8fba58f4"/>
    <w:p>
      <w:pPr>
        <w:pStyle w:val="Heading2"/>
      </w:pPr>
      <w:r>
        <w:t xml:space="preserve">Integrating Localized NMR, Electrocardiography, Photoplethysmography, and Digital Auscultation in a Unified Handheld Platform</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Background</w:t>
      </w:r>
      <w:r>
        <w:t xml:space="preserve">: Current cardiac diagnostic modalities suffer from significant limitations in sensitivity, accessibility, and patient experience. Standard 12-lead electrocardiography (ECG) fails to detect Non-ST-Elevation Myocardial Infarction (NSTEMI) in over 40% of elderly patients, with women experiencing 41-59% higher misdiagnosis rates than men. Traditional auscultation via stethoscope—a technology fundamentally unchanged since 1816—introduces observer-dependent variability that confounds reproducible diagnosis. Meanwhile, magnetic resonance imaging (MRI) offers superior soft tissue characterization but remains inaccessible due to size, cost, and infrastructure requirements.</w:t>
      </w:r>
    </w:p>
    <w:p>
      <w:pPr>
        <w:pStyle w:val="BodyText"/>
      </w:pPr>
      <w:r>
        <w:rPr>
          <w:b/>
          <w:bCs/>
        </w:rPr>
        <w:t xml:space="preserve">Objective</w:t>
      </w:r>
      <w:r>
        <w:t xml:space="preserve">: We propose the Cardiac Near-Field Sub-Wavelength Imaging Module (Cardiac-NSIM), a conformal handheld device integrating four complementary sensing modalities: (1) surface-coil low-field nuclear magnetic resonance (NMR) for localized tissue characterization, (2) dry-electrode electrocardiography for electrical activity mapping, (3) photoplethysmography (PPG) for optical perfusion assessment, and (4) digital auscultation via MEMS microphone array for objective acoustic analysis.</w:t>
      </w:r>
    </w:p>
    <w:p>
      <w:pPr>
        <w:pStyle w:val="BodyText"/>
      </w:pPr>
      <w:r>
        <w:rPr>
          <w:b/>
          <w:bCs/>
        </w:rPr>
        <w:t xml:space="preserve">Methods</w:t>
      </w:r>
      <w:r>
        <w:t xml:space="preserve">: The device employs a Halbach-array ferrite configuration to generate unidirectional magnetic flux penetrating 30-40mm into the myocardium. Frequency-domain orthogonality and active diplexing enable simultaneous multi-modal acquisition without signal interference. Conformal geometry (150mm radius of curvature) minimizes air-gap losses at the chest wall interface. Bio-adhesive polymer fixation eliminates risks associated with magnetic retention in patients with cardiac implantable electronic devices (CIEDs).</w:t>
      </w:r>
    </w:p>
    <w:p>
      <w:pPr>
        <w:pStyle w:val="BodyText"/>
      </w:pPr>
      <w:r>
        <w:rPr>
          <w:b/>
          <w:bCs/>
        </w:rPr>
        <w:t xml:space="preserve">Results</w:t>
      </w:r>
      <w:r>
        <w:t xml:space="preserve">: Theoretical analysis demonstrates sufficient B₁ field strength for hydrogen proton spin-flip at clinically relevant depths using a 50mm diameter pancake coil operating at 4.25 MHz (0.1T equivalent). Signal-to-noise ratio (SNR) improvements of 3-5x over flat-coil designs are predicted due to anatomical conformity. Multi-modal data fusion enables detection of pathologies invisible to any single modality alone.</w:t>
      </w:r>
    </w:p>
    <w:p>
      <w:pPr>
        <w:pStyle w:val="BodyText"/>
      </w:pPr>
      <w:r>
        <w:rPr>
          <w:b/>
          <w:bCs/>
        </w:rPr>
        <w:t xml:space="preserve">Conclusions</w:t>
      </w:r>
      <w:r>
        <w:t xml:space="preserve">: Quad-modal integration in a non-intimidating, portable form factor addresses critical gaps in cardiac diagnostics, particularly for populations historically underserved by current technologies. The Cardiac-NSIM represents a logical progression from compartmentalized hospital-based diagnostics toward unified, accessible, patient-centered cardiac assessment.</w:t>
      </w:r>
    </w:p>
    <w:p>
      <w:pPr>
        <w:pStyle w:val="BodyText"/>
      </w:pPr>
      <w:r>
        <w:rPr>
          <w:b/>
          <w:bCs/>
        </w:rPr>
        <w:t xml:space="preserve">Keywords</w:t>
      </w:r>
      <w:r>
        <w:t xml:space="preserve">: cardiac imaging, portable MRI, low-field NMR, electrocardiography, photoplethysmography, digital auscultation, NSTEMI, multi-modal diagnostics, conformal electronics</w:t>
      </w:r>
    </w:p>
    <w:p>
      <w:r>
        <w:pict>
          <v:rect style="width:0;height:1.5pt" o:hralign="center" o:hrstd="t" o:hr="t"/>
        </w:pict>
      </w:r>
    </w:p>
    <w:bookmarkEnd w:id="10"/>
    <w:bookmarkStart w:id="15" w:name="introduction"/>
    <w:p>
      <w:pPr>
        <w:pStyle w:val="Heading2"/>
      </w:pPr>
      <w:r>
        <w:t xml:space="preserve">1. Introduction</w:t>
      </w:r>
    </w:p>
    <w:bookmarkStart w:id="11" w:name="the-diagnostic-gap"/>
    <w:p>
      <w:pPr>
        <w:pStyle w:val="Heading3"/>
      </w:pPr>
      <w:r>
        <w:t xml:space="preserve">1.1 The Diagnostic Gap</w:t>
      </w:r>
    </w:p>
    <w:p>
      <w:pPr>
        <w:pStyle w:val="FirstParagraph"/>
      </w:pPr>
      <w:r>
        <w:t xml:space="preserve">Cardiovascular disease remains the leading cause of mortality globally, accounting for approximately 17.9 million deaths annually (WHO, 2023). Despite advances in therapeutic intervention, diagnostic accuracy—particularly in the acute setting—remains problematic. The American Heart Association reports that approximately 780,000 acute coronary syndrome (ACS) events occur annually in the United States, with 70% classified as Non-ST-Elevation Myocardial Infarction (NSTEMI) (AHA, 2024).</w:t>
      </w:r>
    </w:p>
    <w:p>
      <w:pPr>
        <w:pStyle w:val="BodyText"/>
      </w:pPr>
      <w:r>
        <w:t xml:space="preserve">NSTEMI presents a unique diagnostic challenge: unlike ST-Elevation Myocardial Infarction (STEMI), which produces characteristic ECG changes, NSTEMI frequently presents with non-diagnostic electrocardiographic findings. Studies demonstrate that standard ECG fails to provide definitive diagnosis in up to 93% of suspected ACS cases (NCBI, 2020). This limitation disproportionately affects women, who present with atypical symptoms in up to one-third of cases and experience 41-59% higher rates of initial misdiagnosis compared to men (ESC, 2023).</w:t>
      </w:r>
    </w:p>
    <w:bookmarkEnd w:id="11"/>
    <w:bookmarkStart w:id="12" w:name="Xf486f0c6058f1c7b0b30097c4af7edefe0cd710"/>
    <w:p>
      <w:pPr>
        <w:pStyle w:val="Heading3"/>
      </w:pPr>
      <w:r>
        <w:t xml:space="preserve">1.2 Historical Context: From Subjective to Objective Measurement</w:t>
      </w:r>
    </w:p>
    <w:p>
      <w:pPr>
        <w:pStyle w:val="FirstParagraph"/>
      </w:pPr>
      <w:r>
        <w:t xml:space="preserve">The trajectory of cardiac diagnostics reveals a consistent movement toward objective, quantifiable measurement:</w:t>
      </w:r>
    </w:p>
    <w:tbl>
      <w:tblPr>
        <w:tblStyle w:val="Table"/>
        <w:tblW w:type="pct" w:w="5000"/>
        <w:tblLayout w:type="fixed"/>
        <w:tblLook w:firstRow="1" w:lastRow="0" w:firstColumn="0" w:lastColumn="0" w:noHBand="0" w:noVBand="0" w:val="0020"/>
      </w:tblPr>
      <w:tblGrid>
        <w:gridCol w:w="1250"/>
        <w:gridCol w:w="2292"/>
        <w:gridCol w:w="4376"/>
      </w:tblGrid>
      <w:tr>
        <w:trPr>
          <w:tblHeader w:val="on"/>
        </w:trPr>
        <w:tc>
          <w:tcPr/>
          <w:p>
            <w:pPr>
              <w:pStyle w:val="Compact"/>
            </w:pPr>
            <w:r>
              <w:t xml:space="preserve">Year</w:t>
            </w:r>
          </w:p>
        </w:tc>
        <w:tc>
          <w:tcPr/>
          <w:p>
            <w:pPr>
              <w:pStyle w:val="Compact"/>
            </w:pPr>
            <w:r>
              <w:t xml:space="preserve">Innovation</w:t>
            </w:r>
          </w:p>
        </w:tc>
        <w:tc>
          <w:tcPr/>
          <w:p>
            <w:pPr>
              <w:pStyle w:val="Compact"/>
            </w:pPr>
            <w:r>
              <w:t xml:space="preserve">Limitation Addressed</w:t>
            </w:r>
          </w:p>
        </w:tc>
      </w:tr>
      <w:tr>
        <w:tc>
          <w:tcPr/>
          <w:p>
            <w:pPr>
              <w:pStyle w:val="Compact"/>
            </w:pPr>
            <w:r>
              <w:t xml:space="preserve">1816</w:t>
            </w:r>
          </w:p>
        </w:tc>
        <w:tc>
          <w:tcPr/>
          <w:p>
            <w:pPr>
              <w:pStyle w:val="Compact"/>
            </w:pPr>
            <w:r>
              <w:t xml:space="preserve">Stethoscope (Laennec)</w:t>
            </w:r>
          </w:p>
        </w:tc>
        <w:tc>
          <w:tcPr/>
          <w:p>
            <w:pPr>
              <w:pStyle w:val="Compact"/>
            </w:pPr>
            <w:r>
              <w:t xml:space="preserve">Direct auscultation discomfort</w:t>
            </w:r>
          </w:p>
        </w:tc>
      </w:tr>
      <w:tr>
        <w:tc>
          <w:tcPr/>
          <w:p>
            <w:pPr>
              <w:pStyle w:val="Compact"/>
            </w:pPr>
            <w:r>
              <w:t xml:space="preserve">1901</w:t>
            </w:r>
          </w:p>
        </w:tc>
        <w:tc>
          <w:tcPr/>
          <w:p>
            <w:pPr>
              <w:pStyle w:val="Compact"/>
            </w:pPr>
            <w:r>
              <w:t xml:space="preserve">Electrocardiogram (Einthoven)</w:t>
            </w:r>
          </w:p>
        </w:tc>
        <w:tc>
          <w:tcPr/>
          <w:p>
            <w:pPr>
              <w:pStyle w:val="Compact"/>
            </w:pPr>
            <w:r>
              <w:t xml:space="preserve">Subjective sound interpretation</w:t>
            </w:r>
          </w:p>
        </w:tc>
      </w:tr>
      <w:tr>
        <w:tc>
          <w:tcPr/>
          <w:p>
            <w:pPr>
              <w:pStyle w:val="Compact"/>
            </w:pPr>
            <w:r>
              <w:t xml:space="preserve">1977</w:t>
            </w:r>
          </w:p>
        </w:tc>
        <w:tc>
          <w:tcPr/>
          <w:p>
            <w:pPr>
              <w:pStyle w:val="Compact"/>
            </w:pPr>
            <w:r>
              <w:t xml:space="preserve">Clinical MRI (Damadian)</w:t>
            </w:r>
          </w:p>
        </w:tc>
        <w:tc>
          <w:tcPr/>
          <w:p>
            <w:pPr>
              <w:pStyle w:val="Compact"/>
            </w:pPr>
            <w:r>
              <w:t xml:space="preserve">Soft tissue visualization</w:t>
            </w:r>
          </w:p>
        </w:tc>
      </w:tr>
      <w:tr>
        <w:tc>
          <w:tcPr/>
          <w:p>
            <w:pPr>
              <w:pStyle w:val="Compact"/>
            </w:pPr>
            <w:r>
              <w:t xml:space="preserve">2020</w:t>
            </w:r>
          </w:p>
        </w:tc>
        <w:tc>
          <w:tcPr/>
          <w:p>
            <w:pPr>
              <w:pStyle w:val="Compact"/>
            </w:pPr>
            <w:r>
              <w:t xml:space="preserve">Portable MRI (Hyperfine)</w:t>
            </w:r>
          </w:p>
        </w:tc>
        <w:tc>
          <w:tcPr/>
          <w:p>
            <w:pPr>
              <w:pStyle w:val="Compact"/>
            </w:pPr>
            <w:r>
              <w:t xml:space="preserve">Accessibility</w:t>
            </w:r>
          </w:p>
        </w:tc>
      </w:tr>
      <w:tr>
        <w:tc>
          <w:tcPr/>
          <w:p>
            <w:pPr>
              <w:pStyle w:val="Compact"/>
            </w:pPr>
            <w:r>
              <w:rPr>
                <w:b/>
                <w:bCs/>
              </w:rPr>
              <w:t xml:space="preserve">Proposed</w:t>
            </w:r>
          </w:p>
        </w:tc>
        <w:tc>
          <w:tcPr/>
          <w:p>
            <w:pPr>
              <w:pStyle w:val="Compact"/>
            </w:pPr>
            <w:r>
              <w:rPr>
                <w:b/>
                <w:bCs/>
              </w:rPr>
              <w:t xml:space="preserve">Cardiac-NSIM</w:t>
            </w:r>
          </w:p>
        </w:tc>
        <w:tc>
          <w:tcPr/>
          <w:p>
            <w:pPr>
              <w:pStyle w:val="Compact"/>
            </w:pPr>
            <w:r>
              <w:rPr>
                <w:b/>
                <w:bCs/>
              </w:rPr>
              <w:t xml:space="preserve">Multi-modal integration, patient experience</w:t>
            </w:r>
          </w:p>
        </w:tc>
      </w:tr>
    </w:tbl>
    <w:p>
      <w:pPr>
        <w:pStyle w:val="BodyText"/>
      </w:pPr>
      <w:r>
        <w:t xml:space="preserve">René Théophile Hyacinthe Laennec’s invention of the stethoscope in 1816 represented the first mediated cardiac examination, replacing direct ear-to-chest auscultation. However, the fundamental limitation of observer-dependent interpretation persists: inter-observer agreement for cardiac murmur detection ranges from κ = 0.30-0.55 (fair to moderate), introducing unacceptable variability in clinical decision-making (Mangione, 2001).</w:t>
      </w:r>
    </w:p>
    <w:p>
      <w:pPr>
        <w:pStyle w:val="BodyText"/>
      </w:pPr>
      <w:r>
        <w:t xml:space="preserve">Willem Einthoven’s string galvanometer (1901) provided the first objective electrical recording of cardiac activity, earning him the 1924 Nobel Prize. Yet ECG captures only electrical phenomena, remaining blind to mechanical, perfusion, and tissue-level pathology.</w:t>
      </w:r>
    </w:p>
    <w:p>
      <w:pPr>
        <w:pStyle w:val="BodyText"/>
      </w:pPr>
      <w:r>
        <w:t xml:space="preserve">Modern MRI offers comprehensive tissue characterization but requires superconducting magnets, radiofrequency shielding, and specialized facilities—constraints that limit accessibility to tertiary care centers and preclude point-of-care deployment.</w:t>
      </w:r>
    </w:p>
    <w:bookmarkEnd w:id="12"/>
    <w:bookmarkStart w:id="13" w:name="the-case-for-multi-modal-integration"/>
    <w:p>
      <w:pPr>
        <w:pStyle w:val="Heading3"/>
      </w:pPr>
      <w:r>
        <w:t xml:space="preserve">1.3 The Case for Multi-Modal Integration</w:t>
      </w:r>
    </w:p>
    <w:p>
      <w:pPr>
        <w:pStyle w:val="FirstParagraph"/>
      </w:pPr>
      <w:r>
        <w:t xml:space="preserve">Each existing modality captures a single dimension of cardiac function:</w:t>
      </w:r>
    </w:p>
    <w:tbl>
      <w:tblPr>
        <w:tblStyle w:val="Table"/>
        <w:tblW w:type="pct" w:w="5000"/>
        <w:tblLayout w:type="fixed"/>
        <w:tblLook w:firstRow="1" w:lastRow="0" w:firstColumn="0" w:lastColumn="0" w:noHBand="0" w:noVBand="0" w:val="0020"/>
      </w:tblPr>
      <w:tblGrid>
        <w:gridCol w:w="1389"/>
        <w:gridCol w:w="1806"/>
        <w:gridCol w:w="2917"/>
        <w:gridCol w:w="1806"/>
      </w:tblGrid>
      <w:tr>
        <w:trPr>
          <w:tblHeader w:val="on"/>
        </w:trPr>
        <w:tc>
          <w:tcPr/>
          <w:p>
            <w:pPr>
              <w:pStyle w:val="Compact"/>
            </w:pPr>
            <w:r>
              <w:t xml:space="preserve">Modality</w:t>
            </w:r>
          </w:p>
        </w:tc>
        <w:tc>
          <w:tcPr/>
          <w:p>
            <w:pPr>
              <w:pStyle w:val="Compact"/>
            </w:pPr>
            <w:r>
              <w:t xml:space="preserve">Signal Type</w:t>
            </w:r>
          </w:p>
        </w:tc>
        <w:tc>
          <w:tcPr/>
          <w:p>
            <w:pPr>
              <w:pStyle w:val="Compact"/>
            </w:pPr>
            <w:r>
              <w:t xml:space="preserve">Clinical Information</w:t>
            </w:r>
          </w:p>
        </w:tc>
        <w:tc>
          <w:tcPr/>
          <w:p>
            <w:pPr>
              <w:pStyle w:val="Compact"/>
            </w:pPr>
            <w:r>
              <w:t xml:space="preserve">Blind Spots</w:t>
            </w:r>
          </w:p>
        </w:tc>
      </w:tr>
      <w:tr>
        <w:tc>
          <w:tcPr/>
          <w:p>
            <w:pPr>
              <w:pStyle w:val="Compact"/>
            </w:pPr>
            <w:r>
              <w:t xml:space="preserve">ECG</w:t>
            </w:r>
          </w:p>
        </w:tc>
        <w:tc>
          <w:tcPr/>
          <w:p>
            <w:pPr>
              <w:pStyle w:val="Compact"/>
            </w:pPr>
            <w:r>
              <w:t xml:space="preserve">Electrical</w:t>
            </w:r>
          </w:p>
        </w:tc>
        <w:tc>
          <w:tcPr/>
          <w:p>
            <w:pPr>
              <w:pStyle w:val="Compact"/>
            </w:pPr>
            <w:r>
              <w:t xml:space="preserve">Conduction, rhythm, ischemia</w:t>
            </w:r>
          </w:p>
        </w:tc>
        <w:tc>
          <w:tcPr/>
          <w:p>
            <w:pPr>
              <w:pStyle w:val="Compact"/>
            </w:pPr>
            <w:r>
              <w:t xml:space="preserve">Mechanical function, perfusion</w:t>
            </w:r>
          </w:p>
        </w:tc>
      </w:tr>
      <w:tr>
        <w:tc>
          <w:tcPr/>
          <w:p>
            <w:pPr>
              <w:pStyle w:val="Compact"/>
            </w:pPr>
            <w:r>
              <w:t xml:space="preserve">Auscultation</w:t>
            </w:r>
          </w:p>
        </w:tc>
        <w:tc>
          <w:tcPr/>
          <w:p>
            <w:pPr>
              <w:pStyle w:val="Compact"/>
            </w:pPr>
            <w:r>
              <w:t xml:space="preserve">Acoustic</w:t>
            </w:r>
          </w:p>
        </w:tc>
        <w:tc>
          <w:tcPr/>
          <w:p>
            <w:pPr>
              <w:pStyle w:val="Compact"/>
            </w:pPr>
            <w:r>
              <w:t xml:space="preserve">Valve function, murmurs</w:t>
            </w:r>
          </w:p>
        </w:tc>
        <w:tc>
          <w:tcPr/>
          <w:p>
            <w:pPr>
              <w:pStyle w:val="Compact"/>
            </w:pPr>
            <w:r>
              <w:t xml:space="preserve">Electrical activity, tissue state</w:t>
            </w:r>
          </w:p>
        </w:tc>
      </w:tr>
      <w:tr>
        <w:tc>
          <w:tcPr/>
          <w:p>
            <w:pPr>
              <w:pStyle w:val="Compact"/>
            </w:pPr>
            <w:r>
              <w:t xml:space="preserve">PPG</w:t>
            </w:r>
          </w:p>
        </w:tc>
        <w:tc>
          <w:tcPr/>
          <w:p>
            <w:pPr>
              <w:pStyle w:val="Compact"/>
            </w:pPr>
            <w:r>
              <w:t xml:space="preserve">Optical</w:t>
            </w:r>
          </w:p>
        </w:tc>
        <w:tc>
          <w:tcPr/>
          <w:p>
            <w:pPr>
              <w:pStyle w:val="Compact"/>
            </w:pPr>
            <w:r>
              <w:t xml:space="preserve">Pulse waveform, SpO₂, perfusion</w:t>
            </w:r>
          </w:p>
        </w:tc>
        <w:tc>
          <w:tcPr/>
          <w:p>
            <w:pPr>
              <w:pStyle w:val="Compact"/>
            </w:pPr>
            <w:r>
              <w:t xml:space="preserve">Deep tissue, electrical</w:t>
            </w:r>
          </w:p>
        </w:tc>
      </w:tr>
      <w:tr>
        <w:tc>
          <w:tcPr/>
          <w:p>
            <w:pPr>
              <w:pStyle w:val="Compact"/>
            </w:pPr>
            <w:r>
              <w:t xml:space="preserve">MRI</w:t>
            </w:r>
          </w:p>
        </w:tc>
        <w:tc>
          <w:tcPr/>
          <w:p>
            <w:pPr>
              <w:pStyle w:val="Compact"/>
            </w:pPr>
            <w:r>
              <w:t xml:space="preserve">Magnetic resonance</w:t>
            </w:r>
          </w:p>
        </w:tc>
        <w:tc>
          <w:tcPr/>
          <w:p>
            <w:pPr>
              <w:pStyle w:val="Compact"/>
            </w:pPr>
            <w:r>
              <w:t xml:space="preserve">Tissue characterization, structure</w:t>
            </w:r>
          </w:p>
        </w:tc>
        <w:tc>
          <w:tcPr/>
          <w:p>
            <w:pPr>
              <w:pStyle w:val="Compact"/>
            </w:pPr>
            <w:r>
              <w:t xml:space="preserve">Real-time rhythm, portability</w:t>
            </w:r>
          </w:p>
        </w:tc>
      </w:tr>
    </w:tbl>
    <w:p>
      <w:pPr>
        <w:pStyle w:val="BodyText"/>
      </w:pPr>
      <w:r>
        <w:t xml:space="preserve">Pathologies invisible to one modality may be evident in another. NSTEMI, for example, may present with:</w:t>
      </w:r>
      <w:r>
        <w:t xml:space="preserve"> </w:t>
      </w:r>
      <w:r>
        <w:t xml:space="preserve">- Normal ECG (no ST elevation)</w:t>
      </w:r>
      <w:r>
        <w:t xml:space="preserve"> </w:t>
      </w:r>
      <w:r>
        <w:t xml:space="preserve">- Subtle S3/S4 heart sounds (acoustic)</w:t>
      </w:r>
      <w:r>
        <w:t xml:space="preserve"> </w:t>
      </w:r>
      <w:r>
        <w:t xml:space="preserve">- Reduced pulse amplitude (optical)</w:t>
      </w:r>
      <w:r>
        <w:t xml:space="preserve"> </w:t>
      </w:r>
      <w:r>
        <w:t xml:space="preserve">- Myocardial edema (MRI-detectable)</w:t>
      </w:r>
    </w:p>
    <w:p>
      <w:pPr>
        <w:pStyle w:val="BodyText"/>
      </w:pPr>
      <w:r>
        <w:t xml:space="preserve">A unified device capturing all four signal types simultaneously enables data fusion algorithms to detect patterns invisible to any single modality, potentially addressing the diagnostic gaps responsible for delayed or missed diagnoses.</w:t>
      </w:r>
    </w:p>
    <w:bookmarkEnd w:id="13"/>
    <w:bookmarkStart w:id="14" w:name="the-patient-experience-problem"/>
    <w:p>
      <w:pPr>
        <w:pStyle w:val="Heading3"/>
      </w:pPr>
      <w:r>
        <w:t xml:space="preserve">1.4 The Patient Experience Problem</w:t>
      </w:r>
    </w:p>
    <w:p>
      <w:pPr>
        <w:pStyle w:val="FirstParagraph"/>
      </w:pPr>
      <w:r>
        <w:t xml:space="preserve">Beyond technical limitations, current diagnostic approaches introduce iatrogenic confounders.</w:t>
      </w:r>
      <w:r>
        <w:t xml:space="preserve"> </w:t>
      </w:r>
      <w:r>
        <w:t xml:space="preserve">“White coat hypertension”</w:t>
      </w:r>
      <w:r>
        <w:t xml:space="preserve">—elevated cardiovascular parameters triggered by clinical settings—affects 20-50% of patients (Pickering, 2002). Standard 12-lead ECG requires attachment of 10 electrodes with gel application, generating anxiety that directly affects the parameters being measured.</w:t>
      </w:r>
    </w:p>
    <w:p>
      <w:pPr>
        <w:pStyle w:val="BodyText"/>
      </w:pPr>
      <w:r>
        <w:t xml:space="preserve">Research demonstrates that even anticipation of blood pressure measurement triggers sympathetic activation indistinguishable from pathological hypertension (Ogedegbe, 2008). For patients with suspected cardiac pathology, the stress of diagnostic procedures may exacerbate underlying conditions while simultaneously contaminating measurements.</w:t>
      </w:r>
    </w:p>
    <w:p>
      <w:pPr>
        <w:pStyle w:val="BodyText"/>
      </w:pPr>
      <w:r>
        <w:t xml:space="preserve">A less intimidating device—handheld, wireless, gel-free—addresses this confounding factor by reducing patient anxiety during the diagnostic process itself.</w:t>
      </w:r>
    </w:p>
    <w:p>
      <w:r>
        <w:pict>
          <v:rect style="width:0;height:1.5pt" o:hralign="center" o:hrstd="t" o:hr="t"/>
        </w:pict>
      </w:r>
    </w:p>
    <w:bookmarkEnd w:id="14"/>
    <w:bookmarkEnd w:id="15"/>
    <w:bookmarkStart w:id="24" w:name="device-architecture"/>
    <w:p>
      <w:pPr>
        <w:pStyle w:val="Heading2"/>
      </w:pPr>
      <w:r>
        <w:t xml:space="preserve">2. Device Architecture</w:t>
      </w:r>
    </w:p>
    <w:bookmarkStart w:id="16" w:name="design-philosophy"/>
    <w:p>
      <w:pPr>
        <w:pStyle w:val="Heading3"/>
      </w:pPr>
      <w:r>
        <w:t xml:space="preserve">2.1 Design Philosophy</w:t>
      </w:r>
    </w:p>
    <w:p>
      <w:pPr>
        <w:pStyle w:val="FirstParagraph"/>
      </w:pPr>
      <w:r>
        <w:t xml:space="preserve">The Cardiac-NSIM is designed around four core principles:</w:t>
      </w:r>
    </w:p>
    <w:p>
      <w:pPr>
        <w:pStyle w:val="Compact"/>
        <w:numPr>
          <w:ilvl w:val="0"/>
          <w:numId w:val="1001"/>
        </w:numPr>
      </w:pPr>
      <w:r>
        <w:rPr>
          <w:b/>
          <w:bCs/>
        </w:rPr>
        <w:t xml:space="preserve">Conformal geometry</w:t>
      </w:r>
      <w:r>
        <w:t xml:space="preserve">: Curved housing matches intercostal anatomy to minimize air-gap signal loss</w:t>
      </w:r>
    </w:p>
    <w:p>
      <w:pPr>
        <w:pStyle w:val="Compact"/>
        <w:numPr>
          <w:ilvl w:val="0"/>
          <w:numId w:val="1001"/>
        </w:numPr>
      </w:pPr>
      <w:r>
        <w:rPr>
          <w:b/>
          <w:bCs/>
        </w:rPr>
        <w:t xml:space="preserve">Unidirectional field emission</w:t>
      </w:r>
      <w:r>
        <w:t xml:space="preserve">: Halbach-array ferrite configuration focuses magnetic flux into tissue</w:t>
      </w:r>
    </w:p>
    <w:p>
      <w:pPr>
        <w:pStyle w:val="Compact"/>
        <w:numPr>
          <w:ilvl w:val="0"/>
          <w:numId w:val="1001"/>
        </w:numPr>
      </w:pPr>
      <w:r>
        <w:rPr>
          <w:b/>
          <w:bCs/>
        </w:rPr>
        <w:t xml:space="preserve">Non-intimidating form factor</w:t>
      </w:r>
      <w:r>
        <w:t xml:space="preserve">: Compact, wireless, dry-electrode design reduces patient anxiety</w:t>
      </w:r>
    </w:p>
    <w:p>
      <w:pPr>
        <w:pStyle w:val="Compact"/>
        <w:numPr>
          <w:ilvl w:val="0"/>
          <w:numId w:val="1001"/>
        </w:numPr>
      </w:pPr>
      <w:r>
        <w:rPr>
          <w:b/>
          <w:bCs/>
        </w:rPr>
        <w:t xml:space="preserve">Multi-modal simultaneity</w:t>
      </w:r>
      <w:r>
        <w:t xml:space="preserve">: Frequency-domain orthogonality enables concurrent acquisition</w:t>
      </w:r>
    </w:p>
    <w:bookmarkEnd w:id="16"/>
    <w:bookmarkStart w:id="21" w:name="sensing-modalities"/>
    <w:p>
      <w:pPr>
        <w:pStyle w:val="Heading3"/>
      </w:pPr>
      <w:r>
        <w:t xml:space="preserve">2.2 Sensing Modalities</w:t>
      </w:r>
    </w:p>
    <w:bookmarkStart w:id="17" w:name="X3c2276c787a1687a9416ec5737dbeabf7769855"/>
    <w:p>
      <w:pPr>
        <w:pStyle w:val="Heading4"/>
      </w:pPr>
      <w:r>
        <w:t xml:space="preserve">2.2.1 Localized Low-Field NMR (Magnetic Resonance)</w:t>
      </w:r>
    </w:p>
    <w:p>
      <w:pPr>
        <w:pStyle w:val="FirstParagraph"/>
      </w:pPr>
      <w:r>
        <w:t xml:space="preserve">Unlike conventional MRI requiring whole-body superconducting magnets (1.5-3T), Cardiac-NSIM employs surface-coil NMR at approximately 0.1T equivalent field strength. The Larmor frequency for hydrogen protons at this field strength is:</w:t>
      </w:r>
    </w:p>
    <w:p>
      <w:pPr>
        <w:pStyle w:val="BodyText"/>
      </w:pPr>
      <m:oMathPara>
        <m:oMathParaPr>
          <m:jc m:val="center"/>
        </m:oMathParaPr>
        <m:oMath>
          <m:sSub>
            <m:e>
              <m:r>
                <m:t>f</m:t>
              </m:r>
            </m:e>
            <m:sub>
              <m:r>
                <m:t>L</m:t>
              </m:r>
            </m:sub>
          </m:sSub>
          <m:r>
            <m:rPr>
              <m:sty m:val="p"/>
            </m:rPr>
            <m:t>=</m:t>
          </m:r>
          <m:r>
            <m:t>γ</m:t>
          </m:r>
          <m:sSub>
            <m:e>
              <m:r>
                <m:t>B</m:t>
              </m:r>
            </m:e>
            <m:sub>
              <m:r>
                <m:t>0</m:t>
              </m:r>
            </m:sub>
          </m:sSub>
          <m:r>
            <m:rPr>
              <m:sty m:val="p"/>
            </m:rPr>
            <m:t>=</m:t>
          </m:r>
          <m:r>
            <m:t>42.576</m:t>
          </m:r>
          <m:r>
            <m:rPr>
              <m:nor/>
              <m:sty m:val="p"/>
            </m:rPr>
            <m:t> MHz/T</m:t>
          </m:r>
          <m:r>
            <m:rPr>
              <m:sty m:val="p"/>
            </m:rPr>
            <m:t>×</m:t>
          </m:r>
          <m:r>
            <m:t>0.1</m:t>
          </m:r>
          <m:r>
            <m:rPr>
              <m:nor/>
              <m:sty m:val="p"/>
            </m:rPr>
            <m:t> T</m:t>
          </m:r>
          <m:r>
            <m:rPr>
              <m:sty m:val="p"/>
            </m:rPr>
            <m:t>=</m:t>
          </m:r>
          <m:r>
            <m:t>4.257</m:t>
          </m:r>
          <m:r>
            <m:rPr>
              <m:nor/>
              <m:sty m:val="p"/>
            </m:rPr>
            <m:t> MHz</m:t>
          </m:r>
        </m:oMath>
      </m:oMathPara>
    </w:p>
    <w:p>
      <w:pPr>
        <w:pStyle w:val="FirstParagraph"/>
      </w:pPr>
      <w:r>
        <w:t xml:space="preserve">A 4-turn helical ribbon pancake coil (50mm diameter, high Q-factor) generates the B₁ excitation field. The magnetic field strength along the coil axis follows:</w:t>
      </w:r>
    </w:p>
    <w:p>
      <w:pPr>
        <w:pStyle w:val="BodyText"/>
      </w:pPr>
      <m:oMathPara>
        <m:oMathParaPr>
          <m:jc m:val="center"/>
        </m:oMathParaPr>
        <m:oMath>
          <m:r>
            <m:t>B</m:t>
          </m:r>
          <m:r>
            <m:rPr>
              <m:sty m:val="p"/>
            </m:rPr>
            <m:t>(</m:t>
          </m:r>
          <m:r>
            <m:t>z</m:t>
          </m:r>
          <m:r>
            <m:rPr>
              <m:sty m:val="p"/>
            </m:rPr>
            <m:t>)</m:t>
          </m:r>
          <m:r>
            <m:rPr>
              <m:sty m:val="p"/>
            </m:rPr>
            <m:t>=</m:t>
          </m:r>
          <m:f>
            <m:fPr>
              <m:type m:val="bar"/>
            </m:fPr>
            <m:num>
              <m:sSub>
                <m:e>
                  <m:r>
                    <m:t>μ</m:t>
                  </m:r>
                </m:e>
                <m:sub>
                  <m:r>
                    <m:t>0</m:t>
                  </m:r>
                </m:sub>
              </m:sSub>
              <m:r>
                <m:t>I</m:t>
              </m:r>
              <m:sSup>
                <m:e>
                  <m:r>
                    <m:t>R</m:t>
                  </m:r>
                </m:e>
                <m:sup>
                  <m:r>
                    <m:t>2</m:t>
                  </m:r>
                </m:sup>
              </m:sSup>
            </m:num>
            <m:den>
              <m:r>
                <m:t>2</m:t>
              </m:r>
              <m:r>
                <m:rPr>
                  <m:sty m:val="p"/>
                </m:rPr>
                <m:t>(</m:t>
              </m:r>
              <m:sSup>
                <m:e>
                  <m:r>
                    <m:t>R</m:t>
                  </m:r>
                </m:e>
                <m:sup>
                  <m:r>
                    <m:t>2</m:t>
                  </m:r>
                </m:sup>
              </m:sSup>
              <m:r>
                <m:rPr>
                  <m:sty m:val="p"/>
                </m:rPr>
                <m:t>+</m:t>
              </m:r>
              <m:sSup>
                <m:e>
                  <m:r>
                    <m:t>z</m:t>
                  </m:r>
                </m:e>
                <m:sup>
                  <m:r>
                    <m:t>2</m:t>
                  </m:r>
                </m:sup>
              </m:sSup>
              <m:sSup>
                <m:e>
                  <m:r>
                    <m:rPr>
                      <m:sty m:val="p"/>
                    </m:rPr>
                    <m:t>)</m:t>
                  </m:r>
                </m:e>
                <m:sup>
                  <m:r>
                    <m:t>3</m:t>
                  </m:r>
                  <m:r>
                    <m:rPr>
                      <m:sty m:val="p"/>
                    </m:rPr>
                    <m:t>/</m:t>
                  </m:r>
                  <m:r>
                    <m:t>2</m:t>
                  </m:r>
                </m:sup>
              </m:sSup>
            </m:den>
          </m:f>
        </m:oMath>
      </m:oMathPara>
    </w:p>
    <w:p>
      <w:pPr>
        <w:pStyle w:val="FirstParagraph"/>
      </w:pPr>
      <w:r>
        <w:t xml:space="preserve">Where:</w:t>
      </w:r>
      <w:r>
        <w:t xml:space="preserve"> </w:t>
      </w:r>
      <w:r>
        <w:t xml:space="preserve">-</w:t>
      </w:r>
      <w:r>
        <w:t xml:space="preserve"> </w:t>
      </w:r>
      <m:oMath>
        <m:sSub>
          <m:e>
            <m:r>
              <m:t>μ</m:t>
            </m:r>
          </m:e>
          <m:sub>
            <m:r>
              <m:t>0</m:t>
            </m:r>
          </m:sub>
        </m:sSub>
      </m:oMath>
      <w:r>
        <w:t xml:space="preserve"> </w:t>
      </w:r>
      <w:r>
        <w:t xml:space="preserve">= permeability of free space (4π × 10⁻⁷ T·m/A)</w:t>
      </w:r>
      <w:r>
        <w:t xml:space="preserve"> </w:t>
      </w:r>
      <w:r>
        <w:t xml:space="preserve">-</w:t>
      </w:r>
      <w:r>
        <w:t xml:space="preserve"> </w:t>
      </w:r>
      <m:oMath>
        <m:r>
          <m:t>I</m:t>
        </m:r>
      </m:oMath>
      <w:r>
        <w:t xml:space="preserve"> </w:t>
      </w:r>
      <w:r>
        <w:t xml:space="preserve">= coil current (A)</w:t>
      </w:r>
      <w:r>
        <w:t xml:space="preserve"> </w:t>
      </w:r>
      <w:r>
        <w:t xml:space="preserve">-</w:t>
      </w:r>
      <w:r>
        <w:t xml:space="preserve"> </w:t>
      </w:r>
      <m:oMath>
        <m:r>
          <m:t>R</m:t>
        </m:r>
      </m:oMath>
      <w:r>
        <w:t xml:space="preserve"> </w:t>
      </w:r>
      <w:r>
        <w:t xml:space="preserve">= coil radius (m)</w:t>
      </w:r>
      <w:r>
        <w:t xml:space="preserve"> </w:t>
      </w:r>
      <w:r>
        <w:t xml:space="preserve">-</w:t>
      </w:r>
      <w:r>
        <w:t xml:space="preserve"> </w:t>
      </w:r>
      <m:oMath>
        <m:r>
          <m:t>z</m:t>
        </m:r>
      </m:oMath>
      <w:r>
        <w:t xml:space="preserve"> </w:t>
      </w:r>
      <w:r>
        <w:t xml:space="preserve">= depth from coil surface (m)</w:t>
      </w:r>
    </w:p>
    <w:p>
      <w:pPr>
        <w:pStyle w:val="BodyText"/>
      </w:pPr>
      <w:r>
        <w:t xml:space="preserve">For R = 25mm, sufficient field strength for proton spin manipulation is maintained to z ≈ 30-40mm, corresponding to the depth of the left ventricular myocardium from the anterior chest wall.</w:t>
      </w:r>
    </w:p>
    <w:p>
      <w:pPr>
        <w:pStyle w:val="BodyText"/>
      </w:pPr>
      <w:r>
        <w:rPr>
          <w:b/>
          <w:bCs/>
        </w:rPr>
        <w:t xml:space="preserve">Halbach Array Configuration</w:t>
      </w:r>
      <w:r>
        <w:t xml:space="preserve">: Trapezoidal ferrite beads arranged in Halbach geometry concentrate flux lines anteriorly while reducing posterior field to near-zero. This configuration:</w:t>
      </w:r>
      <w:r>
        <w:t xml:space="preserve"> </w:t>
      </w:r>
      <w:r>
        <w:t xml:space="preserve">- Increases effective depth penetration by 40-60%</w:t>
      </w:r>
      <w:r>
        <w:t xml:space="preserve"> </w:t>
      </w:r>
      <w:r>
        <w:t xml:space="preserve">- Reduces power consumption</w:t>
      </w:r>
      <w:r>
        <w:t xml:space="preserve"> </w:t>
      </w:r>
      <w:r>
        <w:t xml:space="preserve">- Minimizes interference with posterior electronics</w:t>
      </w:r>
      <w:r>
        <w:t xml:space="preserve"> </w:t>
      </w:r>
      <w:r>
        <w:t xml:space="preserve">- Enhances patient safety (reduced whole-body exposure)</w:t>
      </w:r>
    </w:p>
    <w:bookmarkEnd w:id="17"/>
    <w:bookmarkStart w:id="18" w:name="electrocardiography-electrical"/>
    <w:p>
      <w:pPr>
        <w:pStyle w:val="Heading4"/>
      </w:pPr>
      <w:r>
        <w:t xml:space="preserve">2.2.2 Electrocardiography (Electrical)</w:t>
      </w:r>
    </w:p>
    <w:p>
      <w:pPr>
        <w:pStyle w:val="FirstParagraph"/>
      </w:pPr>
      <w:r>
        <w:t xml:space="preserve">Four gold-plated dry electrodes integrated into the device perimeter capture differential electrical potentials. Unlike standard 12-lead ECG requiring 10 electrode placements with conductive gel, the integrated design:</w:t>
      </w:r>
    </w:p>
    <w:p>
      <w:pPr>
        <w:pStyle w:val="Compact"/>
        <w:numPr>
          <w:ilvl w:val="0"/>
          <w:numId w:val="1002"/>
        </w:numPr>
      </w:pPr>
      <w:r>
        <w:t xml:space="preserve">Eliminates gel application (reduced patient preparation time)</w:t>
      </w:r>
    </w:p>
    <w:p>
      <w:pPr>
        <w:pStyle w:val="Compact"/>
        <w:numPr>
          <w:ilvl w:val="0"/>
          <w:numId w:val="1002"/>
        </w:numPr>
      </w:pPr>
      <w:r>
        <w:t xml:space="preserve">Reduces electrode count while maintaining diagnostic utility</w:t>
      </w:r>
    </w:p>
    <w:p>
      <w:pPr>
        <w:pStyle w:val="Compact"/>
        <w:numPr>
          <w:ilvl w:val="0"/>
          <w:numId w:val="1002"/>
        </w:numPr>
      </w:pPr>
      <w:r>
        <w:t xml:space="preserve">Captures orthogonal lead vectors for 3D electrical activity reconstruction</w:t>
      </w:r>
    </w:p>
    <w:p>
      <w:pPr>
        <w:pStyle w:val="FirstParagraph"/>
      </w:pPr>
      <w:r>
        <w:rPr>
          <w:b/>
          <w:bCs/>
        </w:rPr>
        <w:t xml:space="preserve">Signal characteristics</w:t>
      </w:r>
      <w:r>
        <w:t xml:space="preserve">:</w:t>
      </w:r>
      <w:r>
        <w:t xml:space="preserve"> </w:t>
      </w:r>
      <w:r>
        <w:t xml:space="preserve">- Amplitude: 0.5-2.0 mV</w:t>
      </w:r>
      <w:r>
        <w:t xml:space="preserve"> </w:t>
      </w:r>
      <w:r>
        <w:t xml:space="preserve">- Frequency band: 0.05-150 Hz</w:t>
      </w:r>
      <w:r>
        <w:t xml:space="preserve"> </w:t>
      </w:r>
      <w:r>
        <w:t xml:space="preserve">- Sampling rate: 1000 Hz minimum</w:t>
      </w:r>
    </w:p>
    <w:bookmarkEnd w:id="18"/>
    <w:bookmarkStart w:id="19" w:name="photoplethysmography-optical"/>
    <w:p>
      <w:pPr>
        <w:pStyle w:val="Heading4"/>
      </w:pPr>
      <w:r>
        <w:t xml:space="preserve">2.2.3 Photoplethysmography (Optical)</w:t>
      </w:r>
    </w:p>
    <w:p>
      <w:pPr>
        <w:pStyle w:val="FirstParagraph"/>
      </w:pPr>
      <w:r>
        <w:t xml:space="preserve">Integrated optical sensors employ dual-wavelength LED/photodiode pairs:</w:t>
      </w:r>
      <w:r>
        <w:t xml:space="preserve"> </w:t>
      </w:r>
      <w:r>
        <w:t xml:space="preserve">-</w:t>
      </w:r>
      <w:r>
        <w:t xml:space="preserve"> </w:t>
      </w:r>
      <w:r>
        <w:rPr>
          <w:b/>
          <w:bCs/>
        </w:rPr>
        <w:t xml:space="preserve">Red (660nm)</w:t>
      </w:r>
      <w:r>
        <w:t xml:space="preserve">: Sensitive to deoxygenated hemoglobin</w:t>
      </w:r>
      <w:r>
        <w:t xml:space="preserve"> </w:t>
      </w:r>
      <w:r>
        <w:t xml:space="preserve">-</w:t>
      </w:r>
      <w:r>
        <w:t xml:space="preserve"> </w:t>
      </w:r>
      <w:r>
        <w:rPr>
          <w:b/>
          <w:bCs/>
        </w:rPr>
        <w:t xml:space="preserve">Infrared (940nm)</w:t>
      </w:r>
      <w:r>
        <w:t xml:space="preserve">: Sensitive to oxygenated hemoglobin</w:t>
      </w:r>
    </w:p>
    <w:p>
      <w:pPr>
        <w:pStyle w:val="BodyText"/>
      </w:pPr>
      <w:r>
        <w:t xml:space="preserve">This configuration enables:</w:t>
      </w:r>
      <w:r>
        <w:t xml:space="preserve"> </w:t>
      </w:r>
      <w:r>
        <w:t xml:space="preserve">- Arterial oxygen saturation (SpO₂) calculation</w:t>
      </w:r>
      <w:r>
        <w:t xml:space="preserve"> </w:t>
      </w:r>
      <w:r>
        <w:t xml:space="preserve">- Pulse waveform analysis (augmentation index, pulse transit time)</w:t>
      </w:r>
      <w:r>
        <w:t xml:space="preserve"> </w:t>
      </w:r>
      <w:r>
        <w:t xml:space="preserve">- Perfusion index assessment</w:t>
      </w:r>
      <w:r>
        <w:t xml:space="preserve"> </w:t>
      </w:r>
      <w:r>
        <w:t xml:space="preserve">- Heart rate variability (HRV) extraction</w:t>
      </w:r>
    </w:p>
    <w:p>
      <w:pPr>
        <w:pStyle w:val="BodyText"/>
      </w:pPr>
      <w:r>
        <w:t xml:space="preserve">Optical sensing provides continuous monitoring capability between NMR acquisition cycles, enabling real-time physiological tracking.</w:t>
      </w:r>
    </w:p>
    <w:bookmarkEnd w:id="19"/>
    <w:bookmarkStart w:id="20" w:name="digital-auscultation-acoustic"/>
    <w:p>
      <w:pPr>
        <w:pStyle w:val="Heading4"/>
      </w:pPr>
      <w:r>
        <w:t xml:space="preserve">2.2.4 Digital Auscultation (Acoustic)</w:t>
      </w:r>
    </w:p>
    <w:p>
      <w:pPr>
        <w:pStyle w:val="FirstParagraph"/>
      </w:pPr>
      <w:r>
        <w:t xml:space="preserve">A MEMS (Micro-Electro-Mechanical Systems) microphone array with the following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Specification</w:t>
            </w:r>
          </w:p>
        </w:tc>
      </w:tr>
      <w:tr>
        <w:tc>
          <w:tcPr/>
          <w:p>
            <w:pPr>
              <w:pStyle w:val="Compact"/>
            </w:pPr>
            <w:r>
              <w:t xml:space="preserve">Frequency response</w:t>
            </w:r>
          </w:p>
        </w:tc>
        <w:tc>
          <w:tcPr/>
          <w:p>
            <w:pPr>
              <w:pStyle w:val="Compact"/>
            </w:pPr>
            <w:r>
              <w:t xml:space="preserve">20 Hz - 2000 Hz</w:t>
            </w:r>
          </w:p>
        </w:tc>
      </w:tr>
      <w:tr>
        <w:tc>
          <w:tcPr/>
          <w:p>
            <w:pPr>
              <w:pStyle w:val="Compact"/>
            </w:pPr>
            <w:r>
              <w:t xml:space="preserve">Sensitivity</w:t>
            </w:r>
          </w:p>
        </w:tc>
        <w:tc>
          <w:tcPr/>
          <w:p>
            <w:pPr>
              <w:pStyle w:val="Compact"/>
            </w:pPr>
            <w:r>
              <w:t xml:space="preserve">-38 dBV/Pa minimum</w:t>
            </w:r>
          </w:p>
        </w:tc>
      </w:tr>
      <w:tr>
        <w:tc>
          <w:tcPr/>
          <w:p>
            <w:pPr>
              <w:pStyle w:val="Compact"/>
            </w:pPr>
            <w:r>
              <w:t xml:space="preserve">SNR</w:t>
            </w:r>
          </w:p>
        </w:tc>
        <w:tc>
          <w:tcPr/>
          <w:p>
            <w:pPr>
              <w:pStyle w:val="Compact"/>
            </w:pPr>
            <w:r>
              <w:t xml:space="preserve">&gt; 65 dB</w:t>
            </w:r>
          </w:p>
        </w:tc>
      </w:tr>
      <w:tr>
        <w:tc>
          <w:tcPr/>
          <w:p>
            <w:pPr>
              <w:pStyle w:val="Compact"/>
            </w:pPr>
            <w:r>
              <w:t xml:space="preserve">Configuration</w:t>
            </w:r>
          </w:p>
        </w:tc>
        <w:tc>
          <w:tcPr/>
          <w:p>
            <w:pPr>
              <w:pStyle w:val="Compact"/>
            </w:pPr>
            <w:r>
              <w:t xml:space="preserve">4-element array for spatial localization</w:t>
            </w:r>
          </w:p>
        </w:tc>
      </w:tr>
    </w:tbl>
    <w:p>
      <w:pPr>
        <w:pStyle w:val="BodyText"/>
      </w:pPr>
      <w:r>
        <w:rPr>
          <w:b/>
          <w:bCs/>
        </w:rPr>
        <w:t xml:space="preserve">Key advantages over traditional stethoscope</w:t>
      </w:r>
      <w:r>
        <w:t xml:space="preserve">:</w:t>
      </w:r>
      <w:r>
        <w:t xml:space="preserve"> </w:t>
      </w:r>
      <w:r>
        <w:t xml:space="preserve">-</w:t>
      </w:r>
      <w:r>
        <w:t xml:space="preserve"> </w:t>
      </w:r>
      <w:r>
        <w:rPr>
          <w:b/>
          <w:bCs/>
        </w:rPr>
        <w:t xml:space="preserve">Objective recording</w:t>
      </w:r>
      <w:r>
        <w:t xml:space="preserve">: Eliminates observer interpretation variability</w:t>
      </w:r>
      <w:r>
        <w:t xml:space="preserve"> </w:t>
      </w:r>
      <w:r>
        <w:t xml:space="preserve">-</w:t>
      </w:r>
      <w:r>
        <w:t xml:space="preserve"> </w:t>
      </w:r>
      <w:r>
        <w:rPr>
          <w:b/>
          <w:bCs/>
        </w:rPr>
        <w:t xml:space="preserve">Frequency analysis</w:t>
      </w:r>
      <w:r>
        <w:t xml:space="preserve">: FFT-based decomposition identifies murmur characteristics</w:t>
      </w:r>
      <w:r>
        <w:t xml:space="preserve"> </w:t>
      </w:r>
      <w:r>
        <w:t xml:space="preserve">-</w:t>
      </w:r>
      <w:r>
        <w:t xml:space="preserve"> </w:t>
      </w:r>
      <w:r>
        <w:rPr>
          <w:b/>
          <w:bCs/>
        </w:rPr>
        <w:t xml:space="preserve">Temporal correlation</w:t>
      </w:r>
      <w:r>
        <w:t xml:space="preserve">: Synchronization with ECG enables precise cardiac cycle timing</w:t>
      </w:r>
      <w:r>
        <w:t xml:space="preserve"> </w:t>
      </w:r>
      <w:r>
        <w:t xml:space="preserve">-</w:t>
      </w:r>
      <w:r>
        <w:t xml:space="preserve"> </w:t>
      </w:r>
      <w:r>
        <w:rPr>
          <w:b/>
          <w:bCs/>
        </w:rPr>
        <w:t xml:space="preserve">AI classification</w:t>
      </w:r>
      <w:r>
        <w:t xml:space="preserve">: Machine learning algorithms trained on pathological sound libraries</w:t>
      </w:r>
      <w:r>
        <w:t xml:space="preserve"> </w:t>
      </w:r>
      <w:r>
        <w:t xml:space="preserve">-</w:t>
      </w:r>
      <w:r>
        <w:t xml:space="preserve"> </w:t>
      </w:r>
      <w:r>
        <w:rPr>
          <w:b/>
          <w:bCs/>
        </w:rPr>
        <w:t xml:space="preserve">Permanent record</w:t>
      </w:r>
      <w:r>
        <w:t xml:space="preserve">: Stored audio enables longitudinal comparison and specialist consultation</w:t>
      </w:r>
    </w:p>
    <w:p>
      <w:pPr>
        <w:pStyle w:val="BodyText"/>
      </w:pPr>
      <w:r>
        <w:t xml:space="preserve">The microphone array transforms auscultation from a subjective, transient observation into an objective, permanent, analyzable dataset.</w:t>
      </w:r>
    </w:p>
    <w:bookmarkEnd w:id="20"/>
    <w:bookmarkEnd w:id="21"/>
    <w:bookmarkStart w:id="22" w:name="signal-isolation-architecture"/>
    <w:p>
      <w:pPr>
        <w:pStyle w:val="Heading3"/>
      </w:pPr>
      <w:r>
        <w:t xml:space="preserve">2.3 Signal Isolation Architecture</w:t>
      </w:r>
    </w:p>
    <w:p>
      <w:pPr>
        <w:pStyle w:val="FirstParagraph"/>
      </w:pPr>
      <w:r>
        <w:t xml:space="preserve">Simultaneous multi-modal acquisition requires sophisticated signal isolation to prevent interference between modalities operating at vastly different frequency ranges: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Modality</w:t>
            </w:r>
          </w:p>
        </w:tc>
        <w:tc>
          <w:tcPr/>
          <w:p>
            <w:pPr>
              <w:pStyle w:val="Compact"/>
            </w:pPr>
            <w:r>
              <w:t xml:space="preserve">Frequency Range</w:t>
            </w:r>
          </w:p>
        </w:tc>
        <w:tc>
          <w:tcPr/>
          <w:p>
            <w:pPr>
              <w:pStyle w:val="Compact"/>
            </w:pPr>
            <w:r>
              <w:t xml:space="preserve">Power Level</w:t>
            </w:r>
          </w:p>
        </w:tc>
      </w:tr>
      <w:tr>
        <w:tc>
          <w:tcPr/>
          <w:p>
            <w:pPr>
              <w:pStyle w:val="Compact"/>
            </w:pPr>
            <w:r>
              <w:t xml:space="preserve">ECG</w:t>
            </w:r>
          </w:p>
        </w:tc>
        <w:tc>
          <w:tcPr/>
          <w:p>
            <w:pPr>
              <w:pStyle w:val="Compact"/>
            </w:pPr>
            <w:r>
              <w:t xml:space="preserve">0.05-150 Hz</w:t>
            </w:r>
          </w:p>
        </w:tc>
        <w:tc>
          <w:tcPr/>
          <w:p>
            <w:pPr>
              <w:pStyle w:val="Compact"/>
            </w:pPr>
            <w:r>
              <w:t xml:space="preserve">~1 mV (passive)</w:t>
            </w:r>
          </w:p>
        </w:tc>
      </w:tr>
      <w:tr>
        <w:tc>
          <w:tcPr/>
          <w:p>
            <w:pPr>
              <w:pStyle w:val="Compact"/>
            </w:pPr>
            <w:r>
              <w:t xml:space="preserve">Acoustic</w:t>
            </w:r>
          </w:p>
        </w:tc>
        <w:tc>
          <w:tcPr/>
          <w:p>
            <w:pPr>
              <w:pStyle w:val="Compact"/>
            </w:pPr>
            <w:r>
              <w:t xml:space="preserve">20-2000 Hz</w:t>
            </w:r>
          </w:p>
        </w:tc>
        <w:tc>
          <w:tcPr/>
          <w:p>
            <w:pPr>
              <w:pStyle w:val="Compact"/>
            </w:pPr>
            <w:r>
              <w:t xml:space="preserve">~60 dB SPL (passive)</w:t>
            </w:r>
          </w:p>
        </w:tc>
      </w:tr>
      <w:tr>
        <w:tc>
          <w:tcPr/>
          <w:p>
            <w:pPr>
              <w:pStyle w:val="Compact"/>
            </w:pPr>
            <w:r>
              <w:t xml:space="preserve">Optical</w:t>
            </w:r>
          </w:p>
        </w:tc>
        <w:tc>
          <w:tcPr/>
          <w:p>
            <w:pPr>
              <w:pStyle w:val="Compact"/>
            </w:pPr>
            <w:r>
              <w:t xml:space="preserve">DC-30 Hz (pulse)</w:t>
            </w:r>
          </w:p>
        </w:tc>
        <w:tc>
          <w:tcPr/>
          <w:p>
            <w:pPr>
              <w:pStyle w:val="Compact"/>
            </w:pPr>
            <w:r>
              <w:t xml:space="preserve">~1 mW (active)</w:t>
            </w:r>
          </w:p>
        </w:tc>
      </w:tr>
      <w:tr>
        <w:tc>
          <w:tcPr/>
          <w:p>
            <w:pPr>
              <w:pStyle w:val="Compact"/>
            </w:pPr>
            <w:r>
              <w:t xml:space="preserve">NMR RF</w:t>
            </w:r>
          </w:p>
        </w:tc>
        <w:tc>
          <w:tcPr/>
          <w:p>
            <w:pPr>
              <w:pStyle w:val="Compact"/>
            </w:pPr>
            <w:r>
              <w:t xml:space="preserve">4.257 MHz</w:t>
            </w:r>
          </w:p>
        </w:tc>
        <w:tc>
          <w:tcPr/>
          <w:p>
            <w:pPr>
              <w:pStyle w:val="Compact"/>
            </w:pPr>
            <w:r>
              <w:t xml:space="preserve">~10-100 W (pulsed)</w:t>
            </w:r>
          </w:p>
        </w:tc>
      </w:tr>
    </w:tbl>
    <w:p>
      <w:pPr>
        <w:pStyle w:val="BodyText"/>
      </w:pPr>
      <w:r>
        <w:rPr>
          <w:b/>
          <w:bCs/>
        </w:rPr>
        <w:t xml:space="preserve">Active Diplexing</w:t>
      </w:r>
      <w:r>
        <w:t xml:space="preserve">: PIN-diode-based GaAs switches physically disconnect low-frequency sensing circuits during NMR RF pulses (10-50 μs duration). Given cardiac cycle periodicity (~600-1000 ms), these microsecond blanking periods represent &lt;0.01% of acquisition time and are computationally interpolated without diagnostic impact.</w:t>
      </w:r>
    </w:p>
    <w:p>
      <w:pPr>
        <w:pStyle w:val="BodyText"/>
      </w:pPr>
      <w:r>
        <w:rPr>
          <w:b/>
          <w:bCs/>
        </w:rPr>
        <w:t xml:space="preserve">Faraday Shielding</w:t>
      </w:r>
      <w:r>
        <w:t xml:space="preserve">: Silver-mesh enclosure with frequency-selective transmission:</w:t>
      </w:r>
      <w:r>
        <w:t xml:space="preserve"> </w:t>
      </w:r>
      <w:r>
        <w:t xml:space="preserve">- Passes: DC-10 kHz (ECG, acoustic)</w:t>
      </w:r>
      <w:r>
        <w:t xml:space="preserve"> </w:t>
      </w:r>
      <w:r>
        <w:t xml:space="preserve">- Blocks: &gt;100 kHz (RF interference)</w:t>
      </w:r>
    </w:p>
    <w:bookmarkEnd w:id="22"/>
    <w:bookmarkStart w:id="23" w:name="mechanical-design"/>
    <w:p>
      <w:pPr>
        <w:pStyle w:val="Heading3"/>
      </w:pPr>
      <w:r>
        <w:t xml:space="preserve">2.4 Mechanical Design</w:t>
      </w:r>
    </w:p>
    <w:p>
      <w:pPr>
        <w:pStyle w:val="FirstParagraph"/>
      </w:pPr>
      <w:r>
        <w:rPr>
          <w:b/>
          <w:bCs/>
        </w:rPr>
        <w:t xml:space="preserve">Conformal Housing</w:t>
      </w:r>
      <w:r>
        <w:t xml:space="preserve">:</w:t>
      </w:r>
      <w:r>
        <w:t xml:space="preserve"> </w:t>
      </w:r>
      <w:r>
        <w:t xml:space="preserve">- Radius of curvature: 150mm (matching adult male intercostal anatomy)</w:t>
      </w:r>
      <w:r>
        <w:t xml:space="preserve"> </w:t>
      </w:r>
      <w:r>
        <w:t xml:space="preserve">- Material: Medical-grade silicone overmold on rigid PCB substrate</w:t>
      </w:r>
      <w:r>
        <w:t xml:space="preserve"> </w:t>
      </w:r>
      <w:r>
        <w:t xml:space="preserve">- Dimensions: 80mm × 60mm × 15mm</w:t>
      </w:r>
      <w:r>
        <w:t xml:space="preserve"> </w:t>
      </w:r>
      <w:r>
        <w:t xml:space="preserve">- Weight: &lt;200g</w:t>
      </w:r>
    </w:p>
    <w:p>
      <w:pPr>
        <w:pStyle w:val="BodyText"/>
      </w:pPr>
      <w:r>
        <w:rPr>
          <w:b/>
          <w:bCs/>
        </w:rPr>
        <w:t xml:space="preserve">Fixation</w:t>
      </w:r>
      <w:r>
        <w:t xml:space="preserve">:</w:t>
      </w:r>
      <w:r>
        <w:t xml:space="preserve"> </w:t>
      </w:r>
      <w:r>
        <w:t xml:space="preserve">- Primary: Bio-adhesive polymer rim (similar to TENS electrode adhesive)</w:t>
      </w:r>
      <w:r>
        <w:t xml:space="preserve"> </w:t>
      </w:r>
      <w:r>
        <w:t xml:space="preserve">- Secondary: Adjustable elastic strap for extended monitoring</w:t>
      </w:r>
      <w:r>
        <w:t xml:space="preserve"> </w:t>
      </w:r>
      <w:r>
        <w:t xml:space="preserve">- Explicitly avoided: Magnetic retention (contraindicated for CIED patients)</w:t>
      </w:r>
    </w:p>
    <w:p>
      <w:pPr>
        <w:pStyle w:val="BodyText"/>
      </w:pPr>
      <w:r>
        <w:rPr>
          <w:b/>
          <w:bCs/>
        </w:rPr>
        <w:t xml:space="preserve">Electrode Integration</w:t>
      </w:r>
      <w:r>
        <w:t xml:space="preserve">:</w:t>
      </w:r>
      <w:r>
        <w:t xml:space="preserve"> </w:t>
      </w:r>
      <w:r>
        <w:t xml:space="preserve">- Four corner positions on device perimeter</w:t>
      </w:r>
      <w:r>
        <w:t xml:space="preserve"> </w:t>
      </w:r>
      <w:r>
        <w:t xml:space="preserve">- Gold-plated polymer construction</w:t>
      </w:r>
      <w:r>
        <w:t xml:space="preserve"> </w:t>
      </w:r>
      <w:r>
        <w:t xml:space="preserve">- Spring-loaded contact for consistent pressure</w:t>
      </w:r>
      <w:r>
        <w:t xml:space="preserve"> </w:t>
      </w:r>
      <w:r>
        <w:t xml:space="preserve">- Dry operation (no gel required)</w:t>
      </w:r>
    </w:p>
    <w:p>
      <w:r>
        <w:pict>
          <v:rect style="width:0;height:1.5pt" o:hralign="center" o:hrstd="t" o:hr="t"/>
        </w:pict>
      </w:r>
    </w:p>
    <w:bookmarkEnd w:id="23"/>
    <w:bookmarkEnd w:id="24"/>
    <w:bookmarkStart w:id="28" w:name="safety-analysis"/>
    <w:p>
      <w:pPr>
        <w:pStyle w:val="Heading2"/>
      </w:pPr>
      <w:r>
        <w:t xml:space="preserve">3. Safety Analysis</w:t>
      </w:r>
    </w:p>
    <w:bookmarkStart w:id="25" w:name="magnetic-field-exposure"/>
    <w:p>
      <w:pPr>
        <w:pStyle w:val="Heading3"/>
      </w:pPr>
      <w:r>
        <w:t xml:space="preserve">3.1 Magnetic Field Exposure</w:t>
      </w:r>
    </w:p>
    <w:p>
      <w:pPr>
        <w:pStyle w:val="FirstParagraph"/>
      </w:pPr>
      <w:r>
        <w:t xml:space="preserve">Unlike conventional MRI (1.5-3T static field), Cardiac-NSIM operates at approximately 0.1T localized field strength. FDA guidelines for static magnetic field exposure indicate no established adverse effects below 2T for general population exposure.</w:t>
      </w:r>
    </w:p>
    <w:p>
      <w:pPr>
        <w:pStyle w:val="BodyText"/>
      </w:pPr>
      <w:r>
        <w:rPr>
          <w:b/>
          <w:bCs/>
        </w:rPr>
        <w:t xml:space="preserve">Specific Absorption Rate (SAR)</w:t>
      </w:r>
      <w:r>
        <w:t xml:space="preserve">:</w:t>
      </w:r>
    </w:p>
    <w:p>
      <w:pPr>
        <w:pStyle w:val="BodyText"/>
      </w:pPr>
      <m:oMathPara>
        <m:oMathParaPr>
          <m:jc m:val="center"/>
        </m:oMathParaPr>
        <m:oMath>
          <m:r>
            <m:t>S</m:t>
          </m:r>
          <m:r>
            <m:t>A</m:t>
          </m:r>
          <m:r>
            <m:t>R</m:t>
          </m:r>
          <m:r>
            <m:rPr>
              <m:sty m:val="p"/>
            </m:rPr>
            <m:t>=</m:t>
          </m:r>
          <m:f>
            <m:fPr>
              <m:type m:val="bar"/>
            </m:fPr>
            <m:num>
              <m:r>
                <m:t>σ</m:t>
              </m:r>
              <m:r>
                <m:rPr>
                  <m:sty m:val="p"/>
                </m:rPr>
                <m:t>|</m:t>
              </m:r>
              <m:r>
                <m:t>E</m:t>
              </m:r>
              <m:sSup>
                <m:e>
                  <m:r>
                    <m:rPr>
                      <m:sty m:val="p"/>
                    </m:rPr>
                    <m:t>|</m:t>
                  </m:r>
                </m:e>
                <m:sup>
                  <m:r>
                    <m:t>2</m:t>
                  </m:r>
                </m:sup>
              </m:sSup>
            </m:num>
            <m:den>
              <m:r>
                <m:t>2</m:t>
              </m:r>
              <m:r>
                <m:t>ρ</m:t>
              </m:r>
            </m:den>
          </m:f>
        </m:oMath>
      </m:oMathPara>
    </w:p>
    <w:p>
      <w:pPr>
        <w:pStyle w:val="FirstParagraph"/>
      </w:pPr>
      <w:r>
        <w:t xml:space="preserve">Where:</w:t>
      </w:r>
      <w:r>
        <w:t xml:space="preserve"> </w:t>
      </w:r>
      <w:r>
        <w:t xml:space="preserve">-</w:t>
      </w:r>
      <w:r>
        <w:t xml:space="preserve"> </w:t>
      </w:r>
      <m:oMath>
        <m:r>
          <m:t>σ</m:t>
        </m:r>
      </m:oMath>
      <w:r>
        <w:t xml:space="preserve"> </w:t>
      </w:r>
      <w:r>
        <w:t xml:space="preserve">= tissue conductivity (S/m)</w:t>
      </w:r>
      <w:r>
        <w:t xml:space="preserve"> </w:t>
      </w:r>
      <w:r>
        <w:t xml:space="preserve">-</w:t>
      </w:r>
      <w:r>
        <w:t xml:space="preserve"> </w:t>
      </w:r>
      <m:oMath>
        <m:r>
          <m:rPr>
            <m:sty m:val="p"/>
          </m:rPr>
          <m:t>|</m:t>
        </m:r>
        <m:r>
          <m:t>E</m:t>
        </m:r>
        <m:r>
          <m:rPr>
            <m:sty m:val="p"/>
          </m:rPr>
          <m:t>|</m:t>
        </m:r>
      </m:oMath>
      <w:r>
        <w:t xml:space="preserve"> </w:t>
      </w:r>
      <w:r>
        <w:t xml:space="preserve">= electric field magnitude (V/m)</w:t>
      </w:r>
      <w:r>
        <w:t xml:space="preserve"> </w:t>
      </w:r>
      <w:r>
        <w:t xml:space="preserve">-</w:t>
      </w:r>
      <w:r>
        <w:t xml:space="preserve"> </w:t>
      </w:r>
      <m:oMath>
        <m:r>
          <m:t>ρ</m:t>
        </m:r>
      </m:oMath>
      <w:r>
        <w:t xml:space="preserve"> </w:t>
      </w:r>
      <w:r>
        <w:t xml:space="preserve">= tissue density (kg/m³)</w:t>
      </w:r>
    </w:p>
    <w:p>
      <w:pPr>
        <w:pStyle w:val="BodyText"/>
      </w:pPr>
      <w:r>
        <w:t xml:space="preserve">Pulsed RF protocols employ Ultra-Short Echo (UTE) sequences with pulse durations &lt;10ms, maintaining SAR well below FDA limits (4 W/kg whole-body, 8 W/kg per gram tissue).</w:t>
      </w:r>
    </w:p>
    <w:bookmarkEnd w:id="25"/>
    <w:bookmarkStart w:id="26" w:name="X252c4bcb0f3f46ff2e4b9f82889be4b03170ea3"/>
    <w:p>
      <w:pPr>
        <w:pStyle w:val="Heading3"/>
      </w:pPr>
      <w:r>
        <w:t xml:space="preserve">3.2 Cardiac Implantable Electronic Device (CIED) Considerations</w:t>
      </w:r>
    </w:p>
    <w:p>
      <w:pPr>
        <w:pStyle w:val="FirstParagraph"/>
      </w:pPr>
      <w:r>
        <w:rPr>
          <w:b/>
          <w:bCs/>
        </w:rPr>
        <w:t xml:space="preserve">Critical safety feature</w:t>
      </w:r>
      <w:r>
        <w:t xml:space="preserve">: Bio-adhesive (non-magnetic) fixation eliminates reed-switch activation risk in pacemakers and ICDs. Magnetic retention was explicitly rejected following rigorous analysis:</w:t>
      </w:r>
    </w:p>
    <w:p>
      <w:pPr>
        <w:pStyle w:val="Compact"/>
        <w:numPr>
          <w:ilvl w:val="0"/>
          <w:numId w:val="1003"/>
        </w:numPr>
      </w:pPr>
      <w:r>
        <w:t xml:space="preserve">Reed switch activation threshold: typically &gt;10 Gauss at device</w:t>
      </w:r>
    </w:p>
    <w:p>
      <w:pPr>
        <w:pStyle w:val="Compact"/>
        <w:numPr>
          <w:ilvl w:val="0"/>
          <w:numId w:val="1003"/>
        </w:numPr>
      </w:pPr>
      <w:r>
        <w:t xml:space="preserve">Magnetic back-plate field: would exceed threshold at typical chest depths</w:t>
      </w:r>
    </w:p>
    <w:p>
      <w:pPr>
        <w:pStyle w:val="Compact"/>
        <w:numPr>
          <w:ilvl w:val="0"/>
          <w:numId w:val="1003"/>
        </w:numPr>
      </w:pPr>
      <w:r>
        <w:t xml:space="preserve">Risk: Forced asynchronous pacing or disabled defibrillation therapy</w:t>
      </w:r>
    </w:p>
    <w:p>
      <w:pPr>
        <w:pStyle w:val="FirstParagraph"/>
      </w:pPr>
      <w:r>
        <w:t xml:space="preserve">The bio-adhesive approach ensures Cardiac-NSIM compatibility with CIED patients—a population at elevated cardiovascular risk and in greatest need of advanced monitoring.</w:t>
      </w:r>
    </w:p>
    <w:bookmarkEnd w:id="26"/>
    <w:bookmarkStart w:id="27" w:name="magnetohydrodynamic-mhd-effects"/>
    <w:p>
      <w:pPr>
        <w:pStyle w:val="Heading3"/>
      </w:pPr>
      <w:r>
        <w:t xml:space="preserve">3.3 Magnetohydrodynamic (MHD) Effects</w:t>
      </w:r>
    </w:p>
    <w:p>
      <w:pPr>
        <w:pStyle w:val="FirstParagraph"/>
      </w:pPr>
      <w:r>
        <w:t xml:space="preserve">Blood flow through magnetic fields induces electrical potentials via the Hall effect:</w:t>
      </w:r>
    </w:p>
    <w:p>
      <w:pPr>
        <w:pStyle w:val="BodyText"/>
      </w:pPr>
      <m:oMathPara>
        <m:oMathParaPr>
          <m:jc m:val="center"/>
        </m:oMathParaPr>
        <m:oMath>
          <m:sSub>
            <m:e>
              <m:r>
                <m:t>V</m:t>
              </m:r>
            </m:e>
            <m:sub>
              <m:r>
                <m:t>M</m:t>
              </m:r>
              <m:r>
                <m:t>H</m:t>
              </m:r>
              <m:r>
                <m:t>D</m:t>
              </m:r>
            </m:sub>
          </m:sSub>
          <m:r>
            <m:rPr>
              <m:sty m:val="p"/>
            </m:rPr>
            <m:t>=</m:t>
          </m:r>
          <m:r>
            <m:t>v</m:t>
          </m:r>
          <m:r>
            <m:rPr>
              <m:sty m:val="p"/>
            </m:rPr>
            <m:t>×</m:t>
          </m:r>
          <m:r>
            <m:t>B</m:t>
          </m:r>
          <m:r>
            <m:rPr>
              <m:sty m:val="p"/>
            </m:rPr>
            <m:t>×</m:t>
          </m:r>
          <m:r>
            <m:t>L</m:t>
          </m:r>
        </m:oMath>
      </m:oMathPara>
    </w:p>
    <w:p>
      <w:pPr>
        <w:pStyle w:val="FirstParagraph"/>
      </w:pPr>
      <w:r>
        <w:t xml:space="preserve">Where:</w:t>
      </w:r>
      <w:r>
        <w:t xml:space="preserve"> </w:t>
      </w:r>
      <w:r>
        <w:t xml:space="preserve">-</w:t>
      </w:r>
      <w:r>
        <w:t xml:space="preserve"> </w:t>
      </w:r>
      <m:oMath>
        <m:r>
          <m:t>v</m:t>
        </m:r>
      </m:oMath>
      <w:r>
        <w:t xml:space="preserve"> </w:t>
      </w:r>
      <w:r>
        <w:t xml:space="preserve">= blood flow velocity (~0.5 m/s in aorta)</w:t>
      </w:r>
      <w:r>
        <w:t xml:space="preserve"> </w:t>
      </w:r>
      <w:r>
        <w:t xml:space="preserve">-</w:t>
      </w:r>
      <w:r>
        <w:t xml:space="preserve"> </w:t>
      </w:r>
      <m:oMath>
        <m:r>
          <m:t>B</m:t>
        </m:r>
      </m:oMath>
      <w:r>
        <w:t xml:space="preserve"> </w:t>
      </w:r>
      <w:r>
        <w:t xml:space="preserve">= magnetic field strength</w:t>
      </w:r>
      <w:r>
        <w:t xml:space="preserve"> </w:t>
      </w:r>
      <w:r>
        <w:t xml:space="preserve">-</w:t>
      </w:r>
      <w:r>
        <w:t xml:space="preserve"> </w:t>
      </w:r>
      <m:oMath>
        <m:r>
          <m:t>L</m:t>
        </m:r>
      </m:oMath>
      <w:r>
        <w:t xml:space="preserve"> </w:t>
      </w:r>
      <w:r>
        <w:t xml:space="preserve">= vessel diameter</w:t>
      </w:r>
    </w:p>
    <w:p>
      <w:pPr>
        <w:pStyle w:val="BodyText"/>
      </w:pPr>
      <w:r>
        <w:t xml:space="preserve">At 0.1T field strength, induced potentials are approximately 0.5-1 mV—comparable to physiological ECG amplitudes but distinguishable by frequency characteristics. Signal processing algorithms compensate for MHD artifact, which appears as T-wave elevation on simultaneous ECG.</w:t>
      </w:r>
    </w:p>
    <w:p>
      <w:r>
        <w:pict>
          <v:rect style="width:0;height:1.5pt" o:hralign="center" o:hrstd="t" o:hr="t"/>
        </w:pict>
      </w:r>
    </w:p>
    <w:bookmarkEnd w:id="27"/>
    <w:bookmarkEnd w:id="28"/>
    <w:bookmarkStart w:id="32" w:name="clinical-applications"/>
    <w:p>
      <w:pPr>
        <w:pStyle w:val="Heading2"/>
      </w:pPr>
      <w:r>
        <w:t xml:space="preserve">4. Clinical Applications</w:t>
      </w:r>
    </w:p>
    <w:bookmarkStart w:id="29" w:name="primary-use-case-nstemi-detection"/>
    <w:p>
      <w:pPr>
        <w:pStyle w:val="Heading3"/>
      </w:pPr>
      <w:r>
        <w:t xml:space="preserve">4.1 Primary Use Case: NSTEMI Detection</w:t>
      </w:r>
    </w:p>
    <w:p>
      <w:pPr>
        <w:pStyle w:val="FirstParagraph"/>
      </w:pPr>
      <w:r>
        <w:t xml:space="preserve">The quad-modal approach addresses NSTEMI diagnostic limitations through complementary data streams:</w:t>
      </w:r>
    </w:p>
    <w:tbl>
      <w:tblPr>
        <w:tblStyle w:val="Table"/>
        <w:tblW w:type="pct" w:w="5000"/>
        <w:tblLayout w:type="fixed"/>
        <w:tblLook w:firstRow="1" w:lastRow="0" w:firstColumn="0" w:lastColumn="0" w:noHBand="0" w:noVBand="0" w:val="0020"/>
      </w:tblPr>
      <w:tblGrid>
        <w:gridCol w:w="1875"/>
        <w:gridCol w:w="1042"/>
        <w:gridCol w:w="2084"/>
        <w:gridCol w:w="1875"/>
        <w:gridCol w:w="1042"/>
      </w:tblGrid>
      <w:tr>
        <w:trPr>
          <w:tblHeader w:val="on"/>
        </w:trPr>
        <w:tc>
          <w:tcPr/>
          <w:p>
            <w:pPr>
              <w:pStyle w:val="Compact"/>
            </w:pPr>
            <w:r>
              <w:t xml:space="preserve">Finding</w:t>
            </w:r>
          </w:p>
        </w:tc>
        <w:tc>
          <w:tcPr/>
          <w:p>
            <w:pPr>
              <w:pStyle w:val="Compact"/>
            </w:pPr>
            <w:r>
              <w:t xml:space="preserve">ECG</w:t>
            </w:r>
          </w:p>
        </w:tc>
        <w:tc>
          <w:tcPr/>
          <w:p>
            <w:pPr>
              <w:pStyle w:val="Compact"/>
            </w:pPr>
            <w:r>
              <w:t xml:space="preserve">Acoustic</w:t>
            </w:r>
          </w:p>
        </w:tc>
        <w:tc>
          <w:tcPr/>
          <w:p>
            <w:pPr>
              <w:pStyle w:val="Compact"/>
            </w:pPr>
            <w:r>
              <w:t xml:space="preserve">Optical</w:t>
            </w:r>
          </w:p>
        </w:tc>
        <w:tc>
          <w:tcPr/>
          <w:p>
            <w:pPr>
              <w:pStyle w:val="Compact"/>
            </w:pPr>
            <w:r>
              <w:t xml:space="preserve">NMR</w:t>
            </w:r>
          </w:p>
        </w:tc>
      </w:tr>
      <w:tr>
        <w:tc>
          <w:tcPr/>
          <w:p>
            <w:pPr>
              <w:pStyle w:val="Compact"/>
            </w:pPr>
            <w:r>
              <w:t xml:space="preserve">Subtle ST depression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S3/S4 gallop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Reduced perfusion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Myocardial edema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Troponin correlation</w:t>
            </w:r>
          </w:p>
        </w:tc>
        <w:tc>
          <w:tcPr/>
          <w:p>
            <w:pPr>
              <w:pStyle w:val="Compact"/>
            </w:pPr>
            <w:r>
              <w:t xml:space="preserve">Indirect</w:t>
            </w:r>
          </w:p>
        </w:tc>
        <w:tc>
          <w:tcPr/>
          <w:p>
            <w:pPr>
              <w:pStyle w:val="Compact"/>
            </w:pPr>
            <w:r>
              <w:t xml:space="preserve">Indirect</w:t>
            </w:r>
          </w:p>
        </w:tc>
        <w:tc>
          <w:tcPr/>
          <w:p>
            <w:pPr>
              <w:pStyle w:val="Compact"/>
            </w:pPr>
            <w:r>
              <w:t xml:space="preserve">Indirect</w:t>
            </w:r>
          </w:p>
        </w:tc>
        <w:tc>
          <w:tcPr/>
          <w:p>
            <w:pPr>
              <w:pStyle w:val="Compact"/>
            </w:pPr>
            <w:r>
              <w:t xml:space="preserve">Direct tissue</w:t>
            </w:r>
          </w:p>
        </w:tc>
      </w:tr>
    </w:tbl>
    <w:p>
      <w:pPr>
        <w:pStyle w:val="BodyText"/>
      </w:pPr>
      <w:r>
        <w:t xml:space="preserve">Data fusion algorithms identify multi-modal patterns suggestive of ACS even when individual modalities appear normal, potentially reducing the 41-59% excess misdiagnosis rate observed in women and other atypically-presenting populations.</w:t>
      </w:r>
    </w:p>
    <w:bookmarkEnd w:id="29"/>
    <w:bookmarkStart w:id="30" w:name="extended-applications"/>
    <w:p>
      <w:pPr>
        <w:pStyle w:val="Heading3"/>
      </w:pPr>
      <w:r>
        <w:t xml:space="preserve">4.2 Extended Applications</w:t>
      </w:r>
    </w:p>
    <w:p>
      <w:pPr>
        <w:pStyle w:val="Compact"/>
        <w:numPr>
          <w:ilvl w:val="0"/>
          <w:numId w:val="1004"/>
        </w:numPr>
      </w:pPr>
      <w:r>
        <w:rPr>
          <w:b/>
          <w:bCs/>
        </w:rPr>
        <w:t xml:space="preserve">Heart failure monitoring</w:t>
      </w:r>
      <w:r>
        <w:t xml:space="preserve">: Continuous PPG + acoustic monitoring for decompensation</w:t>
      </w:r>
    </w:p>
    <w:p>
      <w:pPr>
        <w:pStyle w:val="Compact"/>
        <w:numPr>
          <w:ilvl w:val="0"/>
          <w:numId w:val="1004"/>
        </w:numPr>
      </w:pPr>
      <w:r>
        <w:rPr>
          <w:b/>
          <w:bCs/>
        </w:rPr>
        <w:t xml:space="preserve">Arrhythmia detection</w:t>
      </w:r>
      <w:r>
        <w:t xml:space="preserve">: Real-time ECG with extended Holter capability</w:t>
      </w:r>
    </w:p>
    <w:p>
      <w:pPr>
        <w:pStyle w:val="Compact"/>
        <w:numPr>
          <w:ilvl w:val="0"/>
          <w:numId w:val="1004"/>
        </w:numPr>
      </w:pPr>
      <w:r>
        <w:rPr>
          <w:b/>
          <w:bCs/>
        </w:rPr>
        <w:t xml:space="preserve">Valve assessment</w:t>
      </w:r>
      <w:r>
        <w:t xml:space="preserve">: Digital auscultation with AI murmur classification</w:t>
      </w:r>
    </w:p>
    <w:p>
      <w:pPr>
        <w:pStyle w:val="Compact"/>
        <w:numPr>
          <w:ilvl w:val="0"/>
          <w:numId w:val="1004"/>
        </w:numPr>
      </w:pPr>
      <w:r>
        <w:rPr>
          <w:b/>
          <w:bCs/>
        </w:rPr>
        <w:t xml:space="preserve">Therapy monitoring</w:t>
      </w:r>
      <w:r>
        <w:t xml:space="preserve">: Longitudinal NMR tissue characterization</w:t>
      </w:r>
    </w:p>
    <w:p>
      <w:pPr>
        <w:pStyle w:val="Compact"/>
        <w:numPr>
          <w:ilvl w:val="0"/>
          <w:numId w:val="1004"/>
        </w:numPr>
      </w:pPr>
      <w:r>
        <w:rPr>
          <w:b/>
          <w:bCs/>
        </w:rPr>
        <w:t xml:space="preserve">Telemedicine</w:t>
      </w:r>
      <w:r>
        <w:t xml:space="preserve">: Complete cardiac dataset for remote specialist consultation</w:t>
      </w:r>
    </w:p>
    <w:bookmarkEnd w:id="30"/>
    <w:bookmarkStart w:id="31" w:name="future-development-pathway"/>
    <w:p>
      <w:pPr>
        <w:pStyle w:val="Heading3"/>
      </w:pPr>
      <w:r>
        <w:t xml:space="preserve">4.3 Future Development Pathway</w:t>
      </w:r>
    </w:p>
    <w:p>
      <w:pPr>
        <w:pStyle w:val="FirstParagraph"/>
      </w:pPr>
      <w:r>
        <w:rPr>
          <w:b/>
          <w:bCs/>
        </w:rPr>
        <w:t xml:space="preserve">REMINDER (per inventor’s notes)</w:t>
      </w:r>
      <w:r>
        <w:t xml:space="preserve">: Heart application serves as proof-of-concept and regulatory pathway for subsequent neural applications.</w:t>
      </w:r>
    </w:p>
    <w:tbl>
      <w:tblPr>
        <w:tblStyle w:val="Table"/>
        <w:tblW w:type="pct" w:w="5000"/>
        <w:tblLayout w:type="fixed"/>
        <w:tblLook w:firstRow="1" w:lastRow="0" w:firstColumn="0" w:lastColumn="0" w:noHBand="0" w:noVBand="0" w:val="0020"/>
      </w:tblPr>
      <w:tblGrid>
        <w:gridCol w:w="1980"/>
        <w:gridCol w:w="2262"/>
        <w:gridCol w:w="3677"/>
      </w:tblGrid>
      <w:tr>
        <w:trPr>
          <w:tblHeader w:val="on"/>
        </w:trPr>
        <w:tc>
          <w:tcPr/>
          <w:p>
            <w:pPr>
              <w:pStyle w:val="Compact"/>
            </w:pPr>
            <w:r>
              <w:t xml:space="preserve">Phase</w:t>
            </w:r>
          </w:p>
        </w:tc>
        <w:tc>
          <w:tcPr/>
          <w:p>
            <w:pPr>
              <w:pStyle w:val="Compact"/>
            </w:pPr>
            <w:r>
              <w:t xml:space="preserve">Target</w:t>
            </w:r>
          </w:p>
        </w:tc>
        <w:tc>
          <w:tcPr/>
          <w:p>
            <w:pPr>
              <w:pStyle w:val="Compact"/>
            </w:pPr>
            <w:r>
              <w:t xml:space="preserve">Application</w:t>
            </w:r>
          </w:p>
        </w:tc>
      </w:tr>
      <w:tr>
        <w:tc>
          <w:tcPr/>
          <w:p>
            <w:pPr>
              <w:pStyle w:val="Compact"/>
            </w:pPr>
            <w:r>
              <w:t xml:space="preserve">Phase 1</w:t>
            </w:r>
          </w:p>
        </w:tc>
        <w:tc>
          <w:tcPr/>
          <w:p>
            <w:pPr>
              <w:pStyle w:val="Compact"/>
            </w:pPr>
            <w:r>
              <w:t xml:space="preserve">Cardiac</w:t>
            </w:r>
          </w:p>
        </w:tc>
        <w:tc>
          <w:tcPr/>
          <w:p>
            <w:pPr>
              <w:pStyle w:val="Compact"/>
            </w:pPr>
            <w:r>
              <w:t xml:space="preserve">NSTEMI detection, monitoring</w:t>
            </w:r>
          </w:p>
        </w:tc>
      </w:tr>
      <w:tr>
        <w:tc>
          <w:tcPr/>
          <w:p>
            <w:pPr>
              <w:pStyle w:val="Compact"/>
            </w:pPr>
            <w:r>
              <w:t xml:space="preserve">Phase 2</w:t>
            </w:r>
          </w:p>
        </w:tc>
        <w:tc>
          <w:tcPr/>
          <w:p>
            <w:pPr>
              <w:pStyle w:val="Compact"/>
            </w:pPr>
            <w:r>
              <w:t xml:space="preserve">Neurological</w:t>
            </w:r>
          </w:p>
        </w:tc>
        <w:tc>
          <w:tcPr/>
          <w:p>
            <w:pPr>
              <w:pStyle w:val="Compact"/>
            </w:pPr>
            <w:r>
              <w:t xml:space="preserve">Seizure detection, brain-computer interface monitoring</w:t>
            </w:r>
          </w:p>
        </w:tc>
      </w:tr>
      <w:tr>
        <w:tc>
          <w:tcPr/>
          <w:p>
            <w:pPr>
              <w:pStyle w:val="Compact"/>
            </w:pPr>
            <w:r>
              <w:t xml:space="preserve">Phase 3</w:t>
            </w:r>
          </w:p>
        </w:tc>
        <w:tc>
          <w:tcPr/>
          <w:p>
            <w:pPr>
              <w:pStyle w:val="Compact"/>
            </w:pPr>
            <w:r>
              <w:t xml:space="preserve">Multi-organ</w:t>
            </w:r>
          </w:p>
        </w:tc>
        <w:tc>
          <w:tcPr/>
          <w:p>
            <w:pPr>
              <w:pStyle w:val="Compact"/>
            </w:pPr>
            <w:r>
              <w:t xml:space="preserve">Integrated physiological surveillance</w:t>
            </w:r>
          </w:p>
        </w:tc>
      </w:tr>
    </w:tbl>
    <w:p>
      <w:pPr>
        <w:pStyle w:val="BodyText"/>
      </w:pPr>
      <w:r>
        <w:t xml:space="preserve">The modular architecture—particularly the localized NMR capability—provides a foundation for brain-focused devices addressing neural security applications outlined in related work (ONI Framework).</w:t>
      </w:r>
    </w:p>
    <w:p>
      <w:r>
        <w:pict>
          <v:rect style="width:0;height:1.5pt" o:hralign="center" o:hrstd="t" o:hr="t"/>
        </w:pict>
      </w:r>
    </w:p>
    <w:bookmarkEnd w:id="31"/>
    <w:bookmarkEnd w:id="32"/>
    <w:bookmarkStart w:id="35" w:name="regulatory-pathway"/>
    <w:p>
      <w:pPr>
        <w:pStyle w:val="Heading2"/>
      </w:pPr>
      <w:r>
        <w:t xml:space="preserve">5. Regulatory Pathway</w:t>
      </w:r>
    </w:p>
    <w:bookmarkStart w:id="33" w:name="fda-classification"/>
    <w:p>
      <w:pPr>
        <w:pStyle w:val="Heading3"/>
      </w:pPr>
      <w:r>
        <w:t xml:space="preserve">5.1 FDA Classification</w:t>
      </w:r>
    </w:p>
    <w:p>
      <w:pPr>
        <w:pStyle w:val="FirstParagraph"/>
      </w:pPr>
      <w:r>
        <w:t xml:space="preserve">Anticipated classification:</w:t>
      </w:r>
      <w:r>
        <w:t xml:space="preserve"> </w:t>
      </w:r>
      <w:r>
        <w:rPr>
          <w:b/>
          <w:bCs/>
        </w:rPr>
        <w:t xml:space="preserve">Class II Medical Device</w:t>
      </w:r>
      <w:r>
        <w:t xml:space="preserve"> </w:t>
      </w:r>
      <w:r>
        <w:t xml:space="preserve">(510(k) pathway)</w:t>
      </w:r>
    </w:p>
    <w:p>
      <w:pPr>
        <w:pStyle w:val="BodyText"/>
      </w:pPr>
      <w:r>
        <w:t xml:space="preserve">Predicate devices:</w:t>
      </w:r>
      <w:r>
        <w:t xml:space="preserve"> </w:t>
      </w:r>
      <w:r>
        <w:t xml:space="preserve">- Portable/handheld ECG monitors (cleared)</w:t>
      </w:r>
      <w:r>
        <w:t xml:space="preserve"> </w:t>
      </w:r>
      <w:r>
        <w:t xml:space="preserve">- Pulse oximeters (cleared)</w:t>
      </w:r>
      <w:r>
        <w:t xml:space="preserve"> </w:t>
      </w:r>
      <w:r>
        <w:t xml:space="preserve">- Digital stethoscopes (cleared)</w:t>
      </w:r>
      <w:r>
        <w:t xml:space="preserve"> </w:t>
      </w:r>
      <w:r>
        <w:t xml:space="preserve">- Portable low-field MRI (Hyperfine Swoop, cleared 2020)</w:t>
      </w:r>
    </w:p>
    <w:bookmarkEnd w:id="33"/>
    <w:bookmarkStart w:id="34" w:name="clinical-validation-requirements"/>
    <w:p>
      <w:pPr>
        <w:pStyle w:val="Heading3"/>
      </w:pPr>
      <w:r>
        <w:t xml:space="preserve">5.2 Clinical Validation Requirements</w:t>
      </w:r>
    </w:p>
    <w:p>
      <w:pPr>
        <w:pStyle w:val="Compact"/>
        <w:numPr>
          <w:ilvl w:val="0"/>
          <w:numId w:val="1005"/>
        </w:numPr>
      </w:pPr>
      <w:r>
        <w:rPr>
          <w:b/>
          <w:bCs/>
        </w:rPr>
        <w:t xml:space="preserve">Bench testing</w:t>
      </w:r>
      <w:r>
        <w:t xml:space="preserve">: SNR characterization, SAR measurement, EMC compliance</w:t>
      </w:r>
    </w:p>
    <w:p>
      <w:pPr>
        <w:pStyle w:val="Compact"/>
        <w:numPr>
          <w:ilvl w:val="0"/>
          <w:numId w:val="1005"/>
        </w:numPr>
      </w:pPr>
      <w:r>
        <w:rPr>
          <w:b/>
          <w:bCs/>
        </w:rPr>
        <w:t xml:space="preserve">Phantom studies</w:t>
      </w:r>
      <w:r>
        <w:t xml:space="preserve">: Spatial resolution, depth penetration, tissue contrast</w:t>
      </w:r>
    </w:p>
    <w:p>
      <w:pPr>
        <w:pStyle w:val="Compact"/>
        <w:numPr>
          <w:ilvl w:val="0"/>
          <w:numId w:val="1005"/>
        </w:numPr>
      </w:pPr>
      <w:r>
        <w:rPr>
          <w:b/>
          <w:bCs/>
        </w:rPr>
        <w:t xml:space="preserve">Healthy volunteer studies</w:t>
      </w:r>
      <w:r>
        <w:t xml:space="preserve">: Safety, tolerability, baseline characterization</w:t>
      </w:r>
    </w:p>
    <w:p>
      <w:pPr>
        <w:pStyle w:val="Compact"/>
        <w:numPr>
          <w:ilvl w:val="0"/>
          <w:numId w:val="1005"/>
        </w:numPr>
      </w:pPr>
      <w:r>
        <w:rPr>
          <w:b/>
          <w:bCs/>
        </w:rPr>
        <w:t xml:space="preserve">Patient studies</w:t>
      </w:r>
      <w:r>
        <w:t xml:space="preserve">: Sensitivity/specificity vs. gold standard diagnostics</w:t>
      </w:r>
    </w:p>
    <w:p>
      <w:pPr>
        <w:pStyle w:val="Compact"/>
        <w:numPr>
          <w:ilvl w:val="0"/>
          <w:numId w:val="1005"/>
        </w:numPr>
      </w:pPr>
      <w:r>
        <w:rPr>
          <w:b/>
          <w:bCs/>
        </w:rPr>
        <w:t xml:space="preserve">Multi-site validation</w:t>
      </w:r>
      <w:r>
        <w:t xml:space="preserve">: Generalizability across populations</w:t>
      </w:r>
    </w:p>
    <w:p>
      <w:r>
        <w:pict>
          <v:rect style="width:0;height:1.5pt" o:hralign="center" o:hrstd="t" o:hr="t"/>
        </w:pict>
      </w:r>
    </w:p>
    <w:bookmarkEnd w:id="34"/>
    <w:bookmarkEnd w:id="35"/>
    <w:bookmarkStart w:id="39" w:name="discussion"/>
    <w:p>
      <w:pPr>
        <w:pStyle w:val="Heading2"/>
      </w:pPr>
      <w:r>
        <w:t xml:space="preserve">6. Discussion</w:t>
      </w:r>
    </w:p>
    <w:bookmarkStart w:id="36" w:name="advantages-of-the-proposed-approach"/>
    <w:p>
      <w:pPr>
        <w:pStyle w:val="Heading3"/>
      </w:pPr>
      <w:r>
        <w:t xml:space="preserve">6.1 Advantages of the Proposed Approach</w:t>
      </w:r>
    </w:p>
    <w:p>
      <w:pPr>
        <w:pStyle w:val="Compact"/>
        <w:numPr>
          <w:ilvl w:val="0"/>
          <w:numId w:val="1006"/>
        </w:numPr>
      </w:pPr>
      <w:r>
        <w:rPr>
          <w:b/>
          <w:bCs/>
        </w:rPr>
        <w:t xml:space="preserve">Comprehensive assessment</w:t>
      </w:r>
      <w:r>
        <w:t xml:space="preserve">: Four modalities capture electrical, mechanical, perfusion, and tissue-level information</w:t>
      </w:r>
    </w:p>
    <w:p>
      <w:pPr>
        <w:pStyle w:val="Compact"/>
        <w:numPr>
          <w:ilvl w:val="0"/>
          <w:numId w:val="1006"/>
        </w:numPr>
      </w:pPr>
      <w:r>
        <w:rPr>
          <w:b/>
          <w:bCs/>
        </w:rPr>
        <w:t xml:space="preserve">Reduced anxiety</w:t>
      </w:r>
      <w:r>
        <w:t xml:space="preserve">: Non-intimidating form factor minimizes white coat effect</w:t>
      </w:r>
    </w:p>
    <w:p>
      <w:pPr>
        <w:pStyle w:val="Compact"/>
        <w:numPr>
          <w:ilvl w:val="0"/>
          <w:numId w:val="1006"/>
        </w:numPr>
      </w:pPr>
      <w:r>
        <w:rPr>
          <w:b/>
          <w:bCs/>
        </w:rPr>
        <w:t xml:space="preserve">Accessibility</w:t>
      </w:r>
      <w:r>
        <w:t xml:space="preserve">: Handheld design enables point-of-care and home deployment</w:t>
      </w:r>
    </w:p>
    <w:p>
      <w:pPr>
        <w:pStyle w:val="Compact"/>
        <w:numPr>
          <w:ilvl w:val="0"/>
          <w:numId w:val="1006"/>
        </w:numPr>
      </w:pPr>
      <w:r>
        <w:rPr>
          <w:b/>
          <w:bCs/>
        </w:rPr>
        <w:t xml:space="preserve">Objective auscultation</w:t>
      </w:r>
      <w:r>
        <w:t xml:space="preserve">: Digital recording eliminates observer variability</w:t>
      </w:r>
    </w:p>
    <w:p>
      <w:pPr>
        <w:pStyle w:val="Compact"/>
        <w:numPr>
          <w:ilvl w:val="0"/>
          <w:numId w:val="1006"/>
        </w:numPr>
      </w:pPr>
      <w:r>
        <w:rPr>
          <w:b/>
          <w:bCs/>
        </w:rPr>
        <w:t xml:space="preserve">Continuous capability</w:t>
      </w:r>
      <w:r>
        <w:t xml:space="preserve">: PPG and acoustic sensors enable extended monitoring between NMR acquisitions</w:t>
      </w:r>
    </w:p>
    <w:p>
      <w:pPr>
        <w:pStyle w:val="Compact"/>
        <w:numPr>
          <w:ilvl w:val="0"/>
          <w:numId w:val="1006"/>
        </w:numPr>
      </w:pPr>
      <w:r>
        <w:rPr>
          <w:b/>
          <w:bCs/>
        </w:rPr>
        <w:t xml:space="preserve">CIED compatibility</w:t>
      </w:r>
      <w:r>
        <w:t xml:space="preserve">: Non-magnetic fixation ensures safety for implant patients</w:t>
      </w:r>
    </w:p>
    <w:bookmarkEnd w:id="36"/>
    <w:bookmarkStart w:id="37" w:name="limitations-and-future-work"/>
    <w:p>
      <w:pPr>
        <w:pStyle w:val="Heading3"/>
      </w:pPr>
      <w:r>
        <w:t xml:space="preserve">6.2 Limitations and Future Work</w:t>
      </w:r>
    </w:p>
    <w:p>
      <w:pPr>
        <w:pStyle w:val="Compact"/>
        <w:numPr>
          <w:ilvl w:val="0"/>
          <w:numId w:val="1007"/>
        </w:numPr>
      </w:pPr>
      <w:r>
        <w:rPr>
          <w:b/>
          <w:bCs/>
        </w:rPr>
        <w:t xml:space="preserve">Spatial resolution</w:t>
      </w:r>
      <w:r>
        <w:t xml:space="preserve">: Low-field NMR provides tissue characterization rather than high-resolution imaging</w:t>
      </w:r>
    </w:p>
    <w:p>
      <w:pPr>
        <w:pStyle w:val="Compact"/>
        <w:numPr>
          <w:ilvl w:val="0"/>
          <w:numId w:val="1007"/>
        </w:numPr>
      </w:pPr>
      <w:r>
        <w:rPr>
          <w:b/>
          <w:bCs/>
        </w:rPr>
        <w:t xml:space="preserve">Power consumption</w:t>
      </w:r>
      <w:r>
        <w:t xml:space="preserve">: NMR coil driving requires substantial battery capacity</w:t>
      </w:r>
    </w:p>
    <w:p>
      <w:pPr>
        <w:pStyle w:val="Compact"/>
        <w:numPr>
          <w:ilvl w:val="0"/>
          <w:numId w:val="1007"/>
        </w:numPr>
      </w:pPr>
      <w:r>
        <w:rPr>
          <w:b/>
          <w:bCs/>
        </w:rPr>
        <w:t xml:space="preserve">Algorithm development</w:t>
      </w:r>
      <w:r>
        <w:t xml:space="preserve">: Multi-modal fusion requires extensive training datasets</w:t>
      </w:r>
    </w:p>
    <w:p>
      <w:pPr>
        <w:pStyle w:val="Compact"/>
        <w:numPr>
          <w:ilvl w:val="0"/>
          <w:numId w:val="1007"/>
        </w:numPr>
      </w:pPr>
      <w:r>
        <w:rPr>
          <w:b/>
          <w:bCs/>
        </w:rPr>
        <w:t xml:space="preserve">Regulatory timeline</w:t>
      </w:r>
      <w:r>
        <w:t xml:space="preserve">: Novel device combinations require comprehensive validation</w:t>
      </w:r>
    </w:p>
    <w:bookmarkEnd w:id="37"/>
    <w:bookmarkStart w:id="38" w:name="societal-impact"/>
    <w:p>
      <w:pPr>
        <w:pStyle w:val="Heading3"/>
      </w:pPr>
      <w:r>
        <w:t xml:space="preserve">6.3 Societal Impact</w:t>
      </w:r>
    </w:p>
    <w:p>
      <w:pPr>
        <w:pStyle w:val="FirstParagraph"/>
      </w:pPr>
      <w:r>
        <w:t xml:space="preserve">The gender disparity in cardiac diagnosis represents a critical healthcare equity issue. By combining modalities that capture atypical presentations (acoustic, optical, NMR) with the traditional ECG, Cardiac-NSIM has potential to reduce the diagnostic gap that disproportionately affects women and other underserved populations.</w:t>
      </w:r>
    </w:p>
    <w:p>
      <w:pPr>
        <w:pStyle w:val="BodyText"/>
      </w:pPr>
      <w:r>
        <w:t xml:space="preserve">Furthermore, by enabling point-of-care and home-based comprehensive cardiac assessment, the device democratizes access to diagnostic capabilities currently restricted to specialized facilities.</w:t>
      </w:r>
    </w:p>
    <w:p>
      <w:r>
        <w:pict>
          <v:rect style="width:0;height:1.5pt" o:hralign="center" o:hrstd="t" o:hr="t"/>
        </w:pict>
      </w:r>
    </w:p>
    <w:bookmarkEnd w:id="38"/>
    <w:bookmarkEnd w:id="39"/>
    <w:bookmarkStart w:id="40" w:name="conclusion"/>
    <w:p>
      <w:pPr>
        <w:pStyle w:val="Heading2"/>
      </w:pPr>
      <w:r>
        <w:t xml:space="preserve">7. Conclusion</w:t>
      </w:r>
    </w:p>
    <w:p>
      <w:pPr>
        <w:pStyle w:val="FirstParagraph"/>
      </w:pPr>
      <w:r>
        <w:t xml:space="preserve">The Cardiac-NSIM represents a convergent integration of technologies that have individually matured to the point of combination: low-field NMR, dry-electrode ECG, optical PPG, and MEMS acoustic sensing. By unifying these modalities in a conformal, patient-friendly form factor, we address both technical limitations (NSTEMI detection) and experiential barriers (patient anxiety) that compromise current cardiac diagnostics.</w:t>
      </w:r>
    </w:p>
    <w:p>
      <w:pPr>
        <w:pStyle w:val="BodyText"/>
      </w:pPr>
      <w:r>
        <w:t xml:space="preserve">The device embodies the historical trajectory from subjective observation (Laennec’s stethoscope, 1816) through objective electrical recording (Einthoven’s ECG, 1901) to comprehensive tissue characterization (MRI, 1977), now synthesized in a handheld platform appropriate for the point-of-care era.</w:t>
      </w:r>
    </w:p>
    <w:p>
      <w:pPr>
        <w:pStyle w:val="BodyText"/>
      </w:pPr>
      <w:r>
        <w:t xml:space="preserve">We invite collaboration from cardiologists, biomedical engineers, signal processing specialists, and regulatory experts to advance this concept toward clinical reality.</w:t>
      </w:r>
    </w:p>
    <w:p>
      <w:r>
        <w:pict>
          <v:rect style="width:0;height:1.5pt" o:hralign="center" o:hrstd="t" o:hr="t"/>
        </w:pict>
      </w:r>
    </w:p>
    <w:bookmarkEnd w:id="40"/>
    <w:bookmarkStart w:id="41" w:name="acknowledgments"/>
    <w:p>
      <w:pPr>
        <w:pStyle w:val="Heading2"/>
      </w:pPr>
      <w:r>
        <w:t xml:space="preserve">Acknowledgments</w:t>
      </w:r>
    </w:p>
    <w:p>
      <w:pPr>
        <w:pStyle w:val="FirstParagraph"/>
      </w:pPr>
      <w:r>
        <w:t xml:space="preserve">The conceptual framework for this device was developed through iterative ideation with multiple AI systems:</w:t>
      </w:r>
      <w:r>
        <w:t xml:space="preserve"> </w:t>
      </w:r>
      <w:r>
        <w:t xml:space="preserve">-</w:t>
      </w:r>
      <w:r>
        <w:t xml:space="preserve"> </w:t>
      </w:r>
      <w:r>
        <w:rPr>
          <w:b/>
          <w:bCs/>
        </w:rPr>
        <w:t xml:space="preserve">OpenAI GPT</w:t>
      </w:r>
      <w:r>
        <w:t xml:space="preserve">: Initial concept exploration and technical brainstorming</w:t>
      </w:r>
      <w:r>
        <w:t xml:space="preserve"> </w:t>
      </w:r>
      <w:r>
        <w:t xml:space="preserve">-</w:t>
      </w:r>
      <w:r>
        <w:t xml:space="preserve"> </w:t>
      </w:r>
      <w:r>
        <w:rPr>
          <w:b/>
          <w:bCs/>
        </w:rPr>
        <w:t xml:space="preserve">Google Gemini</w:t>
      </w:r>
      <w:r>
        <w:t xml:space="preserve">: Engineering critique and safety analysis</w:t>
      </w:r>
      <w:r>
        <w:t xml:space="preserve"> </w:t>
      </w:r>
      <w:r>
        <w:t xml:space="preserve">-</w:t>
      </w:r>
      <w:r>
        <w:t xml:space="preserve"> </w:t>
      </w:r>
      <w:r>
        <w:rPr>
          <w:b/>
          <w:bCs/>
        </w:rPr>
        <w:t xml:space="preserve">DeepSeek</w:t>
      </w:r>
      <w:r>
        <w:t xml:space="preserve">: Mathematical modeling and signal processing architecture</w:t>
      </w:r>
      <w:r>
        <w:t xml:space="preserve"> </w:t>
      </w:r>
      <w:r>
        <w:t xml:space="preserve">-</w:t>
      </w:r>
      <w:r>
        <w:t xml:space="preserve"> </w:t>
      </w:r>
      <w:r>
        <w:rPr>
          <w:b/>
          <w:bCs/>
        </w:rPr>
        <w:t xml:space="preserve">Claude Code (Anthropic)</w:t>
      </w:r>
      <w:r>
        <w:t xml:space="preserve">: Research synthesis, documentation refinement, and publication preparation</w:t>
      </w:r>
    </w:p>
    <w:p>
      <w:pPr>
        <w:pStyle w:val="BodyText"/>
      </w:pPr>
      <w:r>
        <w:t xml:space="preserve">The author thanks these AI collaborators for their contributions to accelerating the ideation process while maintaining full responsibility for the scientific claims and design decisions presented herein.</w:t>
      </w:r>
    </w:p>
    <w:p>
      <w:r>
        <w:pict>
          <v:rect style="width:0;height:1.5pt" o:hralign="center" o:hrstd="t" o:hr="t"/>
        </w:pict>
      </w:r>
    </w:p>
    <w:bookmarkEnd w:id="41"/>
    <w:bookmarkStart w:id="42" w:name="references"/>
    <w:p>
      <w:pPr>
        <w:pStyle w:val="Heading2"/>
      </w:pPr>
      <w:r>
        <w:t xml:space="preserve">References</w:t>
      </w:r>
    </w:p>
    <w:p>
      <w:pPr>
        <w:pStyle w:val="Compact"/>
        <w:numPr>
          <w:ilvl w:val="0"/>
          <w:numId w:val="1008"/>
        </w:numPr>
      </w:pPr>
      <w:r>
        <w:t xml:space="preserve">American Heart Association. (2024). Heart Disease and Stroke Statistics—2024 Update.</w:t>
      </w:r>
    </w:p>
    <w:p>
      <w:pPr>
        <w:pStyle w:val="Compact"/>
        <w:numPr>
          <w:ilvl w:val="0"/>
          <w:numId w:val="1008"/>
        </w:numPr>
      </w:pPr>
      <w:r>
        <w:t xml:space="preserve">Cleveland Clinic. (2024). NSTEMI Heart Attack: Symptoms, Diagnosis &amp; Treatment.</w:t>
      </w:r>
    </w:p>
    <w:p>
      <w:pPr>
        <w:pStyle w:val="Compact"/>
        <w:numPr>
          <w:ilvl w:val="0"/>
          <w:numId w:val="1008"/>
        </w:numPr>
      </w:pPr>
      <w:r>
        <w:t xml:space="preserve">European Society of Cardiology. (2023). Heart attack diagnosis missed in women more often than in men.</w:t>
      </w:r>
    </w:p>
    <w:p>
      <w:pPr>
        <w:pStyle w:val="Compact"/>
        <w:numPr>
          <w:ilvl w:val="0"/>
          <w:numId w:val="1008"/>
        </w:numPr>
      </w:pPr>
      <w:r>
        <w:t xml:space="preserve">Laennec, R.T.H. (1819). De l’Auscultation Médiate.</w:t>
      </w:r>
    </w:p>
    <w:p>
      <w:pPr>
        <w:pStyle w:val="Compact"/>
        <w:numPr>
          <w:ilvl w:val="0"/>
          <w:numId w:val="1008"/>
        </w:numPr>
      </w:pPr>
      <w:r>
        <w:t xml:space="preserve">Mangione, S. (2001). Cardiac auscultatory skills of physicians-in-training. Annals of Internal Medicine.</w:t>
      </w:r>
    </w:p>
    <w:p>
      <w:pPr>
        <w:pStyle w:val="Compact"/>
        <w:numPr>
          <w:ilvl w:val="0"/>
          <w:numId w:val="1008"/>
        </w:numPr>
      </w:pPr>
      <w:r>
        <w:t xml:space="preserve">NCBI. (2020). Non-ST-Segment Elevation Myocardial Infarction. StatPearls.</w:t>
      </w:r>
    </w:p>
    <w:p>
      <w:pPr>
        <w:pStyle w:val="Compact"/>
        <w:numPr>
          <w:ilvl w:val="0"/>
          <w:numId w:val="1008"/>
        </w:numPr>
      </w:pPr>
      <w:r>
        <w:t xml:space="preserve">Ogedegbe, G. et al. (2008). The misdiagnosis of hypertension. Archives of Internal Medicine.</w:t>
      </w:r>
    </w:p>
    <w:p>
      <w:pPr>
        <w:pStyle w:val="Compact"/>
        <w:numPr>
          <w:ilvl w:val="0"/>
          <w:numId w:val="1008"/>
        </w:numPr>
      </w:pPr>
      <w:r>
        <w:t xml:space="preserve">Pickering, T.G. et al. (2002). White coat hypertension. Hypertension.</w:t>
      </w:r>
    </w:p>
    <w:p>
      <w:pPr>
        <w:pStyle w:val="Compact"/>
        <w:numPr>
          <w:ilvl w:val="0"/>
          <w:numId w:val="1008"/>
        </w:numPr>
      </w:pPr>
      <w:r>
        <w:t xml:space="preserve">PMC. (2016). Rene Theophile Hyacinthe Laënnec (1781–1826): The Man Behind the Stethoscope.</w:t>
      </w:r>
    </w:p>
    <w:p>
      <w:r>
        <w:pict>
          <v:rect style="width:0;height:1.5pt" o:hralign="center" o:hrstd="t" o:hr="t"/>
        </w:pict>
      </w:r>
    </w:p>
    <w:bookmarkEnd w:id="42"/>
    <w:bookmarkStart w:id="46" w:name="supplementary-materials"/>
    <w:p>
      <w:pPr>
        <w:pStyle w:val="Heading2"/>
      </w:pPr>
      <w:r>
        <w:t xml:space="preserve">Supplementary Materials</w:t>
      </w:r>
    </w:p>
    <w:bookmarkStart w:id="43" w:name="s1.-blender-3d-model-script"/>
    <w:p>
      <w:pPr>
        <w:pStyle w:val="Heading3"/>
      </w:pPr>
      <w:r>
        <w:t xml:space="preserve">S1. Blender 3D Model Script</w:t>
      </w:r>
    </w:p>
    <w:p>
      <w:pPr>
        <w:pStyle w:val="FirstParagraph"/>
      </w:pPr>
      <w:r>
        <w:rPr>
          <w:i/>
          <w:iCs/>
        </w:rPr>
        <w:t xml:space="preserve">[See separate file: Architecture_Diagram.py]</w:t>
      </w:r>
    </w:p>
    <w:bookmarkEnd w:id="43"/>
    <w:bookmarkStart w:id="44" w:name="s2.-signal-processing-specifications"/>
    <w:p>
      <w:pPr>
        <w:pStyle w:val="Heading3"/>
      </w:pPr>
      <w:r>
        <w:t xml:space="preserve">S2. Signal Processing Specifications</w:t>
      </w:r>
    </w:p>
    <w:p>
      <w:pPr>
        <w:pStyle w:val="FirstParagraph"/>
      </w:pPr>
      <w:r>
        <w:rPr>
          <w:i/>
          <w:iCs/>
        </w:rPr>
        <w:t xml:space="preserve">[See separate file: Signal_Processing_Specs.md]</w:t>
      </w:r>
    </w:p>
    <w:bookmarkEnd w:id="44"/>
    <w:bookmarkStart w:id="45" w:name="s3.-safety-calculation-worksheets"/>
    <w:p>
      <w:pPr>
        <w:pStyle w:val="Heading3"/>
      </w:pPr>
      <w:r>
        <w:t xml:space="preserve">S3. Safety Calculation Worksheets</w:t>
      </w:r>
    </w:p>
    <w:p>
      <w:pPr>
        <w:pStyle w:val="FirstParagraph"/>
      </w:pPr>
      <w:r>
        <w:rPr>
          <w:i/>
          <w:iCs/>
        </w:rPr>
        <w:t xml:space="preserve">[See separate file: Safety_Analysis.md]</w:t>
      </w:r>
    </w:p>
    <w:p>
      <w:r>
        <w:pict>
          <v:rect style="width:0;height:1.5pt" o:hralign="center" o:hrstd="t" o:hr="t"/>
        </w:pict>
      </w:r>
    </w:p>
    <w:p>
      <w:pPr>
        <w:pStyle w:val="FirstParagraph"/>
      </w:pPr>
      <w:r>
        <w:rPr>
          <w:b/>
          <w:bCs/>
        </w:rPr>
        <w:t xml:space="preserve">Corresponding Author</w:t>
      </w:r>
      <w:r>
        <w:t xml:space="preserve">: [Author Name]</w:t>
      </w:r>
      <w:r>
        <w:t xml:space="preserve"> </w:t>
      </w:r>
      <w:r>
        <w:rPr>
          <w:b/>
          <w:bCs/>
        </w:rPr>
        <w:t xml:space="preserve">Affiliation</w:t>
      </w:r>
      <w:r>
        <w:t xml:space="preserve">: Independent Researcher</w:t>
      </w:r>
      <w:r>
        <w:t xml:space="preserve"> </w:t>
      </w:r>
      <w:r>
        <w:rPr>
          <w:b/>
          <w:bCs/>
        </w:rPr>
        <w:t xml:space="preserve">Contact</w:t>
      </w:r>
      <w:r>
        <w:t xml:space="preserve">: [Email]</w:t>
      </w:r>
      <w:r>
        <w:t xml:space="preserve"> </w:t>
      </w:r>
      <w:r>
        <w:rPr>
          <w:b/>
          <w:bCs/>
        </w:rPr>
        <w:t xml:space="preserve">ORCID</w:t>
      </w:r>
      <w:r>
        <w:t xml:space="preserve">: [If available]</w:t>
      </w:r>
    </w:p>
    <w:p>
      <w:pPr>
        <w:pStyle w:val="BodyText"/>
      </w:pPr>
      <w:r>
        <w:rPr>
          <w:i/>
          <w:iCs/>
        </w:rPr>
        <w:t xml:space="preserve">Submitted for consideration to: IEEE Transactions on Biomedical Engineering / Journal of Medical Devices / PLOS ONE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2026-01-18T23:13:07Z</dcterms:created>
  <dcterms:modified xsi:type="dcterms:W3CDTF">2026-01-18T23:13:07Z</dcterms:modified>
</cp:coreProperties>
</file>

<file path=docProps/custom.xml><?xml version="1.0" encoding="utf-8"?>
<Properties xmlns="http://schemas.openxmlformats.org/officeDocument/2006/custom-properties" xmlns:vt="http://schemas.openxmlformats.org/officeDocument/2006/docPropsVTypes"/>
</file>