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36" w:lineRule="exact"/>
        <w:jc w:val="center"/>
        <w:rPr>
          <w:rFonts w:ascii="仿宋_GB2312" w:eastAsia="仿宋_GB2312"/>
          <w:b/>
          <w:bCs/>
          <w:sz w:val="36"/>
          <w:szCs w:val="36"/>
        </w:rPr>
      </w:pPr>
      <w:r>
        <w:rPr>
          <w:rFonts w:hint="eastAsia" w:ascii="仿宋_GB2312" w:eastAsia="仿宋_GB2312"/>
          <w:b/>
          <w:bCs/>
          <w:sz w:val="36"/>
          <w:szCs w:val="36"/>
        </w:rPr>
        <w:t>信息安全学科建设与人才培养方案</w:t>
      </w:r>
    </w:p>
    <w:p>
      <w:pPr>
        <w:spacing w:line="536" w:lineRule="exact"/>
        <w:jc w:val="center"/>
        <w:rPr>
          <w:rFonts w:ascii="仿宋_GB2312" w:eastAsia="仿宋_GB2312"/>
          <w:b/>
          <w:bCs/>
          <w:sz w:val="36"/>
          <w:szCs w:val="36"/>
        </w:rPr>
      </w:pPr>
    </w:p>
    <w:p>
      <w:pPr>
        <w:adjustRightInd w:val="0"/>
        <w:snapToGrid w:val="0"/>
        <w:spacing w:line="536" w:lineRule="exact"/>
        <w:ind w:firstLine="643" w:firstLineChars="200"/>
        <w:rPr>
          <w:rFonts w:hint="eastAsia" w:ascii="仿宋_GB2312" w:eastAsia="仿宋_GB2312"/>
          <w:b/>
          <w:bCs/>
          <w:sz w:val="32"/>
          <w:szCs w:val="32"/>
        </w:rPr>
      </w:pPr>
      <w:r>
        <w:rPr>
          <w:rFonts w:hint="eastAsia" w:ascii="仿宋_GB2312" w:eastAsia="仿宋_GB2312"/>
          <w:b/>
          <w:bCs/>
          <w:sz w:val="32"/>
          <w:szCs w:val="32"/>
        </w:rPr>
        <w:t>一、学科建设方案</w:t>
      </w:r>
    </w:p>
    <w:p>
      <w:pPr>
        <w:adjustRightInd w:val="0"/>
        <w:snapToGrid w:val="0"/>
        <w:spacing w:line="536" w:lineRule="exact"/>
        <w:ind w:firstLine="643" w:firstLineChars="200"/>
        <w:rPr>
          <w:rFonts w:ascii="仿宋_GB2312" w:eastAsia="仿宋_GB2312"/>
          <w:sz w:val="32"/>
          <w:szCs w:val="32"/>
        </w:rPr>
      </w:pPr>
      <w:r>
        <w:rPr>
          <w:rFonts w:hint="eastAsia" w:ascii="仿宋_GB2312" w:eastAsia="仿宋_GB2312"/>
          <w:b/>
          <w:bCs/>
          <w:sz w:val="32"/>
          <w:szCs w:val="32"/>
        </w:rPr>
        <w:t>（一）、队伍建设</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1.人事架构</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rPr>
        <w:t>人事架构主要分为</w:t>
      </w:r>
      <w:r>
        <w:rPr>
          <w:rFonts w:hint="eastAsia" w:ascii="仿宋_GB2312" w:eastAsia="仿宋_GB2312"/>
          <w:sz w:val="32"/>
          <w:szCs w:val="32"/>
          <w:lang w:eastAsia="zh-CN"/>
        </w:rPr>
        <w:t>五</w:t>
      </w:r>
      <w:r>
        <w:rPr>
          <w:rFonts w:hint="eastAsia" w:ascii="仿宋_GB2312" w:eastAsia="仿宋_GB2312"/>
          <w:sz w:val="32"/>
          <w:szCs w:val="32"/>
        </w:rPr>
        <w:t>部分：</w:t>
      </w:r>
      <w:r>
        <w:rPr>
          <w:rFonts w:hint="eastAsia" w:ascii="仿宋_GB2312" w:eastAsia="仿宋_GB2312"/>
          <w:sz w:val="32"/>
          <w:szCs w:val="32"/>
          <w:lang w:eastAsia="zh-CN"/>
        </w:rPr>
        <w:t>院长、</w:t>
      </w:r>
      <w:r>
        <w:rPr>
          <w:rFonts w:hint="eastAsia" w:ascii="仿宋_GB2312" w:eastAsia="仿宋_GB2312"/>
          <w:sz w:val="32"/>
          <w:szCs w:val="32"/>
        </w:rPr>
        <w:t>主任办公室、教学部、教务处、财务处。</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（1）院长</w:t>
      </w:r>
    </w:p>
    <w:p>
      <w:pPr>
        <w:adjustRightInd w:val="0"/>
        <w:snapToGrid w:val="0"/>
        <w:spacing w:line="536"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lang w:val="en-US" w:eastAsia="zh-CN"/>
        </w:rPr>
        <w:t>院长直接管理主任办公室，通过主任办公室实现对各个环节和人员的把控和管理。</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2</w:t>
      </w:r>
      <w:r>
        <w:rPr>
          <w:rFonts w:hint="eastAsia" w:ascii="仿宋_GB2312" w:eastAsia="仿宋_GB2312"/>
          <w:sz w:val="32"/>
          <w:szCs w:val="32"/>
        </w:rPr>
        <w:t>）主任办公室</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主任办公室主要负责协调各个部门完成整个教学活动周期的开展，指导完成教师招聘、学校招生、收费、授课、考核、津贴发放、奖学金、学生毕业等</w:t>
      </w:r>
      <w:r>
        <w:rPr>
          <w:rFonts w:hint="eastAsia" w:ascii="仿宋_GB2312" w:eastAsia="仿宋_GB2312"/>
          <w:sz w:val="32"/>
          <w:szCs w:val="32"/>
          <w:lang w:eastAsia="zh-CN"/>
        </w:rPr>
        <w:t>各个节点</w:t>
      </w:r>
      <w:r>
        <w:rPr>
          <w:rFonts w:hint="eastAsia" w:ascii="仿宋_GB2312" w:eastAsia="仿宋_GB2312"/>
          <w:sz w:val="32"/>
          <w:szCs w:val="32"/>
        </w:rPr>
        <w:t>工作。</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主任办公室设一位主任和多位辅导员。主任作为公司该项目负责人向院长汇报办学情况以及对接各个学校领导</w:t>
      </w:r>
      <w:r>
        <w:rPr>
          <w:rFonts w:hint="eastAsia" w:ascii="仿宋_GB2312" w:eastAsia="仿宋_GB2312"/>
          <w:sz w:val="32"/>
          <w:szCs w:val="32"/>
          <w:vertAlign w:val="superscript"/>
          <w:lang w:eastAsia="zh-CN"/>
        </w:rPr>
        <w:t>【】</w:t>
      </w:r>
      <w:r>
        <w:rPr>
          <w:rFonts w:hint="eastAsia" w:ascii="仿宋_GB2312" w:eastAsia="仿宋_GB2312"/>
          <w:sz w:val="32"/>
          <w:szCs w:val="32"/>
          <w:lang w:eastAsia="zh-CN"/>
        </w:rPr>
        <w:t>，并且向辅导员下发通知以及汇总各学校情况。</w:t>
      </w:r>
    </w:p>
    <w:p>
      <w:pPr>
        <w:adjustRightInd w:val="0"/>
        <w:snapToGrid w:val="0"/>
        <w:spacing w:line="536"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lang w:eastAsia="zh-CN"/>
        </w:rPr>
        <w:t>每所合作学校设一位辅导员作为该校负责人</w:t>
      </w:r>
      <w:r>
        <w:rPr>
          <w:rFonts w:hint="eastAsia" w:ascii="仿宋_GB2312" w:eastAsia="仿宋_GB2312"/>
          <w:sz w:val="32"/>
          <w:szCs w:val="32"/>
          <w:vertAlign w:val="superscript"/>
          <w:lang w:eastAsia="zh-CN"/>
        </w:rPr>
        <w:t>【】</w:t>
      </w:r>
      <w:r>
        <w:rPr>
          <w:rFonts w:hint="eastAsia" w:ascii="仿宋_GB2312" w:eastAsia="仿宋_GB2312"/>
          <w:sz w:val="32"/>
          <w:szCs w:val="32"/>
          <w:lang w:eastAsia="zh-CN"/>
        </w:rPr>
        <w:t>，每位辅导员需经常在所负责的学校办公</w:t>
      </w:r>
      <w:r>
        <w:rPr>
          <w:rFonts w:hint="eastAsia" w:ascii="仿宋_GB2312" w:eastAsia="仿宋_GB2312"/>
          <w:sz w:val="32"/>
          <w:szCs w:val="32"/>
          <w:vertAlign w:val="superscript"/>
          <w:lang w:eastAsia="zh-CN"/>
        </w:rPr>
        <w:t>【】</w:t>
      </w:r>
      <w:r>
        <w:rPr>
          <w:rFonts w:hint="eastAsia" w:ascii="仿宋_GB2312" w:eastAsia="仿宋_GB2312"/>
          <w:sz w:val="32"/>
          <w:szCs w:val="32"/>
          <w:vertAlign w:val="baseline"/>
          <w:lang w:eastAsia="zh-CN"/>
        </w:rPr>
        <w:t>主要职责为巡查课堂情况、学生信息采集、通知学生参加考试、考证、实习、奖学金评定、毕业答辩、毕业证发放等工作。解答学生有关问题，监督学生复习自考</w:t>
      </w:r>
      <w:r>
        <w:rPr>
          <w:rFonts w:hint="eastAsia" w:ascii="仿宋_GB2312" w:eastAsia="仿宋_GB2312"/>
          <w:sz w:val="32"/>
          <w:szCs w:val="32"/>
          <w:vertAlign w:val="superscript"/>
          <w:lang w:eastAsia="zh-CN"/>
        </w:rPr>
        <w:t>【】</w:t>
      </w:r>
      <w:r>
        <w:rPr>
          <w:rFonts w:hint="eastAsia" w:ascii="仿宋_GB2312" w:eastAsia="仿宋_GB2312"/>
          <w:sz w:val="32"/>
          <w:szCs w:val="32"/>
          <w:vertAlign w:val="baseline"/>
          <w:lang w:eastAsia="zh-CN"/>
        </w:rPr>
        <w:t>、定期向主任汇报情况等。</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（2）教学部</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教学部主要工作为课程课件和教案的编写、实际授课、考试试题组卷、改卷、带领学生参加竞赛等工作。</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教学部设一位教学主任和多位教师。教学主任主要职责为把控教学质量、与教务处共同协调安排各个学校各科上课教师、带队学生参加竞赛、组织考试的命题、改卷等。并定期向办公室主任汇报教学情况。</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（3）教务处</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教务处主要工作为学校招生对接、制定教师上课安排表、教师课后考核、课时计算。</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（4）财务处</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财务处主要工作为收费、退费、学生奖学金发放、教师津贴发放、出行报销等。</w:t>
      </w:r>
    </w:p>
    <w:p>
      <w:pPr>
        <w:adjustRightInd w:val="0"/>
        <w:snapToGrid w:val="0"/>
        <w:spacing w:line="536" w:lineRule="exact"/>
        <w:ind w:firstLine="640" w:firstLineChars="200"/>
        <w:rPr>
          <w:rFonts w:hint="eastAsia" w:ascii="仿宋_GB2312" w:eastAsia="仿宋_GB2312"/>
          <w:sz w:val="32"/>
          <w:szCs w:val="32"/>
          <w:vertAlign w:val="superscript"/>
          <w:lang w:eastAsia="zh-CN"/>
        </w:rPr>
      </w:pPr>
      <w:r>
        <w:rPr>
          <w:rFonts w:hint="eastAsia" w:ascii="仿宋_GB2312" w:eastAsia="仿宋_GB2312"/>
          <w:sz w:val="32"/>
          <w:szCs w:val="32"/>
        </w:rPr>
        <w:t>2.教师团队</w:t>
      </w:r>
      <w:r>
        <w:rPr>
          <w:rFonts w:hint="eastAsia" w:ascii="仿宋_GB2312" w:eastAsia="仿宋_GB2312"/>
          <w:sz w:val="32"/>
          <w:szCs w:val="32"/>
          <w:vertAlign w:val="superscript"/>
          <w:lang w:eastAsia="zh-CN"/>
        </w:rPr>
        <w:t>【】</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其中教师队伍以南昌大学信息安全专业教研组为主，以及部分外聘教师。另有信息安全相关行业技术员讲授产业前沿技术</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1</w:t>
      </w:r>
      <w:r>
        <w:rPr>
          <w:rFonts w:hint="eastAsia" w:ascii="仿宋_GB2312" w:eastAsia="仿宋_GB2312"/>
          <w:sz w:val="32"/>
          <w:szCs w:val="32"/>
        </w:rPr>
        <w:t>）南昌大学在编教授、讲师</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2</w:t>
      </w:r>
      <w:r>
        <w:rPr>
          <w:rFonts w:hint="eastAsia" w:ascii="仿宋_GB2312" w:eastAsia="仿宋_GB2312"/>
          <w:sz w:val="32"/>
          <w:szCs w:val="32"/>
        </w:rPr>
        <w:t>）信息安全产业相关企业、单位研究员和技术员</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3</w:t>
      </w:r>
      <w:r>
        <w:rPr>
          <w:rFonts w:hint="eastAsia" w:ascii="仿宋_GB2312" w:eastAsia="仿宋_GB2312"/>
          <w:sz w:val="32"/>
          <w:szCs w:val="32"/>
        </w:rPr>
        <w:t>）梦通安全公司外聘讲师</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w:t>
      </w:r>
      <w:r>
        <w:rPr>
          <w:rFonts w:ascii="仿宋_GB2312" w:eastAsia="仿宋_GB2312"/>
          <w:sz w:val="32"/>
          <w:szCs w:val="32"/>
        </w:rPr>
        <w:t>4</w:t>
      </w:r>
      <w:r>
        <w:rPr>
          <w:rFonts w:hint="eastAsia" w:ascii="仿宋_GB2312" w:eastAsia="仿宋_GB2312"/>
          <w:sz w:val="32"/>
          <w:szCs w:val="32"/>
        </w:rPr>
        <w:t>）研究生助教</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3.教师岗前培训</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1</w:t>
      </w:r>
      <w:r>
        <w:rPr>
          <w:rFonts w:hint="eastAsia" w:ascii="仿宋_GB2312" w:eastAsia="仿宋_GB2312"/>
          <w:sz w:val="32"/>
          <w:szCs w:val="32"/>
        </w:rPr>
        <w:t>）南昌大学在编教授、讲师根据日常上课方向选择对应科目，并根据实际需求调整授课难度，不进行集中培训。</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2</w:t>
      </w:r>
      <w:r>
        <w:rPr>
          <w:rFonts w:hint="eastAsia" w:ascii="仿宋_GB2312" w:eastAsia="仿宋_GB2312"/>
          <w:sz w:val="32"/>
          <w:szCs w:val="32"/>
        </w:rPr>
        <w:t>）企业、单位相关人员根据实际工作情况结合业界前沿技术进行授课，不进行集中培训。</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（3）外聘授课人员根据课程需求，结合专业进行招聘。教师在新学期开始前的假期进行培训，培训内容为新学期所授课程。</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具体培训方式为将该门课程的</w:t>
      </w:r>
      <w:r>
        <w:rPr>
          <w:rFonts w:hint="eastAsia" w:ascii="仿宋_GB2312" w:eastAsia="仿宋_GB2312"/>
          <w:sz w:val="32"/>
          <w:szCs w:val="32"/>
          <w:u w:val="none"/>
        </w:rPr>
        <w:t>每一课先由</w:t>
      </w:r>
      <w:r>
        <w:rPr>
          <w:rFonts w:hint="eastAsia" w:ascii="仿宋_GB2312" w:eastAsia="仿宋_GB2312"/>
          <w:sz w:val="32"/>
          <w:szCs w:val="32"/>
        </w:rPr>
        <w:t>教学主任、南昌大学相关课程的对应主讲老师进行授课示范。培训人员课后结合互联网资源和自身理解向教学主任讲授同一课的内容。并不断迭代，要求同一课的课程打磨过程最低不低于两次。同时在新学期授课时，每节课之前，还需进行至少一次讲课模拟，以保证对第二天上课内容的熟悉。</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4.课程资料准备</w:t>
      </w:r>
    </w:p>
    <w:p>
      <w:pPr>
        <w:adjustRightInd w:val="0"/>
        <w:snapToGrid w:val="0"/>
        <w:spacing w:line="536" w:lineRule="exact"/>
        <w:ind w:firstLine="643" w:firstLineChars="200"/>
        <w:rPr>
          <w:rFonts w:hint="eastAsia" w:ascii="仿宋_GB2312" w:eastAsia="仿宋_GB2312"/>
          <w:b/>
          <w:bCs/>
          <w:sz w:val="32"/>
          <w:szCs w:val="32"/>
        </w:rPr>
      </w:pPr>
      <w:r>
        <w:rPr>
          <w:rFonts w:hint="eastAsia" w:ascii="仿宋_GB2312" w:eastAsia="仿宋_GB2312"/>
          <w:b/>
          <w:bCs/>
          <w:sz w:val="32"/>
          <w:szCs w:val="32"/>
          <w:lang w:eastAsia="zh-CN"/>
        </w:rPr>
        <w:t>（</w:t>
      </w:r>
      <w:r>
        <w:rPr>
          <w:rFonts w:hint="eastAsia" w:ascii="仿宋_GB2312" w:eastAsia="仿宋_GB2312"/>
          <w:b/>
          <w:bCs/>
          <w:sz w:val="32"/>
          <w:szCs w:val="32"/>
        </w:rPr>
        <w:t>二</w:t>
      </w:r>
      <w:r>
        <w:rPr>
          <w:rFonts w:hint="eastAsia" w:ascii="仿宋_GB2312" w:eastAsia="仿宋_GB2312"/>
          <w:b/>
          <w:bCs/>
          <w:sz w:val="32"/>
          <w:szCs w:val="32"/>
          <w:lang w:eastAsia="zh-CN"/>
        </w:rPr>
        <w:t>）</w:t>
      </w:r>
      <w:r>
        <w:rPr>
          <w:rFonts w:hint="eastAsia" w:ascii="仿宋_GB2312" w:eastAsia="仿宋_GB2312"/>
          <w:b/>
          <w:bCs/>
          <w:sz w:val="32"/>
          <w:szCs w:val="32"/>
        </w:rPr>
        <w:t>、</w:t>
      </w:r>
      <w:r>
        <w:rPr>
          <w:rFonts w:hint="eastAsia" w:ascii="仿宋_GB2312" w:eastAsia="仿宋_GB2312"/>
          <w:b/>
          <w:bCs/>
          <w:sz w:val="32"/>
          <w:szCs w:val="32"/>
          <w:lang w:eastAsia="zh-CN"/>
        </w:rPr>
        <w:t>具体</w:t>
      </w:r>
      <w:r>
        <w:rPr>
          <w:rFonts w:hint="eastAsia" w:ascii="仿宋_GB2312" w:eastAsia="仿宋_GB2312"/>
          <w:b/>
          <w:bCs/>
          <w:sz w:val="32"/>
          <w:szCs w:val="32"/>
        </w:rPr>
        <w:t>工作开展方案</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1.设定辅导员</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合作的每所学校都指定一位辅导员，用于督导各项教学工作以及与校方保持联系，保证按时间和标准完成教学服务。</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2.课程教材选择</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lang w:eastAsia="zh-CN"/>
        </w:rPr>
        <w:t>教材方面，</w:t>
      </w:r>
      <w:r>
        <w:rPr>
          <w:rFonts w:hint="eastAsia" w:ascii="仿宋_GB2312" w:eastAsia="仿宋_GB2312"/>
          <w:sz w:val="32"/>
          <w:szCs w:val="32"/>
        </w:rPr>
        <w:t>原则上教材将全部选用教育部办公厅公布的“十三五”职业教育国家规划教材书目中的教材，并根据实际教学情况进行调整。</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教材选定后，提交相关信息交由校方进行审核并通过校方进行订购。</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3.组建联合培养教学团队</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司将根据具体合作院校组建管理和教学团队。其中院长为项目总负责人，并选定办公室主任和一位专门负责该校学生事宜的辅导员作为管理人员。用以保证与校方共同高质量完成教学任务以及学生日常管理。教师方面保证学生数与本专业专任教师数比例不高于25:1,双师素质教师占专业教师比例不低于60%。</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4.课程的研发、讲授和评估</w:t>
      </w:r>
    </w:p>
    <w:p>
      <w:pPr>
        <w:adjustRightInd w:val="0"/>
        <w:snapToGrid w:val="0"/>
        <w:spacing w:line="536" w:lineRule="exact"/>
        <w:ind w:firstLine="640" w:firstLineChars="200"/>
        <w:rPr>
          <w:rFonts w:hint="eastAsia" w:ascii="仿宋_GB2312" w:eastAsia="仿宋_GB2312"/>
          <w:sz w:val="32"/>
          <w:szCs w:val="32"/>
          <w:vertAlign w:val="superscript"/>
          <w:lang w:eastAsia="zh-CN"/>
        </w:rPr>
      </w:pPr>
      <w:r>
        <w:rPr>
          <w:rFonts w:hint="eastAsia" w:ascii="仿宋_GB2312" w:eastAsia="仿宋_GB2312"/>
          <w:sz w:val="32"/>
          <w:szCs w:val="32"/>
        </w:rPr>
        <w:t>（1）</w:t>
      </w:r>
      <w:r>
        <w:rPr>
          <w:rFonts w:hint="eastAsia" w:ascii="仿宋_GB2312" w:eastAsia="仿宋_GB2312"/>
          <w:sz w:val="32"/>
          <w:szCs w:val="32"/>
          <w:lang w:eastAsia="zh-CN"/>
        </w:rPr>
        <w:t>课程研发</w:t>
      </w:r>
      <w:r>
        <w:rPr>
          <w:rFonts w:hint="eastAsia" w:ascii="仿宋_GB2312" w:eastAsia="仿宋_GB2312"/>
          <w:sz w:val="32"/>
          <w:szCs w:val="32"/>
          <w:vertAlign w:val="superscript"/>
          <w:lang w:eastAsia="zh-CN"/>
        </w:rPr>
        <w:t>【】</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课件与教案由课程教研小组进行制定修改。编写时</w:t>
      </w:r>
      <w:r>
        <w:rPr>
          <w:rFonts w:hint="eastAsia" w:ascii="仿宋_GB2312" w:eastAsia="仿宋_GB2312"/>
          <w:sz w:val="32"/>
          <w:szCs w:val="32"/>
          <w:lang w:eastAsia="zh-CN"/>
        </w:rPr>
        <w:t>结合当前院校学生实际情况，同时</w:t>
      </w:r>
      <w:r>
        <w:rPr>
          <w:rFonts w:hint="eastAsia" w:ascii="仿宋_GB2312" w:eastAsia="仿宋_GB2312"/>
          <w:sz w:val="32"/>
          <w:szCs w:val="32"/>
        </w:rPr>
        <w:t>参考各</w:t>
      </w:r>
      <w:r>
        <w:rPr>
          <w:rFonts w:hint="eastAsia" w:ascii="仿宋_GB2312" w:eastAsia="仿宋_GB2312"/>
          <w:sz w:val="32"/>
          <w:szCs w:val="32"/>
          <w:lang w:eastAsia="zh-CN"/>
        </w:rPr>
        <w:t>兄弟院校</w:t>
      </w:r>
      <w:r>
        <w:rPr>
          <w:rFonts w:hint="eastAsia" w:ascii="仿宋_GB2312" w:eastAsia="仿宋_GB2312"/>
          <w:sz w:val="32"/>
          <w:szCs w:val="32"/>
        </w:rPr>
        <w:t>授课资料</w:t>
      </w:r>
      <w:r>
        <w:rPr>
          <w:rFonts w:hint="eastAsia" w:ascii="仿宋_GB2312" w:eastAsia="仿宋_GB2312"/>
          <w:sz w:val="32"/>
          <w:szCs w:val="32"/>
          <w:lang w:eastAsia="zh-CN"/>
        </w:rPr>
        <w:t>、重点大学信息安全专业课件以及当前业界主流技术和论文等</w:t>
      </w:r>
      <w:r>
        <w:rPr>
          <w:rFonts w:hint="eastAsia" w:ascii="仿宋_GB2312" w:eastAsia="仿宋_GB2312"/>
          <w:sz w:val="32"/>
          <w:szCs w:val="32"/>
        </w:rPr>
        <w:t>。</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2</w:t>
      </w:r>
      <w:r>
        <w:rPr>
          <w:rFonts w:hint="eastAsia" w:ascii="仿宋_GB2312" w:eastAsia="仿宋_GB2312"/>
          <w:sz w:val="32"/>
          <w:szCs w:val="32"/>
          <w:lang w:eastAsia="zh-CN"/>
        </w:rPr>
        <w:t>）教师聘请</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司将聘请包括专任教师、专业带头人、兼职教师等教师组件教学团队。其中专任教师具有高校教师资格;有理想信念、有道德情操、有扎实学识、有仁爱之心;具有计算机科学与技术、软件工程、网络工程、信息安全等相关专业本科及以上学历;具有扎实的本专业相关理论功底和实践能力;具有较强信息化教学能力，能够开展课程教学改革和科学研究;有每5年累计不少于6个月的企业实践经历。</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default" w:ascii="仿宋_GB2312" w:eastAsia="仿宋_GB2312"/>
          <w:sz w:val="32"/>
          <w:szCs w:val="32"/>
          <w:lang w:val="en-US" w:eastAsia="zh-CN"/>
        </w:rPr>
        <w:t>专业带头人原则上具有副高及以上职称，能够较好地把握国内外信息安全行业、专业</w:t>
      </w:r>
      <w:r>
        <w:rPr>
          <w:rFonts w:hint="eastAsia" w:ascii="仿宋_GB2312" w:eastAsia="仿宋_GB2312"/>
          <w:sz w:val="32"/>
          <w:szCs w:val="32"/>
          <w:lang w:val="en-US" w:eastAsia="zh-CN"/>
        </w:rPr>
        <w:t>发展，能广泛联系行业企业，了解行业企业对本专业人才的需求实际，教学设计、专业研究能力强，组织开展教科研工作能力强，在本区域或本领域具有一定的专业影响力。</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val="en-US" w:eastAsia="zh-CN"/>
        </w:rPr>
        <w:t>兼职教师主要从本专业相关的行业企业聘任，具备良好的思想政治素质、职业道德和工兼职教师主要从本专业相关的行业企业聘任，具备良好的思想政治素质、职业道德和工匠精神，具有扎实的专业知识和丰富的实际工作经验，具有中级及以上相关专业职称，能承担专业课程教学、实习实训指导和学生职业发展规划指导等教学任务。</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3</w:t>
      </w:r>
      <w:r>
        <w:rPr>
          <w:rFonts w:hint="eastAsia" w:ascii="仿宋_GB2312" w:eastAsia="仿宋_GB2312"/>
          <w:sz w:val="32"/>
          <w:szCs w:val="32"/>
          <w:lang w:eastAsia="zh-CN"/>
        </w:rPr>
        <w:t>）课程讲授</w:t>
      </w:r>
    </w:p>
    <w:p>
      <w:pPr>
        <w:adjustRightInd w:val="0"/>
        <w:snapToGrid w:val="0"/>
        <w:spacing w:line="536"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lang w:eastAsia="zh-CN"/>
        </w:rPr>
        <w:t>教务处将会根据教师专业方向和时间安排课程。教师需要做到每次上课前提前备课，并且保证课堂上讲解的内容正确无争议。同时实时观察学生反馈，并动态调整上课方式与内容。</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（4）教师课酬发放</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公司将根据教师上课情况对教师课酬进行发放。具体政策需进一步确认。</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（5）教学质量评估</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教师授课时将会进行教学质量评估，评估包括课前评估、课中巡查、课后检查等三个方面。</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lang w:eastAsia="zh-CN"/>
        </w:rPr>
        <w:t>课前评估。</w:t>
      </w:r>
      <w:r>
        <w:rPr>
          <w:rFonts w:hint="eastAsia" w:ascii="仿宋_GB2312" w:eastAsia="仿宋_GB2312"/>
          <w:sz w:val="32"/>
          <w:szCs w:val="32"/>
        </w:rPr>
        <w:t>课前教师应完成本门课程课件制作与教案的编写由教学主任检查并留底保存。</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课中巡查</w:t>
      </w:r>
      <w:r>
        <w:rPr>
          <w:rFonts w:hint="eastAsia" w:ascii="仿宋_GB2312" w:eastAsia="仿宋_GB2312"/>
          <w:sz w:val="32"/>
          <w:szCs w:val="32"/>
          <w:lang w:eastAsia="zh-CN"/>
        </w:rPr>
        <w:t>。</w:t>
      </w:r>
      <w:r>
        <w:rPr>
          <w:rFonts w:hint="eastAsia" w:ascii="仿宋_GB2312" w:eastAsia="仿宋_GB2312"/>
          <w:sz w:val="32"/>
          <w:szCs w:val="32"/>
        </w:rPr>
        <w:t>教师上课途中，院长、教学主任、当地校领导等人员</w:t>
      </w:r>
      <w:r>
        <w:rPr>
          <w:rFonts w:hint="eastAsia" w:ascii="仿宋_GB2312" w:eastAsia="仿宋_GB2312"/>
          <w:sz w:val="32"/>
          <w:szCs w:val="32"/>
          <w:lang w:eastAsia="zh-CN"/>
        </w:rPr>
        <w:t>将</w:t>
      </w:r>
      <w:r>
        <w:rPr>
          <w:rFonts w:hint="eastAsia" w:ascii="仿宋_GB2312" w:eastAsia="仿宋_GB2312"/>
          <w:sz w:val="32"/>
          <w:szCs w:val="32"/>
        </w:rPr>
        <w:t>随机进行抽查，根据上课状态、课堂气氛等进行评估</w:t>
      </w:r>
    </w:p>
    <w:p>
      <w:pPr>
        <w:adjustRightInd w:val="0"/>
        <w:snapToGrid w:val="0"/>
        <w:spacing w:line="536" w:lineRule="exact"/>
        <w:ind w:firstLine="640" w:firstLineChars="200"/>
        <w:rPr>
          <w:rFonts w:hint="eastAsia" w:ascii="仿宋_GB2312" w:eastAsia="仿宋_GB2312"/>
          <w:sz w:val="32"/>
          <w:szCs w:val="32"/>
        </w:rPr>
      </w:pPr>
      <w:r>
        <w:rPr>
          <w:rFonts w:hint="eastAsia" w:ascii="仿宋_GB2312" w:eastAsia="仿宋_GB2312"/>
          <w:sz w:val="32"/>
          <w:szCs w:val="32"/>
        </w:rPr>
        <w:t>课后检查</w:t>
      </w:r>
      <w:r>
        <w:rPr>
          <w:rFonts w:hint="eastAsia" w:ascii="仿宋_GB2312" w:eastAsia="仿宋_GB2312"/>
          <w:sz w:val="32"/>
          <w:szCs w:val="32"/>
          <w:lang w:eastAsia="zh-CN"/>
        </w:rPr>
        <w:t>。</w:t>
      </w:r>
      <w:r>
        <w:rPr>
          <w:rFonts w:hint="eastAsia" w:ascii="仿宋_GB2312" w:eastAsia="仿宋_GB2312"/>
          <w:sz w:val="32"/>
          <w:szCs w:val="32"/>
        </w:rPr>
        <w:t>教师课后应及时填写教学反馈表交由教务处，同时及时与教务处以及校方负责人反馈上课情况。</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6</w:t>
      </w:r>
      <w:r>
        <w:rPr>
          <w:rFonts w:hint="eastAsia" w:ascii="仿宋_GB2312" w:eastAsia="仿宋_GB2312"/>
          <w:sz w:val="32"/>
          <w:szCs w:val="32"/>
          <w:lang w:eastAsia="zh-CN"/>
        </w:rPr>
        <w:t>）上级单位检查评估工作</w:t>
      </w:r>
    </w:p>
    <w:p>
      <w:pPr>
        <w:adjustRightInd w:val="0"/>
        <w:snapToGrid w:val="0"/>
        <w:spacing w:line="536" w:lineRule="exact"/>
        <w:ind w:firstLine="640" w:firstLineChars="200"/>
        <w:rPr>
          <w:rFonts w:hint="eastAsia" w:ascii="仿宋_GB2312" w:eastAsia="仿宋_GB2312"/>
          <w:sz w:val="32"/>
          <w:szCs w:val="32"/>
          <w:lang w:eastAsia="zh-CN"/>
        </w:rPr>
      </w:pPr>
      <w:r>
        <w:rPr>
          <w:rFonts w:hint="eastAsia" w:ascii="仿宋_GB2312" w:eastAsia="仿宋_GB2312"/>
          <w:sz w:val="32"/>
          <w:szCs w:val="32"/>
          <w:lang w:val="en-US" w:eastAsia="zh-CN"/>
        </w:rPr>
        <w:t>办公室主任与辅导员应积极帮助校方完成</w:t>
      </w:r>
      <w:r>
        <w:rPr>
          <w:rFonts w:hint="eastAsia" w:ascii="仿宋_GB2312" w:eastAsia="仿宋_GB2312"/>
          <w:sz w:val="32"/>
          <w:szCs w:val="32"/>
          <w:lang w:eastAsia="zh-CN"/>
        </w:rPr>
        <w:t>上级单位检查评估工作，需要做的工作包括但不限于与汇总教师资质材料、教学计划、教学成果等。</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5.招生宣传工作</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学校辅导员与教务处应协助校方完成招生宣传工作，并积极回答学生有关咨询。</w:t>
      </w:r>
    </w:p>
    <w:p>
      <w:pPr>
        <w:adjustRightInd w:val="0"/>
        <w:snapToGrid w:val="0"/>
        <w:spacing w:line="536"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6.建立奖、助学金制度</w:t>
      </w:r>
    </w:p>
    <w:p>
      <w:pPr>
        <w:adjustRightInd w:val="0"/>
        <w:snapToGrid w:val="0"/>
        <w:spacing w:line="536"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lang w:val="en-US" w:eastAsia="zh-CN"/>
        </w:rPr>
        <w:t>将在试点专业班级中设立评优评先奖学金制度，用以表彰和奖励优秀学生。具体政策根据班级实际人数决定。同时对于家庭贫困的学生进行一定的资助。以上奖、助学金政策只针对试点班级缴费学生。</w:t>
      </w:r>
      <w:bookmarkStart w:id="0" w:name="_GoBack"/>
      <w:bookmarkEnd w:id="0"/>
    </w:p>
    <w:p>
      <w:pPr>
        <w:adjustRightInd w:val="0"/>
        <w:snapToGrid w:val="0"/>
        <w:spacing w:line="536" w:lineRule="exact"/>
        <w:ind w:firstLine="643" w:firstLineChars="200"/>
        <w:rPr>
          <w:rFonts w:hint="eastAsia" w:ascii="仿宋_GB2312" w:eastAsia="仿宋_GB2312"/>
          <w:b/>
          <w:bCs/>
          <w:sz w:val="32"/>
          <w:szCs w:val="32"/>
        </w:rPr>
      </w:pPr>
      <w:r>
        <w:rPr>
          <w:rFonts w:hint="eastAsia" w:ascii="仿宋_GB2312" w:eastAsia="仿宋_GB2312"/>
          <w:b/>
          <w:bCs/>
          <w:sz w:val="32"/>
          <w:szCs w:val="32"/>
        </w:rPr>
        <w:t>人才培养方案</w:t>
      </w:r>
    </w:p>
    <w:p>
      <w:pPr>
        <w:adjustRightInd w:val="0"/>
        <w:snapToGrid w:val="0"/>
        <w:spacing w:line="536" w:lineRule="exact"/>
        <w:ind w:firstLine="643" w:firstLineChars="200"/>
        <w:rPr>
          <w:rFonts w:ascii="仿宋_GB2312" w:eastAsia="仿宋_GB2312"/>
          <w:b/>
          <w:bCs/>
          <w:sz w:val="32"/>
          <w:szCs w:val="32"/>
        </w:rPr>
      </w:pPr>
      <w:r>
        <w:rPr>
          <w:rFonts w:hint="eastAsia" w:ascii="仿宋_GB2312" w:eastAsia="仿宋_GB2312"/>
          <w:b/>
          <w:bCs/>
          <w:sz w:val="32"/>
          <w:szCs w:val="32"/>
        </w:rPr>
        <w:t>一、专业名称及代码</w:t>
      </w:r>
    </w:p>
    <w:p>
      <w:pPr>
        <w:adjustRightInd w:val="0"/>
        <w:snapToGrid w:val="0"/>
        <w:spacing w:line="536" w:lineRule="exact"/>
        <w:ind w:firstLine="640" w:firstLineChars="200"/>
        <w:rPr>
          <w:rFonts w:ascii="仿宋_GB2312" w:eastAsia="仿宋_GB2312"/>
          <w:sz w:val="32"/>
          <w:szCs w:val="32"/>
        </w:rPr>
      </w:pPr>
      <w:r>
        <w:rPr>
          <w:rFonts w:hint="eastAsia" w:ascii="仿宋_GB2312" w:eastAsia="仿宋_GB2312"/>
          <w:sz w:val="32"/>
          <w:szCs w:val="32"/>
        </w:rPr>
        <w:t>信息安全专业，代码</w:t>
      </w:r>
    </w:p>
    <w:p>
      <w:pPr>
        <w:adjustRightInd w:val="0"/>
        <w:snapToGrid w:val="0"/>
        <w:spacing w:line="536" w:lineRule="exact"/>
        <w:ind w:firstLine="643" w:firstLineChars="200"/>
        <w:rPr>
          <w:rFonts w:ascii="仿宋_GB2312" w:eastAsia="仿宋_GB2312"/>
          <w:b/>
          <w:bCs/>
          <w:sz w:val="32"/>
          <w:szCs w:val="32"/>
        </w:rPr>
      </w:pPr>
      <w:r>
        <w:rPr>
          <w:rFonts w:hint="eastAsia" w:ascii="仿宋_GB2312" w:eastAsia="仿宋_GB2312"/>
          <w:b/>
          <w:bCs/>
          <w:sz w:val="32"/>
          <w:szCs w:val="32"/>
        </w:rPr>
        <w:t>二、入学要求</w:t>
      </w:r>
    </w:p>
    <w:p>
      <w:pPr>
        <w:adjustRightInd w:val="0"/>
        <w:snapToGrid w:val="0"/>
        <w:spacing w:line="536"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学院录取新生</w:t>
      </w:r>
    </w:p>
    <w:p>
      <w:pPr>
        <w:adjustRightInd w:val="0"/>
        <w:snapToGrid w:val="0"/>
        <w:spacing w:line="536" w:lineRule="exact"/>
        <w:ind w:firstLine="643" w:firstLineChars="200"/>
        <w:rPr>
          <w:rFonts w:ascii="Times New Roman" w:hAnsi="Times New Roman" w:eastAsia="仿宋_GB2312"/>
          <w:b/>
          <w:bCs/>
          <w:sz w:val="32"/>
          <w:szCs w:val="32"/>
        </w:rPr>
      </w:pPr>
      <w:r>
        <w:rPr>
          <w:rFonts w:hint="eastAsia" w:ascii="Times New Roman" w:hAnsi="Times New Roman" w:eastAsia="仿宋_GB2312"/>
          <w:b/>
          <w:bCs/>
          <w:sz w:val="32"/>
          <w:szCs w:val="32"/>
        </w:rPr>
        <w:t>三、修业年限与毕业证</w:t>
      </w:r>
    </w:p>
    <w:p>
      <w:pPr>
        <w:adjustRightInd w:val="0"/>
        <w:snapToGrid w:val="0"/>
        <w:spacing w:line="536"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基本修业年限三年，毕业后取得两个毕业证书。</w:t>
      </w:r>
    </w:p>
    <w:p>
      <w:pPr>
        <w:adjustRightInd w:val="0"/>
        <w:snapToGrid w:val="0"/>
        <w:spacing w:line="536"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即：学院全日制专科毕业证、南昌大学信息安全专业自考本科毕业证</w:t>
      </w:r>
    </w:p>
    <w:p>
      <w:pPr>
        <w:rPr>
          <w:rFonts w:hint="eastAsia" w:ascii="仿宋_GB2312" w:eastAsia="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D3"/>
    <w:rsid w:val="000A01B3"/>
    <w:rsid w:val="0010372D"/>
    <w:rsid w:val="0019746B"/>
    <w:rsid w:val="001C6FD3"/>
    <w:rsid w:val="001E5396"/>
    <w:rsid w:val="001F734D"/>
    <w:rsid w:val="002170CF"/>
    <w:rsid w:val="002744F1"/>
    <w:rsid w:val="003B2C07"/>
    <w:rsid w:val="003C256B"/>
    <w:rsid w:val="0040267D"/>
    <w:rsid w:val="00455F74"/>
    <w:rsid w:val="005145D5"/>
    <w:rsid w:val="005F6605"/>
    <w:rsid w:val="006047E2"/>
    <w:rsid w:val="006456C4"/>
    <w:rsid w:val="00733D81"/>
    <w:rsid w:val="00972A40"/>
    <w:rsid w:val="00A31C93"/>
    <w:rsid w:val="00BF1446"/>
    <w:rsid w:val="00C26B72"/>
    <w:rsid w:val="00CA2BB9"/>
    <w:rsid w:val="00D36DAB"/>
    <w:rsid w:val="00D65530"/>
    <w:rsid w:val="00DD7367"/>
    <w:rsid w:val="00E2063D"/>
    <w:rsid w:val="00E22754"/>
    <w:rsid w:val="00E414D2"/>
    <w:rsid w:val="00E77788"/>
    <w:rsid w:val="00F8459B"/>
    <w:rsid w:val="00FD582A"/>
    <w:rsid w:val="75F93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rFonts w:eastAsia="宋体"/>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customStyle="1" w:styleId="6">
    <w:name w:val="标题 1 字符"/>
    <w:basedOn w:val="5"/>
    <w:link w:val="2"/>
    <w:qFormat/>
    <w:uiPriority w:val="9"/>
    <w:rPr>
      <w:rFonts w:eastAsia="宋体"/>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187</Words>
  <Characters>1070</Characters>
  <Lines>8</Lines>
  <Paragraphs>2</Paragraphs>
  <TotalTime>7</TotalTime>
  <ScaleCrop>false</ScaleCrop>
  <LinksUpToDate>false</LinksUpToDate>
  <CharactersWithSpaces>1255</CharactersWithSpaces>
  <Application>WPS Office_11.3.0.8585_F1E327BC-269C-435d-A152-05C5408002CA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2021-04-16T02:07:00Z</dcterms:created>
  <dc:creator>qwc</dc:creator>
  <cp:lastModifiedBy>pc</cp:lastModifiedBy>
  <dcterms:modified xsi:type="dcterms:W3CDTF">2021-04-17T19:43:33Z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2052-11.3.0.8585</vt:lpwstr>
  </property>
</Properties>
</file>