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3A7BD">
      <w:pPr>
        <w:ind w:firstLine="1470" w:firstLineChars="700"/>
        <w:rPr>
          <w:rFonts w:hint="eastAsia"/>
        </w:rPr>
      </w:pPr>
      <w:r>
        <w:rPr>
          <w:rFonts w:hint="eastAsia"/>
        </w:rPr>
        <w:t>湖南郴州自由贸易试验区发展成效与挑战调查方案</w:t>
      </w:r>
    </w:p>
    <w:p w14:paraId="182B4E58">
      <w:pPr>
        <w:rPr>
          <w:rFonts w:hint="eastAsia"/>
        </w:rPr>
      </w:pPr>
    </w:p>
    <w:p w14:paraId="276D00CE">
      <w:pPr>
        <w:rPr>
          <w:rFonts w:hint="eastAsia"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bCs/>
          <w:lang w:eastAsia="zh-CN"/>
        </w:rPr>
        <w:t>调查目的和任务</w:t>
      </w:r>
      <w:r>
        <w:rPr>
          <w:rFonts w:hint="eastAsia"/>
        </w:rPr>
        <w:t xml:space="preserve">  </w:t>
      </w:r>
    </w:p>
    <w:p w14:paraId="54046B4E">
      <w:pPr>
        <w:rPr>
          <w:rFonts w:hint="eastAsia"/>
        </w:rPr>
      </w:pPr>
      <w:r>
        <w:rPr>
          <w:rFonts w:hint="eastAsia"/>
        </w:rPr>
        <w:t>中国（湖南郴州）自由贸易试验区作为湘南地区对接粤港澳大湾区的核心平台，自2020年9月获批以来，以制度创新为驱动，聚焦“湘粤港澳直通”定位，在跨境贸易、产业升级与区域协同领域取得显著进展。本调查旨在系统评估片区政策实施成效、产业发展质量、营商环境优化程度及区域辐射效应，为片区高质量发展提供数据支撑与决策参考。</w:t>
      </w:r>
    </w:p>
    <w:p w14:paraId="21D29A16">
      <w:pPr>
        <w:rPr>
          <w:rFonts w:hint="eastAsia"/>
        </w:rPr>
      </w:pPr>
    </w:p>
    <w:p w14:paraId="43595CCD">
      <w:pPr>
        <w:rPr>
          <w:rFonts w:hint="eastAsia"/>
        </w:rPr>
      </w:pPr>
      <w:r>
        <w:rPr>
          <w:rFonts w:hint="eastAsia"/>
          <w:b/>
          <w:bCs/>
        </w:rPr>
        <w:t>二、调查方法：</w:t>
      </w:r>
      <w:r>
        <w:rPr>
          <w:rFonts w:hint="eastAsia"/>
        </w:rPr>
        <w:t xml:space="preserve">  </w:t>
      </w:r>
    </w:p>
    <w:p w14:paraId="1C4BFB6D">
      <w:pPr>
        <w:ind w:left="420" w:hanging="420" w:hangingChars="2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1．</w:t>
      </w:r>
      <w:r>
        <w:rPr>
          <w:rFonts w:hint="eastAsia"/>
        </w:rPr>
        <w:t xml:space="preserve">问卷调查：设计结构化问卷（含企业通关时效、政策知晓率、成本变化等指标），通过“问卷星”线上发放与线下走访结合，覆盖片区内外贸企业、物流企业及跨境电商，确保样本覆盖不同规模与行业类型。  </w:t>
      </w:r>
    </w:p>
    <w:p w14:paraId="62B51796">
      <w:pPr>
        <w:ind w:left="630" w:hanging="630" w:hangingChars="3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深度访谈：联合郴州片区管委会、郴州海关等部门，对政策制定者与执行者开展半</w:t>
      </w:r>
    </w:p>
    <w:p w14:paraId="30080FA2">
      <w:pPr>
        <w:ind w:left="630" w:leftChars="200" w:hanging="210" w:hangingChars="100"/>
        <w:rPr>
          <w:rFonts w:hint="eastAsia"/>
        </w:rPr>
      </w:pPr>
      <w:r>
        <w:rPr>
          <w:rFonts w:hint="eastAsia"/>
        </w:rPr>
        <w:t xml:space="preserve">构化访谈，挖掘政策实施细节与典型案例。  </w:t>
      </w:r>
    </w:p>
    <w:p w14:paraId="721A822C">
      <w:pPr>
        <w:ind w:left="630" w:hanging="630" w:hangingChars="3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  </w:t>
      </w:r>
      <w:r>
        <w:rPr>
          <w:rFonts w:hint="eastAsia"/>
        </w:rPr>
        <w:t>数据分析：收集片区企业通关时间、物流成本、融资规模等数据，进行政策实施前</w:t>
      </w:r>
    </w:p>
    <w:p w14:paraId="39C4A191">
      <w:pPr>
        <w:ind w:left="630" w:leftChars="200" w:hanging="210" w:hangingChars="100"/>
        <w:rPr>
          <w:rFonts w:hint="eastAsia"/>
        </w:rPr>
      </w:pPr>
      <w:r>
        <w:rPr>
          <w:rFonts w:hint="eastAsia"/>
        </w:rPr>
        <w:t xml:space="preserve">的纵向对比，并横向对比其他自贸区（如广州南沙、深圳前海）同类政策效果。  </w:t>
      </w:r>
    </w:p>
    <w:p w14:paraId="351432BB">
      <w:pPr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可行性</w:t>
      </w:r>
      <w:r>
        <w:rPr>
          <w:rFonts w:hint="eastAsia"/>
          <w:lang w:eastAsia="zh-CN"/>
        </w:rPr>
        <w:t>：</w:t>
      </w:r>
    </w:p>
    <w:p w14:paraId="0112B180">
      <w:pPr>
        <w:rPr>
          <w:rFonts w:hint="eastAsia"/>
        </w:rPr>
      </w:pPr>
      <w:r>
        <w:rPr>
          <w:rFonts w:hint="eastAsia"/>
        </w:rPr>
        <w:t>本方案已充分考虑实地调查可行性，调研组具备郴州片区准入条件，并已与片区管委会建立前期沟通渠道，确保调研顺利实施。</w:t>
      </w:r>
    </w:p>
    <w:p w14:paraId="55BD7BC3">
      <w:pPr>
        <w:rPr>
          <w:rFonts w:hint="eastAsia"/>
        </w:rPr>
      </w:pPr>
    </w:p>
    <w:p w14:paraId="0C30D203">
      <w:pPr>
        <w:numPr>
          <w:numId w:val="0"/>
        </w:numPr>
        <w:rPr>
          <w:rFonts w:hint="eastAsia"/>
        </w:rPr>
      </w:pPr>
      <w:r>
        <w:rPr>
          <w:rFonts w:hint="eastAsia"/>
          <w:b/>
          <w:bCs/>
          <w:lang w:val="en-US" w:eastAsia="zh-CN"/>
        </w:rPr>
        <w:t>三．调查对象和调查单位</w:t>
      </w:r>
      <w:r>
        <w:rPr>
          <w:rFonts w:hint="eastAsia"/>
          <w:b/>
          <w:bCs/>
        </w:rPr>
        <w:t>：</w:t>
      </w:r>
      <w:r>
        <w:rPr>
          <w:rFonts w:hint="eastAsia"/>
        </w:rPr>
        <w:t xml:space="preserve"> </w:t>
      </w:r>
    </w:p>
    <w:p w14:paraId="0BEA41B8">
      <w:pPr>
        <w:numPr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确定以湖南省郴州市自贸区作为调查对象，以当地政府农业企业消费者作为调查单位。</w:t>
      </w:r>
    </w:p>
    <w:p w14:paraId="720E4AEC">
      <w:pPr>
        <w:numPr>
          <w:numId w:val="0"/>
        </w:numPr>
        <w:rPr>
          <w:rFonts w:hint="eastAsia"/>
          <w:lang w:eastAsia="zh-CN"/>
        </w:rPr>
      </w:pPr>
    </w:p>
    <w:p w14:paraId="04FE8FB1">
      <w:pPr>
        <w:numPr>
          <w:ilvl w:val="0"/>
          <w:numId w:val="1"/>
        </w:numPr>
        <w:ind w:left="0" w:leftChars="0" w:firstLineChars="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调查项目：</w:t>
      </w:r>
      <w:r>
        <w:rPr>
          <w:rFonts w:hint="eastAsia"/>
        </w:rPr>
        <w:t xml:space="preserve"> </w:t>
      </w:r>
    </w:p>
    <w:p w14:paraId="5815F713">
      <w:pPr>
        <w:numPr>
          <w:numId w:val="0"/>
        </w:numPr>
        <w:rPr>
          <w:rFonts w:hint="eastAsia"/>
        </w:rPr>
      </w:pPr>
      <w:bookmarkStart w:id="0" w:name="_GoBack"/>
      <w:bookmarkEnd w:id="0"/>
      <w:r>
        <w:rPr>
          <w:rFonts w:hint="eastAsia"/>
          <w:lang w:val="en-US" w:eastAsia="zh-CN"/>
        </w:rPr>
        <w:t>1.</w:t>
      </w:r>
      <w:r>
        <w:rPr>
          <w:rFonts w:hint="eastAsia"/>
        </w:rPr>
        <w:t>政策对区内企业运营成本、通关效率、跨境贸易便利化的实际影响程度</w:t>
      </w:r>
    </w:p>
    <w:p w14:paraId="3AFA0B3A"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区内主导产业（如有色金属加工、跨境电商、现代物流）的集聚效应显著</w:t>
      </w:r>
      <w:r>
        <w:rPr>
          <w:rFonts w:hint="eastAsia"/>
          <w:lang w:val="en-US" w:eastAsia="zh-CN"/>
        </w:rPr>
        <w:t>与否</w:t>
      </w:r>
    </w:p>
    <w:p w14:paraId="1265866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企业对区内行政审批效率、法治保障、知识产权保护的评价</w:t>
      </w:r>
    </w:p>
    <w:p w14:paraId="05B615D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郴州自贸片区与周边地区（如湘南地区、粤港澳大湾区）的联动机制</w:t>
      </w:r>
    </w:p>
    <w:p w14:paraId="612161B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片区发展对当地就业、居民收入、基础设施建设的带动作用</w:t>
      </w:r>
    </w:p>
    <w:p w14:paraId="245CA3F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</w:rPr>
        <w:t>区内企业面临的主要瓶颈（如物流成本、融资难题、技术壁垒）</w:t>
      </w:r>
    </w:p>
    <w:p w14:paraId="04EBC40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</w:rPr>
        <w:t>郴州自贸片区未来在差异化发展、风险防控、可持续发展方面的规划是什么？</w:t>
      </w:r>
    </w:p>
    <w:p w14:paraId="11250D0B">
      <w:pPr>
        <w:rPr>
          <w:rFonts w:hint="eastAsia"/>
        </w:rPr>
      </w:pPr>
      <w:r>
        <w:rPr>
          <w:rFonts w:hint="eastAsia"/>
        </w:rPr>
        <w:t xml:space="preserve">  - 主导产业集聚效应：分析有色金属加工、跨境电商、现代物流等产业产值占比、龙头企业带动作用及产业链完整度，评估“两图五库”招商机制成效。  </w:t>
      </w:r>
    </w:p>
    <w:p w14:paraId="0D7EF3E2">
      <w:pPr>
        <w:rPr>
          <w:rFonts w:hint="eastAsia"/>
        </w:rPr>
      </w:pPr>
      <w:r>
        <w:rPr>
          <w:rFonts w:hint="eastAsia"/>
        </w:rPr>
        <w:t xml:space="preserve">  - 粤港澳大湾区产业转移承接：研判片区招商引资项目与大湾区产业链协同水平，识别潜在短板（如技术合作深度、供应链配套率）。 </w:t>
      </w:r>
    </w:p>
    <w:p w14:paraId="420AA5F8">
      <w:pPr>
        <w:rPr>
          <w:rFonts w:hint="eastAsia"/>
        </w:rPr>
      </w:pPr>
    </w:p>
    <w:p w14:paraId="487A6B86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调查表：</w:t>
      </w:r>
    </w:p>
    <w:tbl>
      <w:tblPr>
        <w:tblStyle w:val="3"/>
        <w:tblpPr w:leftFromText="180" w:rightFromText="180" w:vertAnchor="text" w:horzAnchor="page" w:tblpX="634" w:tblpY="813"/>
        <w:tblOverlap w:val="never"/>
        <w:tblW w:w="17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2094"/>
        <w:gridCol w:w="6699"/>
        <w:gridCol w:w="6699"/>
      </w:tblGrid>
      <w:tr w14:paraId="393661DF">
        <w:trPr>
          <w:trHeight w:val="2009" w:hRule="atLeast"/>
        </w:trPr>
        <w:tc>
          <w:tcPr>
            <w:tcW w:w="2005" w:type="dxa"/>
            <w:vMerge w:val="restart"/>
            <w:vAlign w:val="center"/>
          </w:tcPr>
          <w:p w14:paraId="7ED6805E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郴州自贸区发展挑战调查</w:t>
            </w:r>
          </w:p>
        </w:tc>
        <w:tc>
          <w:tcPr>
            <w:tcW w:w="2094" w:type="dxa"/>
            <w:vAlign w:val="center"/>
          </w:tcPr>
          <w:p w14:paraId="06078559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政策痛点与执行壁垒</w:t>
            </w:r>
          </w:p>
        </w:tc>
        <w:tc>
          <w:tcPr>
            <w:tcW w:w="6699" w:type="dxa"/>
            <w:vAlign w:val="center"/>
          </w:tcPr>
          <w:p w14:paraId="699349B9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20560F63">
            <w:pPr>
              <w:jc w:val="both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7C39EE27">
        <w:trPr>
          <w:trHeight w:val="2009" w:hRule="atLeast"/>
        </w:trPr>
        <w:tc>
          <w:tcPr>
            <w:tcW w:w="2005" w:type="dxa"/>
            <w:vMerge w:val="continue"/>
            <w:vAlign w:val="center"/>
          </w:tcPr>
          <w:p w14:paraId="194C5D55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21A54B6A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要素支撑与配套短板</w:t>
            </w:r>
          </w:p>
        </w:tc>
        <w:tc>
          <w:tcPr>
            <w:tcW w:w="6699" w:type="dxa"/>
            <w:vAlign w:val="center"/>
          </w:tcPr>
          <w:p w14:paraId="5D4AEA90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62891F57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425D231D">
        <w:trPr>
          <w:trHeight w:val="2009" w:hRule="atLeast"/>
        </w:trPr>
        <w:tc>
          <w:tcPr>
            <w:tcW w:w="2005" w:type="dxa"/>
            <w:vMerge w:val="restart"/>
            <w:vAlign w:val="center"/>
          </w:tcPr>
          <w:p w14:paraId="380EF33F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郴州自贸区发展成效调查</w:t>
            </w:r>
          </w:p>
        </w:tc>
        <w:tc>
          <w:tcPr>
            <w:tcW w:w="2094" w:type="dxa"/>
            <w:vAlign w:val="center"/>
          </w:tcPr>
          <w:p w14:paraId="30967EEC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制度创新与落地情况</w:t>
            </w:r>
          </w:p>
        </w:tc>
        <w:tc>
          <w:tcPr>
            <w:tcW w:w="6699" w:type="dxa"/>
            <w:vAlign w:val="center"/>
          </w:tcPr>
          <w:p w14:paraId="188FDEB5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2F587F04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48FB1389">
        <w:trPr>
          <w:trHeight w:val="2009" w:hRule="atLeast"/>
        </w:trPr>
        <w:tc>
          <w:tcPr>
            <w:tcW w:w="2005" w:type="dxa"/>
            <w:vMerge w:val="continue"/>
            <w:vAlign w:val="center"/>
          </w:tcPr>
          <w:p w14:paraId="0372C158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646FF3EE">
            <w:pPr>
              <w:jc w:val="both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产业集聚与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val="en-US" w:eastAsia="zh-CN"/>
              </w:rPr>
              <w:t>链式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发展</w:t>
            </w:r>
          </w:p>
        </w:tc>
        <w:tc>
          <w:tcPr>
            <w:tcW w:w="6699" w:type="dxa"/>
            <w:vAlign w:val="center"/>
          </w:tcPr>
          <w:p w14:paraId="35EDDCAF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215D32AC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523E91D8">
        <w:trPr>
          <w:trHeight w:val="2009" w:hRule="atLeast"/>
        </w:trPr>
        <w:tc>
          <w:tcPr>
            <w:tcW w:w="2005" w:type="dxa"/>
            <w:vMerge w:val="continue"/>
            <w:vAlign w:val="center"/>
          </w:tcPr>
          <w:p w14:paraId="5BE3FBF7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1E267CA2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开放能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val="en-US" w:eastAsia="zh-CN"/>
              </w:rPr>
              <w:t>级</w:t>
            </w: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与区域联动</w:t>
            </w:r>
          </w:p>
        </w:tc>
        <w:tc>
          <w:tcPr>
            <w:tcW w:w="6699" w:type="dxa"/>
            <w:vAlign w:val="center"/>
          </w:tcPr>
          <w:p w14:paraId="458825CC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271EB087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3661D2EF">
        <w:trPr>
          <w:trHeight w:val="328" w:hRule="atLeast"/>
        </w:trPr>
        <w:tc>
          <w:tcPr>
            <w:tcW w:w="2005" w:type="dxa"/>
            <w:vMerge w:val="continue"/>
            <w:vAlign w:val="center"/>
          </w:tcPr>
          <w:p w14:paraId="227F42E8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07369068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534E9C41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7F22967A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1DE5E0F7">
        <w:trPr>
          <w:trHeight w:val="90" w:hRule="atLeast"/>
        </w:trPr>
        <w:tc>
          <w:tcPr>
            <w:tcW w:w="2005" w:type="dxa"/>
            <w:vMerge w:val="continue"/>
            <w:vAlign w:val="center"/>
          </w:tcPr>
          <w:p w14:paraId="22EF2753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4BC45200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458AA257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6BA907FD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12FD1AED">
        <w:trPr>
          <w:trHeight w:val="90" w:hRule="atLeast"/>
        </w:trPr>
        <w:tc>
          <w:tcPr>
            <w:tcW w:w="2005" w:type="dxa"/>
            <w:vMerge w:val="continue"/>
            <w:vAlign w:val="center"/>
          </w:tcPr>
          <w:p w14:paraId="1D8DA5DF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5E2122D1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38419EB7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33B27A45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6A4618E5">
        <w:trPr>
          <w:trHeight w:val="2119" w:hRule="atLeast"/>
        </w:trPr>
        <w:tc>
          <w:tcPr>
            <w:tcW w:w="2005" w:type="dxa"/>
            <w:vMerge w:val="restart"/>
            <w:vAlign w:val="center"/>
          </w:tcPr>
          <w:p w14:paraId="73DC055A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</w:pPr>
            <w:r>
              <w:rPr>
                <w:rFonts w:hint="eastAsia" w:ascii="楷体" w:hAnsi="楷体" w:eastAsia="楷体" w:cs="楷体"/>
                <w:kern w:val="0"/>
                <w:sz w:val="24"/>
                <w:szCs w:val="20"/>
                <w:lang w:eastAsia="zh-CN"/>
              </w:rPr>
              <w:t>郴州自贸区未来规划</w:t>
            </w:r>
          </w:p>
        </w:tc>
        <w:tc>
          <w:tcPr>
            <w:tcW w:w="2094" w:type="dxa"/>
            <w:vAlign w:val="center"/>
          </w:tcPr>
          <w:p w14:paraId="5AC64BF3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045C85AB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4F5BA81C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  <w:tr w14:paraId="0E480B85">
        <w:trPr>
          <w:trHeight w:val="99" w:hRule="atLeast"/>
        </w:trPr>
        <w:tc>
          <w:tcPr>
            <w:tcW w:w="2005" w:type="dxa"/>
            <w:vMerge w:val="continue"/>
            <w:vAlign w:val="center"/>
          </w:tcPr>
          <w:p w14:paraId="1E00B5B7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2094" w:type="dxa"/>
            <w:vAlign w:val="center"/>
          </w:tcPr>
          <w:p w14:paraId="1C47E228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0CBBE69C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  <w:tc>
          <w:tcPr>
            <w:tcW w:w="6699" w:type="dxa"/>
            <w:vAlign w:val="center"/>
          </w:tcPr>
          <w:p w14:paraId="1011056A">
            <w:pPr>
              <w:jc w:val="center"/>
              <w:rPr>
                <w:rFonts w:hint="eastAsia" w:ascii="楷体" w:hAnsi="楷体" w:eastAsia="楷体" w:cs="楷体"/>
                <w:kern w:val="0"/>
                <w:sz w:val="24"/>
                <w:szCs w:val="20"/>
              </w:rPr>
            </w:pPr>
          </w:p>
        </w:tc>
      </w:tr>
    </w:tbl>
    <w:p w14:paraId="36CD1B32">
      <w:pPr>
        <w:numPr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1AF07CC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  <w:lang w:eastAsia="zh-CN"/>
        </w:rPr>
        <w:t>调查的时间，空间和方法：</w:t>
      </w:r>
      <w:r>
        <w:rPr>
          <w:rFonts w:hint="eastAsia"/>
        </w:rPr>
        <w:t xml:space="preserve">  </w:t>
      </w:r>
    </w:p>
    <w:p w14:paraId="6A64524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本项目以湖南省郴州市自贸区为调研对象，调研工作已于2025年7月15日全面启动，计划于8月20日前完成实地数据采集。调研范围覆盖自贸区核心片区、重点企业、政务服务中心及跨境贸易枢纽区域，聚焦自贸区制度创新成效、产业集聚特征及区域经济带动作用。通过问卷调查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半结构化深度访谈、政策文本分析、企业案例追踪及跨境贸易数据比对等方法，系统梳理自贸区建设成果与现实挑战。调研团队与自贸区管委会、跨境电商企业、物流服务商及外资代表开展多轮座谈，实地考察综合保税区、数字化供应链平台及新型工业园区，获取一手政策落地反馈与产业运营数据。</w:t>
      </w:r>
    </w:p>
    <w:p w14:paraId="3E26FDB8">
      <w:pPr>
        <w:numPr>
          <w:numId w:val="0"/>
        </w:numPr>
        <w:ind w:leftChars="0"/>
        <w:rPr>
          <w:rFonts w:hint="eastAsia"/>
        </w:rPr>
      </w:pPr>
    </w:p>
    <w:p w14:paraId="0AA386F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b/>
          <w:bCs/>
        </w:rPr>
        <w:t>七、 调查工作的组织实施计划：</w:t>
      </w:r>
    </w:p>
    <w:p w14:paraId="3CB0C4A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本次针对郴州市自贸区发展成效与挑战的调查，围绕制度创新、产业集聚、开放能级、营商环境四大维度展开，具体问题设计如下：  </w:t>
      </w:r>
    </w:p>
    <w:p w14:paraId="1EED314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（一）自贸区发展成效调查方向 </w:t>
      </w:r>
    </w:p>
    <w:p w14:paraId="58A136A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制度创新与落地情况 </w:t>
      </w:r>
    </w:p>
    <w:p w14:paraId="6193AED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贸易便利化措施（如“两步申报”“跨境一锁”等）实施效果  </w:t>
      </w:r>
    </w:p>
    <w:p w14:paraId="2EEE0E4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负面清单管理模式对外资吸引力的实际影响  </w:t>
      </w:r>
    </w:p>
    <w:p w14:paraId="089C8B8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政务服务“一件事一次办”改革的企业满意度  </w:t>
      </w:r>
    </w:p>
    <w:p w14:paraId="33A98CD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产业集聚与链式发展 </w:t>
      </w:r>
    </w:p>
    <w:p w14:paraId="1950D2B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主导产业（有色金属精深加工、电子信息、跨境电商）布局特征  </w:t>
      </w:r>
    </w:p>
    <w:p w14:paraId="4B59A4C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龙头企业与上下游配套企业的协同机制  </w:t>
      </w:r>
    </w:p>
    <w:p w14:paraId="3D617ED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数字经济与实体经济融合的典型案例  </w:t>
      </w:r>
    </w:p>
    <w:p w14:paraId="1AFDA53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3. 开放能级与区域联动 </w:t>
      </w:r>
    </w:p>
    <w:p w14:paraId="536ACAB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湘南地区产业链协同发展成效  </w:t>
      </w:r>
    </w:p>
    <w:p w14:paraId="28DCB20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跨境物流通道（中欧班列、航空货运）对贸易规模的贡献度  </w:t>
      </w:r>
    </w:p>
    <w:p w14:paraId="4F6CE33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与粤港澳大湾区自贸片区的差异化发展路径  </w:t>
      </w:r>
    </w:p>
    <w:p w14:paraId="6D316BB6">
      <w:pPr>
        <w:numPr>
          <w:numId w:val="0"/>
        </w:numPr>
        <w:ind w:leftChars="0"/>
        <w:rPr>
          <w:rFonts w:hint="eastAsia"/>
        </w:rPr>
      </w:pPr>
    </w:p>
    <w:p w14:paraId="6337137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（二）自贸区发展挑战调查方向  </w:t>
      </w:r>
    </w:p>
    <w:p w14:paraId="52B4B8A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政策痛点与执行壁垒  </w:t>
      </w:r>
    </w:p>
    <w:p w14:paraId="227A36A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省级事权下放与属地承接能力的匹配度  </w:t>
      </w:r>
    </w:p>
    <w:p w14:paraId="3D379B8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税收优惠、人才补贴等政策的企业获享率  </w:t>
      </w:r>
    </w:p>
    <w:p w14:paraId="0F2FE21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知识产权保护与商事纠纷解决的机制短板  </w:t>
      </w:r>
    </w:p>
    <w:p w14:paraId="09143074">
      <w:pPr>
        <w:numPr>
          <w:numId w:val="0"/>
        </w:numPr>
        <w:ind w:leftChars="0"/>
        <w:rPr>
          <w:rFonts w:hint="eastAsia"/>
        </w:rPr>
      </w:pPr>
    </w:p>
    <w:p w14:paraId="6277D2A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 要素支撑与配套短板  </w:t>
      </w:r>
    </w:p>
    <w:p w14:paraId="06683D6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高层次人才引进难（户籍、教育、住房等配套不足）  </w:t>
      </w:r>
    </w:p>
    <w:p w14:paraId="26262D9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科研成果转化平台与产业需求的契合度  </w:t>
      </w:r>
    </w:p>
    <w:p w14:paraId="19E4A4D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- 金融创新产品（如跨境风投、供应链金融）的普及障碍   </w:t>
      </w:r>
    </w:p>
    <w:p w14:paraId="52317060">
      <w:pPr>
        <w:numPr>
          <w:numId w:val="0"/>
        </w:numPr>
        <w:ind w:leftChars="0"/>
        <w:rPr>
          <w:rFonts w:hint="eastAsia"/>
        </w:rPr>
      </w:pPr>
    </w:p>
    <w:p w14:paraId="1BC1D64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时间节点安排： </w:t>
      </w:r>
    </w:p>
    <w:p w14:paraId="586EE4D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7月25日：完成调研方案定稿  </w:t>
      </w:r>
    </w:p>
    <w:p w14:paraId="64839C4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8月15日：结束实地调研与数据补全  </w:t>
      </w:r>
    </w:p>
    <w:p w14:paraId="5904EC7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8月30日：形成数据分析报告与案例集  </w:t>
      </w:r>
    </w:p>
    <w:p w14:paraId="0034D04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9月10日：提交终稿  </w:t>
      </w:r>
    </w:p>
    <w:p w14:paraId="0543FCB1">
      <w:pPr>
        <w:numPr>
          <w:numId w:val="0"/>
        </w:numPr>
        <w:ind w:leftChars="0"/>
        <w:rPr>
          <w:rFonts w:hint="eastAsia"/>
        </w:rPr>
      </w:pPr>
    </w:p>
    <w:p w14:paraId="31FAFCC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保障措施： </w:t>
      </w:r>
    </w:p>
    <w:p w14:paraId="2910BFD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1. 组织保障：建立与自贸区管委会的定期沟通机制，确保调研合规性与数据可及性。  </w:t>
      </w:r>
    </w:p>
    <w:p w14:paraId="6659923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2.质量管控：实施“双盲复核”，即企业访谈记录与政策文本分析交叉验证。  </w:t>
      </w:r>
    </w:p>
    <w:p w14:paraId="7F2C402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3. 宣传联动：通过郴州日报、自贸区公众号等渠道发布调研动态，提升社会关注度。  </w:t>
      </w:r>
    </w:p>
    <w:p w14:paraId="2F84502B">
      <w:pPr>
        <w:rPr>
          <w:rFonts w:hint="eastAsia"/>
        </w:rPr>
      </w:pPr>
    </w:p>
    <w:p w14:paraId="42D7DBA7">
      <w:pPr>
        <w:rPr>
          <w:rFonts w:hint="eastAsia"/>
        </w:rPr>
      </w:pPr>
      <w:r>
        <w:rPr>
          <w:rFonts w:hint="eastAsia"/>
          <w:lang w:eastAsia="zh-CN"/>
        </w:rPr>
        <w:t>参考资料</w:t>
      </w:r>
      <w:r>
        <w:rPr>
          <w:rFonts w:hint="eastAsia"/>
        </w:rPr>
        <w:t xml:space="preserve">：  </w:t>
      </w:r>
    </w:p>
    <w:p w14:paraId="4CCF315E">
      <w:pPr>
        <w:rPr>
          <w:rFonts w:hint="eastAsia"/>
        </w:rPr>
      </w:pPr>
      <w:r>
        <w:rPr>
          <w:rFonts w:hint="eastAsia"/>
        </w:rPr>
        <w:t>1.《湖南自贸试验区郴州片区：创新引领，书写开放新篇》（省自贸办 ，2024年10月21日）；</w:t>
      </w:r>
    </w:p>
    <w:p w14:paraId="5F4151E6">
      <w:pPr>
        <w:rPr>
          <w:rFonts w:hint="eastAsia"/>
        </w:rPr>
      </w:pPr>
      <w:r>
        <w:rPr>
          <w:rFonts w:hint="eastAsia"/>
        </w:rPr>
        <w:t>2.郴州自贸片区官方公众号“郴州自贸试验区”发布的年度发展报告（2022-2024年）；          3.《中国（湖南）自由贸易试验区总体方案》（国务院，2020年）</w:t>
      </w:r>
    </w:p>
    <w:p w14:paraId="7C9DA1E1">
      <w:pPr>
        <w:rPr>
          <w:rFonts w:hint="eastAsia"/>
        </w:rPr>
      </w:pPr>
    </w:p>
    <w:p w14:paraId="33179C15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7F1DA8"/>
    <w:multiLevelType w:val="singleLevel"/>
    <w:tmpl w:val="7B7F1DA8"/>
    <w:lvl w:ilvl="0" w:tentative="0">
      <w:start w:val="4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F745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2025-06-25T05:13:00Z</dcterms:created>
  <dc:creator>iPhone</dc:creator>
  <cp:lastModifiedBy>robins</cp:lastModifiedBy>
  <dcterms:modified xsi:type="dcterms:W3CDTF">2025-06-24T22:16:34Z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51DE3F7AA42DF9798CA45A68FB2FC02B_31</vt:lpwstr>
  </property>
</Properties>
</file>