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b/>
          <w:bCs/>
          <w:sz w:val="36"/>
          <w:szCs w:val="36"/>
        </w:rPr>
        <w:t>中俄蒙砖茶跨境文旅项目消费者调研市场分析报告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bCs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一、摘要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480" w:firstLineChars="200"/>
        <w:textAlignment w:val="auto"/>
        <w:rPr>
          <w:rFonts w:hint="default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本报告基于"云砖联道"项目消费者调研问卷框架，结合2025-2026年文旅、文创、研学及茶产业市场最新数据，对中俄蒙砖茶跨境文旅项目的市场前景进行系统性分析。当前，中国文创产品行业规模已达近千亿元，博物馆文创连续三年保持50%以上增速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"https://finance.cnr.cn/jjgd/20260214/t20260214_527527178.shtml" \t "https://chat.deepseek.com/a/chat/s/_blank"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；研学旅游市场景气指数达126.9，处于较高景气区间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"http://news.youth.cn/jsxw/202605/t20260519_16668267.htm" \t "https://chat.deepseek.com/a/chat/s/_blank"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。万里茶道作为连接中俄蒙三国的历史文化纽带，具备独特的IP开发潜力，但砖茶文化在内地市场的认知度仍有较大提升空间。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二、市场背景分析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2.1 文创产业：千亿赛道进入品质竞争阶段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中国文创产品行业2024年规模已达999.82亿元，同比增长7.98%，博物馆文创IP经济2020-2025年复合增长率达6.6%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"https://finance.cnr.cn/jjgd/20260214/t20260214_527527178.shtml" \t "https://chat.deepseek.com/a/chat/s/_blank"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。截至2026年初，77家国内外博物馆在天猫开设官方旗舰店，2025年上新超5000款文创新品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"http://dzb.xfrb.com.cn/mobile/Qnews.php?id=72705" \t "https://chat.deepseek.com/a/chat/s/_blank"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。行业正从"符号复制"迈向"内容为王"的品质竞争阶段，同质化问题成为亟待突破的瓶颈。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2.2 研学旅游：景气高企，品质化成为核心诉求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2026年研学旅游市场整体景气指数为126.9，超过景气临界值100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"http://news.youth.cn/jsxw/202605/t20260519_16668267.htm" \t "https://chat.deepseek.com/a/chat/s/_blank"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。消费群体正从传统中小学生向多元客群扩展：亲子家庭研学需求指数最高（132.1），银发研学和幼儿园启蒙研学紧随其后，全年龄化趋势显著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"http://news.youth.cn/jsxw/202605/t20260519_16668267.htm" \t "https://chat.deepseek.com/a/chat/s/_blank"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。人文历史研学需求居于首位，消费者正从"参观打卡"向"深度体验"转变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"https://www.sohu.com/a/1027099275_122014422?scm=10008.1479_13-1479_13-68_68.0-0.0-1-0-0-0.0" \t "https://chat.deepseek.com/a/chat/s/_blank"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2.3 砖茶产业：老字号求变，年轻市场空间广阔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赤壁青砖茶年产量约4万吨，占全国黑茶市场的10.6%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"https://m.thepaper.cn/baijiahao_8381721" \t "https://chat.deepseek.com/a/chat/s/_blank"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。然而，砖茶消费呈现明显的年龄分化：内蒙古茶行业协会2024年调查显示，18-35岁人群经常饮用青砖茶的仅占23%，而50岁以上人群达71%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"http://ex.chinadaily.com.cn/exchange/partners/82/rss/channel/cn/columns/j3u3t6/stories/WS694a6174a310942cc49982d0.html" \t "https://chat.deepseek.com/a/chat/s/_blank"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。传统"一块板砖打天下"的产品形态难以吸引年轻消费者，便捷化、时尚化转型迫在眉睫。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三、目标客群画像分析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3.1 人口特征推断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基于问卷设计框架与行业数据，目标客群呈现以下特征：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(1)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年龄结构：以25-35岁为主力（文旅消费核心人群），18-24岁为潜力人群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(2)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消费预算：年文旅预算1000-6000元为大众区间，6000元以上为高价值客群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(3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)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地域分布：东北边境省份（黑/吉/内蒙古东部）为区位优势客群，国内其他省市为拓展目标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3.2 消费动机洞察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艾媒咨询2025年数据显示，消费者购买文创产品的首要原因是"旅游时作为纪念品"（54.48%），"日常生活自用"以42.20%位居第二，"价格合适、性价比高"以40.75%位列第三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"https://www.iimedia.cn/c1094/110357.html" \t "https://chat.deepseek.com/a/chat/s/_blank"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。这表明，文创消费正从"纪念收藏"向"日常消费"加速转型，兼具文化属性与实用价值的产品更受青睐。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四、砖茶文化认知与市场挑战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4.1 认知现状：知晓率尚可，深度了解不足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赤壁本地调研显示，消费者对青砖茶的知晓率达89%，但实际饮用的仅占34.5%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"https://m.thepaper.cn/baijiahao_8381721" \t "https://chat.deepseek.com/a/chat/s/_blank"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。品牌和产区集中于头部企业，多数消费者对万里茶道历史文化缺乏深度认知。2025年赤壁青砖茶走进呼和浩特活动中发现，砖茶在内蒙古等边销市场消费基础稳固，但内地市场拓展仍存在"知晓不消费"的尴尬局面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"http://ex.chinadaily.com.cn/exchange/partners/82/rss/channel/cn/columns/j3u3t6/stories/WS694a6174a310942cc49982d0.html" \t "https://chat.deepseek.com/a/chat/s/_blank"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4.2 痛点与机遇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当前茶文化文创的主要痛点可归结为：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定价与价值认知不匹配：产品同质化严重，消费者对价格敏感度较高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文化故事单薄：万里茶道跨境叙事未被充分挖掘，品牌辨识度不足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产品形态陈旧：传统砖茶"笨重""冲泡不便"的形象需要革新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4）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渠道触达有限：线上数字化配套不足，消费场景单一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机遇点：砖茶作为"万里茶道"核心载体，具备天然的跨境文化基因，这与当下消费者对"差异化""跨境特色"产品的追求高度契合。2025年咸宁赤壁青砖茶产业发展大会上，以青砖茶为原料的新茶饮产品上市9天销量突破15.7万杯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"http://ex.chinadaily.com.cn/exchange/partners/82/rss/channel/cn/columns/j3u3t6/stories/WS694a6174a310942cc49982d0.html" \t "https://chat.deepseek.com/a/chat/s/_blank"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，证明创新形态可以迅速打开年轻市场。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五、产品策略建议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5.1 砖茶IP文创产品</w:t>
      </w:r>
    </w:p>
    <w:tbl>
      <w:tblPr>
        <w:tblW w:w="7537" w:type="dxa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45"/>
        <w:gridCol w:w="4492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045" w:type="dxa"/>
            <w:tcBorders>
              <w:bottom w:val="single" w:color="auto" w:sz="8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品类</w:t>
            </w:r>
          </w:p>
        </w:tc>
        <w:tc>
          <w:tcPr>
            <w:tcW w:w="4492" w:type="dxa"/>
            <w:tcBorders>
              <w:bottom w:val="single" w:color="auto" w:sz="8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市场依据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45" w:type="dxa"/>
            <w:tcBorders>
              <w:top w:val="single" w:color="auto" w:sz="8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茶饮实用类</w:t>
            </w:r>
          </w:p>
        </w:tc>
        <w:tc>
          <w:tcPr>
            <w:tcW w:w="4492" w:type="dxa"/>
            <w:tcBorders>
              <w:top w:val="single" w:color="auto" w:sz="8" w:space="0"/>
            </w:tcBorders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契合"日常消费"趋势，突破传统形态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45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日用文创</w:t>
            </w:r>
          </w:p>
        </w:tc>
        <w:tc>
          <w:tcPr>
            <w:tcW w:w="4492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冰箱贴已成现象级品类，兼具纪念与实用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instrText xml:space="preserve"> HYPERLINK "https://ctaweb.org.cn/redianpinglun/10001.html" \t "https://chat.deepseek.com/a/chat/s/_blank" </w:instrTex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fldChar w:fldCharType="end"/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45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文具类</w:t>
            </w:r>
          </w:p>
        </w:tc>
        <w:tc>
          <w:tcPr>
            <w:tcW w:w="4492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年轻客群偏好，制作成本可控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45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数字文创</w:t>
            </w:r>
          </w:p>
        </w:tc>
        <w:tc>
          <w:tcPr>
            <w:tcW w:w="4492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低成本、高传播性，契合数字化趋势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045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高端收藏</w:t>
            </w:r>
          </w:p>
        </w:tc>
        <w:tc>
          <w:tcPr>
            <w:tcW w:w="4492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长尾市场，需品牌积累支撑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定价建议：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小件文创：30-60元为主力区间。中国旅游研究院调查显示，近五成游客购买的冰箱贴单价在20-40元，30%以上为40-60元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"https://ctaweb.org.cn/redianpinglun/10001.html" \t "https://chat.deepseek.com/a/chat/s/_blank"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，60元以内为接受度最高的价格带。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中端日用：100-200元为市场主流客单价。天猫数据显示，IP文创主流客单价在200-500元，但作为新品牌入市，100-200元更具竞争力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"https://finance.cnr.cn/jjgd/20260214/t20260214_527527178.shtml" \t "https://chat.deepseek.com/a/chat/s/_blank"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礼盒套装：200-500元。国博凤冠冰箱贴单款年销量破百万件的案例表明，文化IP的"爆款逻辑"优于"高价逻辑"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"https://finance.cnr.cn/jjgd/20260214/t20260214_527527178.shtml" \t "https://chat.deepseek.com/a/chat/s/_blank"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4）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高端收藏：建议初期聚焦500-1000元区间，培育市场后再上探。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设计方向：融合中俄蒙三国元素+非遗手工，还原古驿站、边境口岸历史元素，兼顾日常实用功能。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5.2 研学线路产品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产品矩阵：</w:t>
      </w:r>
    </w:p>
    <w:tbl>
      <w:tblPr>
        <w:tblW w:w="4998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15"/>
        <w:gridCol w:w="2908"/>
        <w:gridCol w:w="2000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1" w:hRule="atLeast"/>
          <w:tblHeader/>
          <w:jc w:val="center"/>
        </w:trPr>
        <w:tc>
          <w:tcPr>
            <w:tcW w:w="2086" w:type="pct"/>
            <w:tcBorders>
              <w:top w:val="single" w:color="auto" w:sz="12" w:space="0"/>
              <w:bottom w:val="single" w:color="auto" w:sz="8" w:space="0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产品类型</w:t>
            </w:r>
          </w:p>
        </w:tc>
        <w:tc>
          <w:tcPr>
            <w:tcW w:w="1726" w:type="pct"/>
            <w:tcBorders>
              <w:top w:val="single" w:color="auto" w:sz="12" w:space="0"/>
              <w:bottom w:val="single" w:color="auto" w:sz="8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市场定位</w:t>
            </w:r>
          </w:p>
        </w:tc>
        <w:tc>
          <w:tcPr>
            <w:tcW w:w="1187" w:type="pct"/>
            <w:tcBorders>
              <w:top w:val="single" w:color="auto" w:sz="12" w:space="0"/>
              <w:bottom w:val="single" w:color="auto" w:sz="8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价格建议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3" w:hRule="atLeast"/>
          <w:jc w:val="center"/>
        </w:trPr>
        <w:tc>
          <w:tcPr>
            <w:tcW w:w="2086" w:type="pct"/>
            <w:tcBorders>
              <w:top w:val="single" w:color="auto" w:sz="8" w:space="0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单日俄式砖茶体验沙龙</w:t>
            </w:r>
          </w:p>
        </w:tc>
        <w:tc>
          <w:tcPr>
            <w:tcW w:w="1726" w:type="pct"/>
            <w:tcBorders>
              <w:top w:val="single" w:color="auto" w:sz="8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引流产品，降低决策门槛</w:t>
            </w:r>
          </w:p>
        </w:tc>
        <w:tc>
          <w:tcPr>
            <w:tcW w:w="1187" w:type="pct"/>
            <w:tcBorders>
              <w:top w:val="single" w:color="auto" w:sz="8" w:space="0"/>
            </w:tcBorders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300元以内/人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0" w:hRule="atLeast"/>
          <w:jc w:val="center"/>
        </w:trPr>
        <w:tc>
          <w:tcPr>
            <w:tcW w:w="2086" w:type="pct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国内两日短途研学（不含食宿）</w:t>
            </w:r>
          </w:p>
        </w:tc>
        <w:tc>
          <w:tcPr>
            <w:tcW w:w="1726" w:type="pct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主力产品</w:t>
            </w:r>
          </w:p>
        </w:tc>
        <w:tc>
          <w:tcPr>
            <w:tcW w:w="1187" w:type="pct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300-600元/人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2" w:hRule="atLeast"/>
          <w:jc w:val="center"/>
        </w:trPr>
        <w:tc>
          <w:tcPr>
            <w:tcW w:w="2086" w:type="pct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国内两日研学（含食宿）</w:t>
            </w:r>
          </w:p>
        </w:tc>
        <w:tc>
          <w:tcPr>
            <w:tcW w:w="1726" w:type="pct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主力产品</w:t>
            </w:r>
          </w:p>
        </w:tc>
        <w:tc>
          <w:tcPr>
            <w:tcW w:w="1187" w:type="pct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800-1500元/人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51" w:hRule="atLeast"/>
          <w:jc w:val="center"/>
        </w:trPr>
        <w:tc>
          <w:tcPr>
            <w:tcW w:w="2086" w:type="pct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中俄蒙十日跨境深度研学</w:t>
            </w:r>
          </w:p>
        </w:tc>
        <w:tc>
          <w:tcPr>
            <w:tcW w:w="1726" w:type="pct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品牌产品</w:t>
            </w:r>
          </w:p>
        </w:tc>
        <w:tc>
          <w:tcPr>
            <w:tcW w:w="1187" w:type="pct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6000-10000元/人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核心依据：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2026年研学市场呈现"价格承压"特征，客单价景气指数低于100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"http://news.youth.cn/jsxw/202605/t20260519_16668267.htm" \t "https://chat.deepseek.com/a/chat/s/_blank"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，消费者对价格敏感度提升，合理定价比高端定位更利于规模拓展。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消费者最看重人文历史深度与动手实践环节，非遗茶厂古法压制实操、古驿站实地调研、三国青年交流沙龙等模块应作为核心卖点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"https://www.sohu.com/a/1027099275_122014422?scm=10008.1479_13-1479_13-68_68.0-0.0-1-0-0-0.0" \t "https://chat.deepseek.com/a/chat/s/_blank"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增值服务（双语导师、联合证书、影像记录）可提供付费升级选项，提升客单价。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="楷体" w:hAnsi="楷体" w:eastAsia="楷体" w:cs="楷体"/>
          <w:sz w:val="28"/>
          <w:szCs w:val="28"/>
        </w:rPr>
      </w:pPr>
      <w:r>
        <w:rPr>
          <w:rFonts w:hint="eastAsia" w:ascii="楷体" w:hAnsi="楷体" w:eastAsia="楷体" w:cs="楷体"/>
          <w:sz w:val="28"/>
          <w:szCs w:val="28"/>
        </w:rPr>
        <w:t>5.3 数字研学小程序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核心功能：云游学、打卡答题、文创商城、跨境青年交流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付费模式：基础功能免费，增值权益可设30-80元付费档位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运营逻辑：以"情绪价值+社交传播"驱动用户增长，短视频平台"种草"可有效触发二次创作和传播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begin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instrText xml:space="preserve"> HYPERLINK "https://ctaweb.org.cn/redianpinglun/10001.html" \t "https://chat.deepseek.com/a/chat/s/_blank" </w:instrTex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separate"/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fldChar w:fldCharType="end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六、风险与应对策略</w:t>
      </w:r>
    </w:p>
    <w:tbl>
      <w:tblPr>
        <w:tblW w:w="5059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1"/>
        <w:gridCol w:w="5534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6" w:hRule="atLeast"/>
          <w:tblHeader/>
          <w:jc w:val="center"/>
        </w:trPr>
        <w:tc>
          <w:tcPr>
            <w:tcW w:w="1754" w:type="pct"/>
            <w:tcBorders>
              <w:bottom w:val="single" w:color="auto" w:sz="8" w:space="0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风险因素</w:t>
            </w:r>
          </w:p>
        </w:tc>
        <w:tc>
          <w:tcPr>
            <w:tcW w:w="3245" w:type="pct"/>
            <w:tcBorders>
              <w:bottom w:val="single" w:color="auto" w:sz="8" w:space="0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  <w:lang w:val="en-US" w:eastAsia="zh-CN"/>
              </w:rPr>
              <w:t>应对策略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2" w:hRule="atLeast"/>
          <w:jc w:val="center"/>
        </w:trPr>
        <w:tc>
          <w:tcPr>
            <w:tcW w:w="1754" w:type="pct"/>
            <w:tcBorders>
              <w:top w:val="single" w:color="auto" w:sz="8" w:space="0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砖茶文化内地认知度有限</w:t>
            </w:r>
          </w:p>
        </w:tc>
        <w:tc>
          <w:tcPr>
            <w:tcW w:w="3245" w:type="pct"/>
            <w:tcBorders>
              <w:top w:val="single" w:color="auto" w:sz="8" w:space="0"/>
            </w:tcBorders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强化"万里茶道跨境故事"叙事，以内容营销培育市场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1" w:hRule="atLeast"/>
          <w:jc w:val="center"/>
        </w:trPr>
        <w:tc>
          <w:tcPr>
            <w:tcW w:w="1754" w:type="pct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研学市场竞争加剧、同质化</w:t>
            </w:r>
          </w:p>
        </w:tc>
        <w:tc>
          <w:tcPr>
            <w:tcW w:w="3245" w:type="pct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突出中俄蒙三国文化差异化特色，避免与普通观光游同质化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18" w:hRule="atLeast"/>
          <w:jc w:val="center"/>
        </w:trPr>
        <w:tc>
          <w:tcPr>
            <w:tcW w:w="1754" w:type="pct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价格敏感度上升</w:t>
            </w:r>
          </w:p>
        </w:tc>
        <w:tc>
          <w:tcPr>
            <w:tcW w:w="3245" w:type="pct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分层定价，以引流产品降低消费门槛，以增值服务提升客单价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9" w:hRule="atLeast"/>
          <w:jc w:val="center"/>
        </w:trPr>
        <w:tc>
          <w:tcPr>
            <w:tcW w:w="1754" w:type="pct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跨境手续繁琐、安全顾虑</w:t>
            </w:r>
          </w:p>
        </w:tc>
        <w:tc>
          <w:tcPr>
            <w:tcW w:w="3245" w:type="pct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与有资质的旅行社合作，强化安全保障与通关服务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73" w:hRule="atLeast"/>
          <w:jc w:val="center"/>
        </w:trPr>
        <w:tc>
          <w:tcPr>
            <w:tcW w:w="1754" w:type="pct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产品同质化风险</w:t>
            </w:r>
          </w:p>
        </w:tc>
        <w:tc>
          <w:tcPr>
            <w:tcW w:w="3245" w:type="pct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ind w:left="0" w:leftChars="0" w:firstLine="0" w:firstLineChars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深耕跨境文化IP，强化原创设计，建立品牌辨识度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七、结论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中俄蒙砖茶跨境文旅项目具备三大核心优势：文化独特性、政策契合度、市场需求匹配。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项目应把握以下战略方向：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1）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以IP文创为切入点，通过轻量化产品培育品牌认知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2）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以研学线路为核心产品，形成差异化竞争壁垒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3）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以数字小程序为运营抓手，构建线上线下融合的消费闭环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left="0" w:leftChars="0" w:firstLine="0" w:firstLineChars="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4）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坚持"品质化+差异化"路线，跳出同质化竞争，打造万里茶道文旅第一品牌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阿里巴巴普惠体 R">
    <w:panose1 w:val="00020600040101010101"/>
    <w:charset w:val="86"/>
    <w:family w:val="auto"/>
    <w:pitch w:val="default"/>
    <w:sig w:usb0="A00002FF" w:usb1="7ACF7CFB" w:usb2="0000001E" w:usb3="00000000" w:csb0="0004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D22B8C"/>
    <w:rsid w:val="3AD22B8C"/>
    <w:rsid w:val="3E16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left="420" w:leftChars="20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26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2026-08-08T03:10:00Z</dcterms:created>
  <dc:creator>梦忆沐歌</dc:creator>
  <cp:lastModifiedBy>梦忆沐歌</cp:lastModifiedBy>
  <dcterms:modified xsi:type="dcterms:W3CDTF">2026-08-08T03:38:32Z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