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E28C7">
      <w:pPr>
        <w:spacing w:before="3600"/>
      </w:pPr>
    </w:p>
    <w:p w14:paraId="5CE05C18">
      <w:pPr>
        <w:spacing w:after="100"/>
        <w:jc w:val="center"/>
      </w:pPr>
      <w:r>
        <w:rPr>
          <w:rFonts w:ascii="Calibri" w:eastAsia="黑体"/>
          <w:b/>
          <w:bCs/>
          <w:color w:val="000000" w:themeColor="text1"/>
          <w:sz w:val="52"/>
          <w:szCs w:val="52"/>
          <w14:textFill>
            <w14:solidFill>
              <w14:schemeClr w14:val="tx1"/>
            </w14:solidFill>
          </w14:textFill>
        </w:rPr>
        <w:t>AI抗性挑战</w:t>
      </w:r>
    </w:p>
    <w:p w14:paraId="1B7ACC9F">
      <w:pPr>
        <w:spacing w:after="400"/>
        <w:jc w:val="center"/>
        <w:rPr>
          <w:color w:val="000000" w:themeColor="text1"/>
          <w14:textFill>
            <w14:solidFill>
              <w14:schemeClr w14:val="tx1"/>
            </w14:solidFill>
          </w14:textFill>
        </w:rPr>
      </w:pPr>
      <w:r>
        <w:rPr>
          <w:rFonts w:ascii="Calibri" w:eastAsia="黑体"/>
          <w:b/>
          <w:bCs/>
          <w:color w:val="000000" w:themeColor="text1"/>
          <w:sz w:val="36"/>
          <w:szCs w:val="36"/>
          <w14:textFill>
            <w14:solidFill>
              <w14:schemeClr w14:val="tx1"/>
            </w14:solidFill>
          </w14:textFill>
        </w:rPr>
        <w:t>完成报告</w:t>
      </w:r>
    </w:p>
    <w:p w14:paraId="4F9D645D">
      <w:pPr>
        <w:spacing w:after="1200"/>
        <w:jc w:val="center"/>
        <w:rPr>
          <w:color w:val="000000" w:themeColor="text1"/>
          <w14:textFill>
            <w14:solidFill>
              <w14:schemeClr w14:val="tx1"/>
            </w14:solidFill>
          </w14:textFill>
        </w:rPr>
      </w:pPr>
      <w:r>
        <w:rPr>
          <w:rFonts w:ascii="Calibri" w:eastAsia="微软雅黑"/>
          <w:i/>
          <w:iCs/>
          <w:color w:val="6B7280"/>
        </w:rPr>
        <w:t>—— 质量门</w:t>
      </w:r>
      <w:r>
        <w:rPr>
          <w:rFonts w:ascii="Calibri" w:eastAsia="微软雅黑"/>
          <w:i/>
          <w:iCs/>
          <w:color w:val="000000" w:themeColor="text1"/>
          <w14:textFill>
            <w14:solidFill>
              <w14:schemeClr w14:val="tx1"/>
            </w14:solidFill>
          </w14:textFill>
        </w:rPr>
        <w:t>禁全部通过后提交 ——</w:t>
      </w:r>
    </w:p>
    <w:p w14:paraId="6DC4E2DA">
      <w:pPr>
        <w:spacing w:after="200"/>
        <w:jc w:val="center"/>
        <w:rPr>
          <w:color w:val="000000" w:themeColor="text1"/>
          <w14:textFill>
            <w14:solidFill>
              <w14:schemeClr w14:val="tx1"/>
            </w14:solidFill>
          </w14:textFill>
        </w:rPr>
      </w:pPr>
      <w:r>
        <w:rPr>
          <w:rFonts w:ascii="Calibri" w:eastAsia="黑体"/>
          <w:b/>
          <w:bCs/>
          <w:color w:val="000000" w:themeColor="text1"/>
          <w:sz w:val="24"/>
          <w:szCs w:val="24"/>
          <w14:textFill>
            <w14:solidFill>
              <w14:schemeClr w14:val="tx1"/>
            </w14:solidFill>
          </w14:textFill>
        </w:rPr>
        <w:t>团队信息</w:t>
      </w:r>
    </w:p>
    <w:tbl>
      <w:tblPr>
        <w:tblStyle w:val="11"/>
        <w:tblW w:w="35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44"/>
        <w:gridCol w:w="4858"/>
      </w:tblGrid>
      <w:tr w14:paraId="0DEE3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pct"/>
            <w:shd w:val="clear" w:color="auto" w:fill="E8F0EF"/>
            <w:tcMar>
              <w:top w:w="80" w:type="dxa"/>
              <w:left w:w="120" w:type="dxa"/>
              <w:bottom w:w="80" w:type="dxa"/>
              <w:right w:w="120" w:type="dxa"/>
            </w:tcMar>
          </w:tcPr>
          <w:p w14:paraId="696C2C7A">
            <w:pPr>
              <w:spacing w:line="300" w:lineRule="auto"/>
              <w:jc w:val="center"/>
              <w:rPr>
                <w:color w:val="000000" w:themeColor="text1"/>
                <w14:textFill>
                  <w14:solidFill>
                    <w14:schemeClr w14:val="tx1"/>
                  </w14:solidFill>
                </w14:textFill>
              </w:rPr>
            </w:pPr>
            <w:r>
              <w:rPr>
                <w:rFonts w:ascii="Calibri" w:eastAsia="微软雅黑"/>
                <w:b/>
                <w:bCs/>
                <w:color w:val="000000" w:themeColor="text1"/>
                <w14:textFill>
                  <w14:solidFill>
                    <w14:schemeClr w14:val="tx1"/>
                  </w14:solidFill>
                </w14:textFill>
              </w:rPr>
              <w:t>团队编号</w:t>
            </w:r>
          </w:p>
        </w:tc>
        <w:tc>
          <w:tcPr>
            <w:tcW w:w="2000" w:type="pct"/>
            <w:tcMar>
              <w:top w:w="80" w:type="dxa"/>
              <w:left w:w="120" w:type="dxa"/>
              <w:bottom w:w="80" w:type="dxa"/>
              <w:right w:w="120" w:type="dxa"/>
            </w:tcMar>
          </w:tcPr>
          <w:p w14:paraId="2878E0EC">
            <w:pPr>
              <w:spacing w:line="300" w:lineRule="auto"/>
              <w:jc w:val="left"/>
              <w:rPr>
                <w:color w:val="000000" w:themeColor="text1"/>
                <w14:textFill>
                  <w14:solidFill>
                    <w14:schemeClr w14:val="tx1"/>
                  </w14:solidFill>
                </w14:textFill>
              </w:rPr>
            </w:pPr>
            <w:r>
              <w:t>17</w:t>
            </w:r>
          </w:p>
        </w:tc>
      </w:tr>
      <w:tr w14:paraId="239EC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pct"/>
            <w:shd w:val="clear" w:color="auto" w:fill="E8F0EF"/>
            <w:tcMar>
              <w:top w:w="80" w:type="dxa"/>
              <w:left w:w="120" w:type="dxa"/>
              <w:bottom w:w="80" w:type="dxa"/>
              <w:right w:w="120" w:type="dxa"/>
            </w:tcMar>
          </w:tcPr>
          <w:p w14:paraId="79C6263C">
            <w:pPr>
              <w:spacing w:line="300" w:lineRule="auto"/>
              <w:jc w:val="center"/>
              <w:rPr>
                <w:color w:val="000000" w:themeColor="text1"/>
                <w14:textFill>
                  <w14:solidFill>
                    <w14:schemeClr w14:val="tx1"/>
                  </w14:solidFill>
                </w14:textFill>
              </w:rPr>
            </w:pPr>
            <w:r>
              <w:rPr>
                <w:rFonts w:ascii="Calibri" w:eastAsia="微软雅黑"/>
                <w:b/>
                <w:bCs/>
                <w:color w:val="000000" w:themeColor="text1"/>
                <w14:textFill>
                  <w14:solidFill>
                    <w14:schemeClr w14:val="tx1"/>
                  </w14:solidFill>
                </w14:textFill>
              </w:rPr>
              <w:t>项目名称</w:t>
            </w:r>
          </w:p>
        </w:tc>
        <w:tc>
          <w:tcPr>
            <w:tcW w:w="2000" w:type="pct"/>
            <w:tcMar>
              <w:top w:w="80" w:type="dxa"/>
              <w:left w:w="120" w:type="dxa"/>
              <w:bottom w:w="80" w:type="dxa"/>
              <w:right w:w="120" w:type="dxa"/>
            </w:tcMar>
          </w:tcPr>
          <w:p w14:paraId="090702D5">
            <w:pPr>
              <w:spacing w:line="300" w:lineRule="auto"/>
              <w:jc w:val="left"/>
              <w:rPr>
                <w:rFonts w:hint="default"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FlowMuse流行白板</w:t>
            </w:r>
            <w:bookmarkStart w:id="0" w:name="_GoBack"/>
            <w:bookmarkEnd w:id="0"/>
          </w:p>
        </w:tc>
      </w:tr>
      <w:tr w14:paraId="5604E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pct"/>
            <w:shd w:val="clear" w:color="auto" w:fill="E8F0EF"/>
            <w:tcMar>
              <w:top w:w="80" w:type="dxa"/>
              <w:left w:w="120" w:type="dxa"/>
              <w:bottom w:w="80" w:type="dxa"/>
              <w:right w:w="120" w:type="dxa"/>
            </w:tcMar>
          </w:tcPr>
          <w:p w14:paraId="72A05748">
            <w:pPr>
              <w:spacing w:line="300" w:lineRule="auto"/>
              <w:jc w:val="center"/>
              <w:rPr>
                <w:color w:val="000000" w:themeColor="text1"/>
                <w14:textFill>
                  <w14:solidFill>
                    <w14:schemeClr w14:val="tx1"/>
                  </w14:solidFill>
                </w14:textFill>
              </w:rPr>
            </w:pPr>
            <w:r>
              <w:rPr>
                <w:rFonts w:ascii="Calibri" w:eastAsia="微软雅黑"/>
                <w:b/>
                <w:bCs/>
                <w:color w:val="000000" w:themeColor="text1"/>
                <w14:textFill>
                  <w14:solidFill>
                    <w14:schemeClr w14:val="tx1"/>
                  </w14:solidFill>
                </w14:textFill>
              </w:rPr>
              <w:t>团队成员</w:t>
            </w:r>
          </w:p>
        </w:tc>
        <w:tc>
          <w:tcPr>
            <w:tcW w:w="2000" w:type="pct"/>
            <w:tcMar>
              <w:top w:w="80" w:type="dxa"/>
              <w:left w:w="120" w:type="dxa"/>
              <w:bottom w:w="80" w:type="dxa"/>
              <w:right w:w="120" w:type="dxa"/>
            </w:tcMar>
          </w:tcPr>
          <w:p w14:paraId="3403E767">
            <w:pPr>
              <w:spacing w:line="300" w:lineRule="auto"/>
              <w:jc w:val="left"/>
              <w:rPr>
                <w:color w:val="000000" w:themeColor="text1"/>
                <w14:textFill>
                  <w14:solidFill>
                    <w14:schemeClr w14:val="tx1"/>
                  </w14:solidFill>
                </w14:textFill>
              </w:rPr>
            </w:pPr>
            <w:r>
              <w:t>陈宏宇、任逸青、李天宇</w:t>
            </w:r>
          </w:p>
        </w:tc>
      </w:tr>
      <w:tr w14:paraId="71AC9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pct"/>
            <w:shd w:val="clear" w:color="auto" w:fill="E8F0EF"/>
            <w:tcMar>
              <w:top w:w="80" w:type="dxa"/>
              <w:left w:w="120" w:type="dxa"/>
              <w:bottom w:w="80" w:type="dxa"/>
              <w:right w:w="120" w:type="dxa"/>
            </w:tcMar>
          </w:tcPr>
          <w:p w14:paraId="4F1A792D">
            <w:pPr>
              <w:spacing w:line="300" w:lineRule="auto"/>
              <w:jc w:val="center"/>
              <w:rPr>
                <w:color w:val="000000" w:themeColor="text1"/>
                <w14:textFill>
                  <w14:solidFill>
                    <w14:schemeClr w14:val="tx1"/>
                  </w14:solidFill>
                </w14:textFill>
              </w:rPr>
            </w:pPr>
            <w:r>
              <w:rPr>
                <w:rFonts w:ascii="Calibri" w:eastAsia="微软雅黑"/>
                <w:b/>
                <w:bCs/>
                <w:color w:val="000000" w:themeColor="text1"/>
                <w14:textFill>
                  <w14:solidFill>
                    <w14:schemeClr w14:val="tx1"/>
                  </w14:solidFill>
                </w14:textFill>
              </w:rPr>
              <w:t>提交日期</w:t>
            </w:r>
          </w:p>
        </w:tc>
        <w:tc>
          <w:tcPr>
            <w:tcW w:w="2000" w:type="pct"/>
            <w:tcMar>
              <w:top w:w="80" w:type="dxa"/>
              <w:left w:w="120" w:type="dxa"/>
              <w:bottom w:w="80" w:type="dxa"/>
              <w:right w:w="120" w:type="dxa"/>
            </w:tcMar>
          </w:tcPr>
          <w:p w14:paraId="0D1884B9">
            <w:pPr>
              <w:spacing w:line="300" w:lineRule="auto"/>
              <w:jc w:val="left"/>
              <w:rPr>
                <w:color w:val="000000" w:themeColor="text1"/>
                <w14:textFill>
                  <w14:solidFill>
                    <w14:schemeClr w14:val="tx1"/>
                  </w14:solidFill>
                </w14:textFill>
              </w:rPr>
            </w:pPr>
            <w:r>
              <w:t>2026-07-15</w:t>
            </w:r>
          </w:p>
        </w:tc>
      </w:tr>
      <w:tr w14:paraId="08B8F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pct"/>
            <w:shd w:val="clear" w:color="auto" w:fill="E8F0EF"/>
            <w:tcMar>
              <w:top w:w="80" w:type="dxa"/>
              <w:left w:w="120" w:type="dxa"/>
              <w:bottom w:w="80" w:type="dxa"/>
              <w:right w:w="120" w:type="dxa"/>
            </w:tcMar>
          </w:tcPr>
          <w:p w14:paraId="2ED7DC05">
            <w:pPr>
              <w:spacing w:line="300" w:lineRule="auto"/>
              <w:jc w:val="center"/>
              <w:rPr>
                <w:color w:val="000000" w:themeColor="text1"/>
                <w14:textFill>
                  <w14:solidFill>
                    <w14:schemeClr w14:val="tx1"/>
                  </w14:solidFill>
                </w14:textFill>
              </w:rPr>
            </w:pPr>
            <w:r>
              <w:rPr>
                <w:rFonts w:ascii="Calibri" w:eastAsia="微软雅黑"/>
                <w:b/>
                <w:bCs/>
                <w:color w:val="000000" w:themeColor="text1"/>
                <w14:textFill>
                  <w14:solidFill>
                    <w14:schemeClr w14:val="tx1"/>
                  </w14:solidFill>
                </w14:textFill>
              </w:rPr>
              <w:t>挑战项目</w:t>
            </w:r>
          </w:p>
        </w:tc>
        <w:tc>
          <w:tcPr>
            <w:tcW w:w="2000" w:type="pct"/>
            <w:tcMar>
              <w:top w:w="80" w:type="dxa"/>
              <w:left w:w="120" w:type="dxa"/>
              <w:bottom w:w="80" w:type="dxa"/>
              <w:right w:w="120" w:type="dxa"/>
            </w:tcMar>
          </w:tcPr>
          <w:p w14:paraId="5E47C5B1">
            <w:pPr>
              <w:spacing w:line="300" w:lineRule="auto"/>
              <w:jc w:val="left"/>
              <w:rPr>
                <w:color w:val="000000" w:themeColor="text1"/>
                <w14:textFill>
                  <w14:solidFill>
                    <w14:schemeClr w14:val="tx1"/>
                  </w14:solidFill>
                </w14:textFill>
              </w:rPr>
            </w:pPr>
            <w:r>
              <w:t>CH2 安全加固</w:t>
            </w:r>
          </w:p>
        </w:tc>
      </w:tr>
    </w:tbl>
    <w:p w14:paraId="37B4E6D7">
      <w:pPr>
        <w:sectPr>
          <w:pgSz w:w="11906" w:h="16838"/>
          <w:pgMar w:top="0" w:right="0" w:bottom="0" w:left="0" w:header="708" w:footer="708" w:gutter="0"/>
          <w:cols w:space="720" w:num="1"/>
          <w:docGrid w:linePitch="360" w:charSpace="0"/>
        </w:sectPr>
      </w:pPr>
    </w:p>
    <w:p w14:paraId="27EED5C7">
      <w:pPr>
        <w:pStyle w:val="2"/>
        <w:spacing w:before="360" w:after="160"/>
      </w:pPr>
      <w:r>
        <w:rPr>
          <w:rFonts w:ascii="Calibri" w:eastAsia="黑体"/>
          <w:b/>
          <w:bCs/>
          <w:color w:val="15857A"/>
          <w:sz w:val="28"/>
          <w:szCs w:val="28"/>
        </w:rPr>
        <w:t>1. 挑战选择</w:t>
      </w:r>
    </w:p>
    <w:p w14:paraId="4B8BEB4B">
      <w:pPr>
        <w:pStyle w:val="3"/>
        <w:spacing w:before="280" w:after="120"/>
      </w:pPr>
      <w:r>
        <w:rPr>
          <w:rFonts w:ascii="Calibri" w:eastAsia="黑体"/>
          <w:b/>
          <w:bCs/>
          <w:color w:val="15857A"/>
          <w:sz w:val="24"/>
          <w:szCs w:val="24"/>
        </w:rPr>
        <w:t>1.1 可选挑战项（5选1-2）</w:t>
      </w:r>
    </w:p>
    <w:p w14:paraId="77D46A7B">
      <w:pPr>
        <w:spacing w:after="100" w:line="360" w:lineRule="auto"/>
      </w:pPr>
      <w:r>
        <w:rPr>
          <w:rFonts w:ascii="Calibri" w:eastAsia="微软雅黑"/>
          <w:color w:val="2D2D2D"/>
          <w:sz w:val="22"/>
          <w:szCs w:val="22"/>
        </w:rPr>
        <w:t>本组选择CH2安全加固挑战，其余挑战本轮未选择。</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
        <w:gridCol w:w="1806"/>
        <w:gridCol w:w="4514"/>
        <w:gridCol w:w="1806"/>
      </w:tblGrid>
      <w:tr w14:paraId="70C4B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pct"/>
            <w:shd w:val="clear" w:color="auto" w:fill="E8F0EF"/>
            <w:tcMar>
              <w:top w:w="80" w:type="dxa"/>
              <w:left w:w="120" w:type="dxa"/>
              <w:bottom w:w="80" w:type="dxa"/>
              <w:right w:w="120" w:type="dxa"/>
            </w:tcMar>
          </w:tcPr>
          <w:p w14:paraId="6BC14E94">
            <w:pPr>
              <w:spacing w:line="300" w:lineRule="auto"/>
              <w:jc w:val="center"/>
            </w:pPr>
            <w:r>
              <w:rPr>
                <w:rFonts w:ascii="Calibri" w:eastAsia="微软雅黑"/>
                <w:b/>
                <w:bCs/>
                <w:color w:val="15857A"/>
              </w:rPr>
              <w:t>编号</w:t>
            </w:r>
          </w:p>
        </w:tc>
        <w:tc>
          <w:tcPr>
            <w:tcW w:w="1000" w:type="pct"/>
            <w:shd w:val="clear" w:color="auto" w:fill="E8F0EF"/>
            <w:tcMar>
              <w:top w:w="80" w:type="dxa"/>
              <w:left w:w="120" w:type="dxa"/>
              <w:bottom w:w="80" w:type="dxa"/>
              <w:right w:w="120" w:type="dxa"/>
            </w:tcMar>
          </w:tcPr>
          <w:p w14:paraId="1316C7AC">
            <w:pPr>
              <w:spacing w:line="300" w:lineRule="auto"/>
              <w:jc w:val="center"/>
            </w:pPr>
            <w:r>
              <w:rPr>
                <w:rFonts w:ascii="Calibri" w:eastAsia="微软雅黑"/>
                <w:b/>
                <w:bCs/>
                <w:color w:val="15857A"/>
              </w:rPr>
              <w:t>挑战名称</w:t>
            </w:r>
          </w:p>
        </w:tc>
        <w:tc>
          <w:tcPr>
            <w:tcW w:w="2500" w:type="pct"/>
            <w:shd w:val="clear" w:color="auto" w:fill="E8F0EF"/>
            <w:tcMar>
              <w:top w:w="80" w:type="dxa"/>
              <w:left w:w="120" w:type="dxa"/>
              <w:bottom w:w="80" w:type="dxa"/>
              <w:right w:w="120" w:type="dxa"/>
            </w:tcMar>
          </w:tcPr>
          <w:p w14:paraId="0E69FDEE">
            <w:pPr>
              <w:spacing w:line="300" w:lineRule="auto"/>
              <w:jc w:val="center"/>
            </w:pPr>
            <w:r>
              <w:rPr>
                <w:rFonts w:ascii="Calibri" w:eastAsia="微软雅黑"/>
                <w:b/>
                <w:bCs/>
                <w:color w:val="15857A"/>
              </w:rPr>
              <w:t>达标标准</w:t>
            </w:r>
          </w:p>
        </w:tc>
        <w:tc>
          <w:tcPr>
            <w:tcW w:w="1000" w:type="pct"/>
            <w:shd w:val="clear" w:color="auto" w:fill="E8F0EF"/>
            <w:tcMar>
              <w:top w:w="80" w:type="dxa"/>
              <w:left w:w="120" w:type="dxa"/>
              <w:bottom w:w="80" w:type="dxa"/>
              <w:right w:w="120" w:type="dxa"/>
            </w:tcMar>
          </w:tcPr>
          <w:p w14:paraId="4D6B1323">
            <w:pPr>
              <w:spacing w:line="300" w:lineRule="auto"/>
              <w:jc w:val="center"/>
            </w:pPr>
            <w:r>
              <w:rPr>
                <w:rFonts w:ascii="Calibri" w:eastAsia="微软雅黑"/>
                <w:b/>
                <w:bCs/>
                <w:color w:val="15857A"/>
              </w:rPr>
              <w:t>选择</w:t>
            </w:r>
          </w:p>
        </w:tc>
      </w:tr>
      <w:tr w14:paraId="20D6F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Mar>
              <w:top w:w="80" w:type="dxa"/>
              <w:left w:w="120" w:type="dxa"/>
              <w:bottom w:w="80" w:type="dxa"/>
              <w:right w:w="120" w:type="dxa"/>
            </w:tcMar>
          </w:tcPr>
          <w:p w14:paraId="223C16BD">
            <w:pPr>
              <w:spacing w:line="300" w:lineRule="auto"/>
              <w:jc w:val="center"/>
            </w:pPr>
            <w:r>
              <w:rPr>
                <w:rFonts w:ascii="Calibri" w:eastAsia="微软雅黑"/>
                <w:color w:val="2D2D2D"/>
              </w:rPr>
              <w:t>CH1</w:t>
            </w:r>
          </w:p>
        </w:tc>
        <w:tc>
          <w:tcPr>
            <w:tcW w:w="1000" w:type="pct"/>
            <w:tcMar>
              <w:top w:w="80" w:type="dxa"/>
              <w:left w:w="120" w:type="dxa"/>
              <w:bottom w:w="80" w:type="dxa"/>
              <w:right w:w="120" w:type="dxa"/>
            </w:tcMar>
          </w:tcPr>
          <w:p w14:paraId="1BC24603">
            <w:pPr>
              <w:spacing w:line="300" w:lineRule="auto"/>
              <w:jc w:val="left"/>
            </w:pPr>
            <w:r>
              <w:rPr>
                <w:rFonts w:ascii="Calibri" w:eastAsia="微软雅黑"/>
                <w:color w:val="2D2D2D"/>
              </w:rPr>
              <w:t>性能优化</w:t>
            </w:r>
          </w:p>
        </w:tc>
        <w:tc>
          <w:tcPr>
            <w:tcW w:w="2500" w:type="pct"/>
            <w:tcMar>
              <w:top w:w="80" w:type="dxa"/>
              <w:left w:w="120" w:type="dxa"/>
              <w:bottom w:w="80" w:type="dxa"/>
              <w:right w:w="120" w:type="dxa"/>
            </w:tcMar>
          </w:tcPr>
          <w:p w14:paraId="5806861D">
            <w:pPr>
              <w:spacing w:line="300" w:lineRule="auto"/>
              <w:jc w:val="left"/>
            </w:pPr>
            <w:r>
              <w:rPr>
                <w:rFonts w:ascii="Calibri" w:eastAsia="微软雅黑"/>
                <w:color w:val="2D2D2D"/>
              </w:rPr>
              <w:t>关键API压测到&lt;200ms</w:t>
            </w:r>
          </w:p>
        </w:tc>
        <w:tc>
          <w:tcPr>
            <w:tcW w:w="1000" w:type="pct"/>
            <w:tcMar>
              <w:top w:w="80" w:type="dxa"/>
              <w:left w:w="120" w:type="dxa"/>
              <w:bottom w:w="80" w:type="dxa"/>
              <w:right w:w="120" w:type="dxa"/>
            </w:tcMar>
          </w:tcPr>
          <w:p w14:paraId="0917A6A3">
            <w:pPr>
              <w:spacing w:line="300" w:lineRule="auto"/>
              <w:jc w:val="left"/>
            </w:pPr>
            <w:r>
              <w:t>未选</w:t>
            </w:r>
          </w:p>
        </w:tc>
      </w:tr>
      <w:tr w14:paraId="170E1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Mar>
              <w:top w:w="80" w:type="dxa"/>
              <w:left w:w="120" w:type="dxa"/>
              <w:bottom w:w="80" w:type="dxa"/>
              <w:right w:w="120" w:type="dxa"/>
            </w:tcMar>
          </w:tcPr>
          <w:p w14:paraId="1030148D">
            <w:pPr>
              <w:spacing w:line="300" w:lineRule="auto"/>
              <w:jc w:val="center"/>
            </w:pPr>
            <w:r>
              <w:rPr>
                <w:rFonts w:ascii="Calibri" w:eastAsia="微软雅黑"/>
                <w:color w:val="2D2D2D"/>
              </w:rPr>
              <w:t>CH2</w:t>
            </w:r>
          </w:p>
        </w:tc>
        <w:tc>
          <w:tcPr>
            <w:tcW w:w="1000" w:type="pct"/>
            <w:tcMar>
              <w:top w:w="80" w:type="dxa"/>
              <w:left w:w="120" w:type="dxa"/>
              <w:bottom w:w="80" w:type="dxa"/>
              <w:right w:w="120" w:type="dxa"/>
            </w:tcMar>
          </w:tcPr>
          <w:p w14:paraId="2ABC02FD">
            <w:pPr>
              <w:spacing w:line="300" w:lineRule="auto"/>
              <w:jc w:val="left"/>
            </w:pPr>
            <w:r>
              <w:rPr>
                <w:rFonts w:ascii="Calibri" w:eastAsia="微软雅黑"/>
                <w:color w:val="2D2D2D"/>
              </w:rPr>
              <w:t>安全加固</w:t>
            </w:r>
          </w:p>
        </w:tc>
        <w:tc>
          <w:tcPr>
            <w:tcW w:w="2500" w:type="pct"/>
            <w:tcMar>
              <w:top w:w="80" w:type="dxa"/>
              <w:left w:w="120" w:type="dxa"/>
              <w:bottom w:w="80" w:type="dxa"/>
              <w:right w:w="120" w:type="dxa"/>
            </w:tcMar>
          </w:tcPr>
          <w:p w14:paraId="76678103">
            <w:pPr>
              <w:spacing w:line="300" w:lineRule="auto"/>
              <w:jc w:val="left"/>
            </w:pPr>
            <w:r>
              <w:rPr>
                <w:rFonts w:ascii="Calibri" w:eastAsia="微软雅黑"/>
                <w:color w:val="2D2D2D"/>
              </w:rPr>
              <w:t>OWASP自查并修复3个漏洞</w:t>
            </w:r>
          </w:p>
        </w:tc>
        <w:tc>
          <w:tcPr>
            <w:tcW w:w="1000" w:type="pct"/>
            <w:tcMar>
              <w:top w:w="80" w:type="dxa"/>
              <w:left w:w="120" w:type="dxa"/>
              <w:bottom w:w="80" w:type="dxa"/>
              <w:right w:w="120" w:type="dxa"/>
            </w:tcMar>
          </w:tcPr>
          <w:p w14:paraId="0DDD97D7">
            <w:pPr>
              <w:spacing w:line="300" w:lineRule="auto"/>
              <w:jc w:val="left"/>
            </w:pPr>
            <w:r>
              <w:t>已选</w:t>
            </w:r>
          </w:p>
        </w:tc>
      </w:tr>
      <w:tr w14:paraId="550C0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Mar>
              <w:top w:w="80" w:type="dxa"/>
              <w:left w:w="120" w:type="dxa"/>
              <w:bottom w:w="80" w:type="dxa"/>
              <w:right w:w="120" w:type="dxa"/>
            </w:tcMar>
          </w:tcPr>
          <w:p w14:paraId="799C4BC2">
            <w:pPr>
              <w:spacing w:line="300" w:lineRule="auto"/>
              <w:jc w:val="center"/>
            </w:pPr>
            <w:r>
              <w:rPr>
                <w:rFonts w:ascii="Calibri" w:eastAsia="微软雅黑"/>
                <w:color w:val="2D2D2D"/>
              </w:rPr>
              <w:t>CH3</w:t>
            </w:r>
          </w:p>
        </w:tc>
        <w:tc>
          <w:tcPr>
            <w:tcW w:w="1000" w:type="pct"/>
            <w:tcMar>
              <w:top w:w="80" w:type="dxa"/>
              <w:left w:w="120" w:type="dxa"/>
              <w:bottom w:w="80" w:type="dxa"/>
              <w:right w:w="120" w:type="dxa"/>
            </w:tcMar>
          </w:tcPr>
          <w:p w14:paraId="2E5373E9">
            <w:pPr>
              <w:spacing w:line="300" w:lineRule="auto"/>
              <w:jc w:val="left"/>
            </w:pPr>
            <w:r>
              <w:rPr>
                <w:rFonts w:ascii="Calibri" w:eastAsia="微软雅黑"/>
                <w:color w:val="2D2D2D"/>
              </w:rPr>
              <w:t>可访问性</w:t>
            </w:r>
          </w:p>
        </w:tc>
        <w:tc>
          <w:tcPr>
            <w:tcW w:w="2500" w:type="pct"/>
            <w:tcMar>
              <w:top w:w="80" w:type="dxa"/>
              <w:left w:w="120" w:type="dxa"/>
              <w:bottom w:w="80" w:type="dxa"/>
              <w:right w:w="120" w:type="dxa"/>
            </w:tcMar>
          </w:tcPr>
          <w:p w14:paraId="7C899143">
            <w:pPr>
              <w:spacing w:line="300" w:lineRule="auto"/>
              <w:jc w:val="left"/>
            </w:pPr>
            <w:r>
              <w:rPr>
                <w:rFonts w:ascii="Calibri" w:eastAsia="微软雅黑"/>
                <w:color w:val="2D2D2D"/>
              </w:rPr>
              <w:t>WCAG AA零error</w:t>
            </w:r>
          </w:p>
        </w:tc>
        <w:tc>
          <w:tcPr>
            <w:tcW w:w="1000" w:type="pct"/>
            <w:tcMar>
              <w:top w:w="80" w:type="dxa"/>
              <w:left w:w="120" w:type="dxa"/>
              <w:bottom w:w="80" w:type="dxa"/>
              <w:right w:w="120" w:type="dxa"/>
            </w:tcMar>
          </w:tcPr>
          <w:p w14:paraId="421B58E9">
            <w:pPr>
              <w:spacing w:line="300" w:lineRule="auto"/>
              <w:jc w:val="left"/>
            </w:pPr>
            <w:r>
              <w:t>未选</w:t>
            </w:r>
          </w:p>
        </w:tc>
      </w:tr>
      <w:tr w14:paraId="00083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Mar>
              <w:top w:w="80" w:type="dxa"/>
              <w:left w:w="120" w:type="dxa"/>
              <w:bottom w:w="80" w:type="dxa"/>
              <w:right w:w="120" w:type="dxa"/>
            </w:tcMar>
          </w:tcPr>
          <w:p w14:paraId="64CA2A4E">
            <w:pPr>
              <w:spacing w:line="300" w:lineRule="auto"/>
              <w:jc w:val="center"/>
            </w:pPr>
            <w:r>
              <w:rPr>
                <w:rFonts w:ascii="Calibri" w:eastAsia="微软雅黑"/>
                <w:color w:val="2D2D2D"/>
              </w:rPr>
              <w:t>CH4</w:t>
            </w:r>
          </w:p>
        </w:tc>
        <w:tc>
          <w:tcPr>
            <w:tcW w:w="1000" w:type="pct"/>
            <w:tcMar>
              <w:top w:w="80" w:type="dxa"/>
              <w:left w:w="120" w:type="dxa"/>
              <w:bottom w:w="80" w:type="dxa"/>
              <w:right w:w="120" w:type="dxa"/>
            </w:tcMar>
          </w:tcPr>
          <w:p w14:paraId="44251E3F">
            <w:pPr>
              <w:spacing w:line="300" w:lineRule="auto"/>
              <w:jc w:val="left"/>
            </w:pPr>
            <w:r>
              <w:rPr>
                <w:rFonts w:ascii="Calibri" w:eastAsia="微软雅黑"/>
                <w:color w:val="2D2D2D"/>
              </w:rPr>
              <w:t>测试强化</w:t>
            </w:r>
          </w:p>
        </w:tc>
        <w:tc>
          <w:tcPr>
            <w:tcW w:w="2500" w:type="pct"/>
            <w:tcMar>
              <w:top w:w="80" w:type="dxa"/>
              <w:left w:w="120" w:type="dxa"/>
              <w:bottom w:w="80" w:type="dxa"/>
              <w:right w:w="120" w:type="dxa"/>
            </w:tcMar>
          </w:tcPr>
          <w:p w14:paraId="0637E964">
            <w:pPr>
              <w:spacing w:line="300" w:lineRule="auto"/>
              <w:jc w:val="left"/>
            </w:pPr>
            <w:r>
              <w:rPr>
                <w:rFonts w:ascii="Calibri" w:eastAsia="微软雅黑"/>
                <w:color w:val="2D2D2D"/>
              </w:rPr>
              <w:t>覆盖率85%+含异常路径</w:t>
            </w:r>
          </w:p>
        </w:tc>
        <w:tc>
          <w:tcPr>
            <w:tcW w:w="1000" w:type="pct"/>
            <w:tcMar>
              <w:top w:w="80" w:type="dxa"/>
              <w:left w:w="120" w:type="dxa"/>
              <w:bottom w:w="80" w:type="dxa"/>
              <w:right w:w="120" w:type="dxa"/>
            </w:tcMar>
          </w:tcPr>
          <w:p w14:paraId="11F4921B">
            <w:pPr>
              <w:spacing w:line="300" w:lineRule="auto"/>
              <w:jc w:val="left"/>
            </w:pPr>
            <w:r>
              <w:t>未选</w:t>
            </w:r>
          </w:p>
        </w:tc>
      </w:tr>
      <w:tr w14:paraId="4B0A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pct"/>
            <w:tcMar>
              <w:top w:w="80" w:type="dxa"/>
              <w:left w:w="120" w:type="dxa"/>
              <w:bottom w:w="80" w:type="dxa"/>
              <w:right w:w="120" w:type="dxa"/>
            </w:tcMar>
          </w:tcPr>
          <w:p w14:paraId="70B651ED">
            <w:pPr>
              <w:spacing w:line="300" w:lineRule="auto"/>
              <w:jc w:val="center"/>
            </w:pPr>
            <w:r>
              <w:rPr>
                <w:rFonts w:ascii="Calibri" w:eastAsia="微软雅黑"/>
                <w:color w:val="2D2D2D"/>
              </w:rPr>
              <w:t>CH5</w:t>
            </w:r>
          </w:p>
        </w:tc>
        <w:tc>
          <w:tcPr>
            <w:tcW w:w="1000" w:type="pct"/>
            <w:tcMar>
              <w:top w:w="80" w:type="dxa"/>
              <w:left w:w="120" w:type="dxa"/>
              <w:bottom w:w="80" w:type="dxa"/>
              <w:right w:w="120" w:type="dxa"/>
            </w:tcMar>
          </w:tcPr>
          <w:p w14:paraId="633A32A8">
            <w:pPr>
              <w:spacing w:line="300" w:lineRule="auto"/>
              <w:jc w:val="left"/>
            </w:pPr>
            <w:r>
              <w:rPr>
                <w:rFonts w:ascii="Calibri" w:eastAsia="微软雅黑"/>
                <w:color w:val="2D2D2D"/>
              </w:rPr>
              <w:t>架构重构</w:t>
            </w:r>
          </w:p>
        </w:tc>
        <w:tc>
          <w:tcPr>
            <w:tcW w:w="2500" w:type="pct"/>
            <w:tcMar>
              <w:top w:w="80" w:type="dxa"/>
              <w:left w:w="120" w:type="dxa"/>
              <w:bottom w:w="80" w:type="dxa"/>
              <w:right w:w="120" w:type="dxa"/>
            </w:tcMar>
          </w:tcPr>
          <w:p w14:paraId="1D6FC691">
            <w:pPr>
              <w:spacing w:line="300" w:lineRule="auto"/>
              <w:jc w:val="left"/>
            </w:pPr>
            <w:r>
              <w:rPr>
                <w:rFonts w:ascii="Calibri" w:eastAsia="微软雅黑"/>
                <w:color w:val="2D2D2D"/>
              </w:rPr>
              <w:t>圈复杂度降50%</w:t>
            </w:r>
          </w:p>
        </w:tc>
        <w:tc>
          <w:tcPr>
            <w:tcW w:w="1000" w:type="pct"/>
            <w:tcMar>
              <w:top w:w="80" w:type="dxa"/>
              <w:left w:w="120" w:type="dxa"/>
              <w:bottom w:w="80" w:type="dxa"/>
              <w:right w:w="120" w:type="dxa"/>
            </w:tcMar>
          </w:tcPr>
          <w:p w14:paraId="1F4A555A">
            <w:pPr>
              <w:spacing w:line="300" w:lineRule="auto"/>
              <w:jc w:val="left"/>
            </w:pPr>
            <w:r>
              <w:t>未选</w:t>
            </w:r>
          </w:p>
        </w:tc>
      </w:tr>
    </w:tbl>
    <w:p w14:paraId="509AAC2A">
      <w:pPr>
        <w:pStyle w:val="3"/>
        <w:spacing w:before="280" w:after="120"/>
      </w:pPr>
      <w:r>
        <w:rPr>
          <w:rFonts w:ascii="Calibri" w:eastAsia="黑体"/>
          <w:b/>
          <w:bCs/>
          <w:color w:val="15857A"/>
          <w:sz w:val="24"/>
          <w:szCs w:val="24"/>
        </w:rPr>
        <w:t>1.2 选择原因</w:t>
      </w:r>
    </w:p>
    <w:p w14:paraId="32F7FBA6">
      <w:pPr>
        <w:spacing w:after="100" w:line="360" w:lineRule="auto"/>
      </w:pPr>
      <w:r>
        <w:rPr>
          <w:rFonts w:ascii="Calibri" w:eastAsia="微软雅黑"/>
          <w:i/>
          <w:iCs/>
          <w:color w:val="9CA3AF"/>
        </w:rPr>
        <w:t>FlowMuse 同时承载账户、协作房间和加密场景，HTTP 信任边界直接影响跨端数据安全。本挑战选择安全加固，通过 OWASP Top 10 自查识别可复现问题，并在不改变服务器启动流程和客户端协议的前提下补齐防护与回归测试。</w:t>
      </w:r>
    </w:p>
    <w:p w14:paraId="1CD47F56">
      <w:pPr>
        <w:spacing w:after="100" w:line="360" w:lineRule="auto"/>
      </w:pPr>
    </w:p>
    <w:p w14:paraId="0B5F4001">
      <w:pPr>
        <w:spacing w:after="100" w:line="360" w:lineRule="auto"/>
      </w:pPr>
    </w:p>
    <w:p w14:paraId="15693380">
      <w:pPr>
        <w:spacing w:after="100" w:line="360" w:lineRule="auto"/>
      </w:pPr>
    </w:p>
    <w:p w14:paraId="38270AD7">
      <w:pPr>
        <w:pStyle w:val="2"/>
        <w:spacing w:before="360" w:after="160"/>
      </w:pPr>
      <w:r>
        <w:rPr>
          <w:rFonts w:ascii="Calibri" w:eastAsia="黑体"/>
          <w:b/>
          <w:bCs/>
          <w:color w:val="15857A"/>
          <w:sz w:val="28"/>
          <w:szCs w:val="28"/>
        </w:rPr>
        <w:t>2. 基线数据（挑战前）</w:t>
      </w:r>
    </w:p>
    <w:p w14:paraId="3EAB70A4">
      <w:pPr>
        <w:spacing w:after="100" w:line="360" w:lineRule="auto"/>
      </w:pPr>
      <w:r>
        <w:rPr>
          <w:rFonts w:ascii="Calibri" w:eastAsia="微软雅黑"/>
          <w:color w:val="2D2D2D"/>
          <w:sz w:val="22"/>
          <w:szCs w:val="22"/>
        </w:rPr>
        <w:t>基线数据来自修复前代码审计与既有测试清单，所有指标均可由对应源码复核。</w:t>
      </w:r>
    </w:p>
    <w:p w14:paraId="09D548B3">
      <w:pPr>
        <w:pStyle w:val="3"/>
        <w:spacing w:before="280" w:after="120"/>
      </w:pPr>
      <w:r>
        <w:rPr>
          <w:rFonts w:ascii="Calibri" w:eastAsia="黑体"/>
          <w:b/>
          <w:bCs/>
          <w:color w:val="15857A"/>
          <w:sz w:val="24"/>
          <w:szCs w:val="24"/>
        </w:rPr>
        <w:t>2.1 指标记录</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7"/>
        <w:gridCol w:w="2257"/>
        <w:gridCol w:w="2257"/>
        <w:gridCol w:w="2257"/>
      </w:tblGrid>
      <w:tr w14:paraId="68CBE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50" w:type="pct"/>
            <w:shd w:val="clear" w:color="auto" w:fill="E8F0EF"/>
            <w:tcMar>
              <w:top w:w="80" w:type="dxa"/>
              <w:left w:w="120" w:type="dxa"/>
              <w:bottom w:w="80" w:type="dxa"/>
              <w:right w:w="120" w:type="dxa"/>
            </w:tcMar>
          </w:tcPr>
          <w:p w14:paraId="3D11AB75">
            <w:pPr>
              <w:spacing w:line="300" w:lineRule="auto"/>
              <w:jc w:val="center"/>
            </w:pPr>
            <w:r>
              <w:rPr>
                <w:rFonts w:ascii="Calibri" w:eastAsia="微软雅黑"/>
                <w:b/>
                <w:bCs/>
                <w:color w:val="15857A"/>
              </w:rPr>
              <w:t>指标名称</w:t>
            </w:r>
          </w:p>
        </w:tc>
        <w:tc>
          <w:tcPr>
            <w:tcW w:w="1250" w:type="pct"/>
            <w:shd w:val="clear" w:color="auto" w:fill="E8F0EF"/>
            <w:tcMar>
              <w:top w:w="80" w:type="dxa"/>
              <w:left w:w="120" w:type="dxa"/>
              <w:bottom w:w="80" w:type="dxa"/>
              <w:right w:w="120" w:type="dxa"/>
            </w:tcMar>
          </w:tcPr>
          <w:p w14:paraId="368F3849">
            <w:pPr>
              <w:spacing w:line="300" w:lineRule="auto"/>
              <w:jc w:val="center"/>
            </w:pPr>
            <w:r>
              <w:rPr>
                <w:rFonts w:ascii="Calibri" w:eastAsia="微软雅黑"/>
                <w:b/>
                <w:bCs/>
                <w:color w:val="15857A"/>
              </w:rPr>
              <w:t>挑战前数值</w:t>
            </w:r>
          </w:p>
        </w:tc>
        <w:tc>
          <w:tcPr>
            <w:tcW w:w="1250" w:type="pct"/>
            <w:shd w:val="clear" w:color="auto" w:fill="E8F0EF"/>
            <w:tcMar>
              <w:top w:w="80" w:type="dxa"/>
              <w:left w:w="120" w:type="dxa"/>
              <w:bottom w:w="80" w:type="dxa"/>
              <w:right w:w="120" w:type="dxa"/>
            </w:tcMar>
          </w:tcPr>
          <w:p w14:paraId="681DE69A">
            <w:pPr>
              <w:spacing w:line="300" w:lineRule="auto"/>
              <w:jc w:val="center"/>
            </w:pPr>
            <w:r>
              <w:rPr>
                <w:rFonts w:ascii="Calibri" w:eastAsia="微软雅黑"/>
                <w:b/>
                <w:bCs/>
                <w:color w:val="15857A"/>
              </w:rPr>
              <w:t>测量方法</w:t>
            </w:r>
          </w:p>
        </w:tc>
        <w:tc>
          <w:tcPr>
            <w:tcW w:w="1250" w:type="pct"/>
            <w:shd w:val="clear" w:color="auto" w:fill="E8F0EF"/>
            <w:tcMar>
              <w:top w:w="80" w:type="dxa"/>
              <w:left w:w="120" w:type="dxa"/>
              <w:bottom w:w="80" w:type="dxa"/>
              <w:right w:w="120" w:type="dxa"/>
            </w:tcMar>
          </w:tcPr>
          <w:p w14:paraId="28221617">
            <w:pPr>
              <w:spacing w:line="300" w:lineRule="auto"/>
              <w:jc w:val="center"/>
            </w:pPr>
            <w:r>
              <w:rPr>
                <w:rFonts w:ascii="Calibri" w:eastAsia="微软雅黑"/>
                <w:b/>
                <w:bCs/>
                <w:color w:val="15857A"/>
              </w:rPr>
              <w:t>备注</w:t>
            </w:r>
          </w:p>
        </w:tc>
      </w:tr>
      <w:tr w14:paraId="5234D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Mar>
              <w:top w:w="80" w:type="dxa"/>
              <w:left w:w="120" w:type="dxa"/>
              <w:bottom w:w="80" w:type="dxa"/>
              <w:right w:w="120" w:type="dxa"/>
            </w:tcMar>
          </w:tcPr>
          <w:p w14:paraId="231A0248">
            <w:pPr>
              <w:spacing w:line="300" w:lineRule="auto"/>
              <w:jc w:val="center"/>
            </w:pPr>
            <w:r>
              <w:t>CORS凭据策略</w:t>
            </w:r>
          </w:p>
        </w:tc>
        <w:tc>
          <w:tcPr>
            <w:tcW w:w="1250" w:type="pct"/>
            <w:tcMar>
              <w:top w:w="80" w:type="dxa"/>
              <w:left w:w="120" w:type="dxa"/>
              <w:bottom w:w="80" w:type="dxa"/>
              <w:right w:w="120" w:type="dxa"/>
            </w:tcMar>
          </w:tcPr>
          <w:p w14:paraId="5ACB76FE">
            <w:pPr>
              <w:spacing w:line="300" w:lineRule="auto"/>
              <w:jc w:val="left"/>
            </w:pPr>
            <w:r>
              <w:t>通配来源与credentials同时启用</w:t>
            </w:r>
          </w:p>
        </w:tc>
        <w:tc>
          <w:tcPr>
            <w:tcW w:w="1250" w:type="pct"/>
            <w:tcMar>
              <w:top w:w="80" w:type="dxa"/>
              <w:left w:w="120" w:type="dxa"/>
              <w:bottom w:w="80" w:type="dxa"/>
              <w:right w:w="120" w:type="dxa"/>
            </w:tcMar>
          </w:tcPr>
          <w:p w14:paraId="3C129E2F">
            <w:pPr>
              <w:spacing w:line="300" w:lineRule="auto"/>
              <w:jc w:val="left"/>
            </w:pPr>
            <w:r>
              <w:t>代码审计</w:t>
            </w:r>
          </w:p>
        </w:tc>
        <w:tc>
          <w:tcPr>
            <w:tcW w:w="1250" w:type="pct"/>
            <w:tcMar>
              <w:top w:w="80" w:type="dxa"/>
              <w:left w:w="120" w:type="dxa"/>
              <w:bottom w:w="80" w:type="dxa"/>
              <w:right w:w="120" w:type="dxa"/>
            </w:tcMar>
          </w:tcPr>
          <w:p w14:paraId="123B3A0F">
            <w:pPr>
              <w:spacing w:line="300" w:lineRule="auto"/>
              <w:jc w:val="left"/>
            </w:pPr>
            <w:r>
              <w:t>任意网页可成为凭据化来源</w:t>
            </w:r>
          </w:p>
        </w:tc>
      </w:tr>
      <w:tr w14:paraId="33156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Mar>
              <w:top w:w="80" w:type="dxa"/>
              <w:left w:w="120" w:type="dxa"/>
              <w:bottom w:w="80" w:type="dxa"/>
              <w:right w:w="120" w:type="dxa"/>
            </w:tcMar>
          </w:tcPr>
          <w:p w14:paraId="2CBB9D97">
            <w:pPr>
              <w:spacing w:line="300" w:lineRule="auto"/>
              <w:jc w:val="center"/>
            </w:pPr>
            <w:r>
              <w:t>房主密钥哈希比较</w:t>
            </w:r>
          </w:p>
        </w:tc>
        <w:tc>
          <w:tcPr>
            <w:tcW w:w="1250" w:type="pct"/>
            <w:tcMar>
              <w:top w:w="80" w:type="dxa"/>
              <w:left w:w="120" w:type="dxa"/>
              <w:bottom w:w="80" w:type="dxa"/>
              <w:right w:w="120" w:type="dxa"/>
            </w:tcMar>
          </w:tcPr>
          <w:p w14:paraId="70A86E1A">
            <w:pPr>
              <w:spacing w:line="300" w:lineRule="auto"/>
              <w:jc w:val="left"/>
            </w:pPr>
            <w:r>
              <w:t>普通字符串相等比较</w:t>
            </w:r>
          </w:p>
        </w:tc>
        <w:tc>
          <w:tcPr>
            <w:tcW w:w="1250" w:type="pct"/>
            <w:tcMar>
              <w:top w:w="80" w:type="dxa"/>
              <w:left w:w="120" w:type="dxa"/>
              <w:bottom w:w="80" w:type="dxa"/>
              <w:right w:w="120" w:type="dxa"/>
            </w:tcMar>
          </w:tcPr>
          <w:p w14:paraId="6479830B">
            <w:pPr>
              <w:spacing w:line="300" w:lineRule="auto"/>
              <w:jc w:val="left"/>
            </w:pPr>
            <w:r>
              <w:t>代码审计</w:t>
            </w:r>
          </w:p>
        </w:tc>
        <w:tc>
          <w:tcPr>
            <w:tcW w:w="1250" w:type="pct"/>
            <w:tcMar>
              <w:top w:w="80" w:type="dxa"/>
              <w:left w:w="120" w:type="dxa"/>
              <w:bottom w:w="80" w:type="dxa"/>
              <w:right w:w="120" w:type="dxa"/>
            </w:tcMar>
          </w:tcPr>
          <w:p w14:paraId="727C519C">
            <w:pPr>
              <w:spacing w:line="300" w:lineRule="auto"/>
              <w:jc w:val="left"/>
            </w:pPr>
            <w:r>
              <w:t>存在远程计时侧信道可能</w:t>
            </w:r>
          </w:p>
        </w:tc>
      </w:tr>
      <w:tr w14:paraId="5467A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Mar>
              <w:top w:w="80" w:type="dxa"/>
              <w:left w:w="120" w:type="dxa"/>
              <w:bottom w:w="80" w:type="dxa"/>
              <w:right w:w="120" w:type="dxa"/>
            </w:tcMar>
          </w:tcPr>
          <w:p w14:paraId="0FF8FC41">
            <w:pPr>
              <w:spacing w:line="300" w:lineRule="auto"/>
              <w:jc w:val="center"/>
            </w:pPr>
            <w:r>
              <w:t>JSON请求体上限</w:t>
            </w:r>
          </w:p>
        </w:tc>
        <w:tc>
          <w:tcPr>
            <w:tcW w:w="1250" w:type="pct"/>
            <w:tcMar>
              <w:top w:w="80" w:type="dxa"/>
              <w:left w:w="120" w:type="dxa"/>
              <w:bottom w:w="80" w:type="dxa"/>
              <w:right w:w="120" w:type="dxa"/>
            </w:tcMar>
          </w:tcPr>
          <w:p w14:paraId="2F97D9E7">
            <w:pPr>
              <w:spacing w:line="300" w:lineRule="auto"/>
              <w:jc w:val="left"/>
            </w:pPr>
            <w:r>
              <w:t>账户/房间元数据无统一上限</w:t>
            </w:r>
          </w:p>
        </w:tc>
        <w:tc>
          <w:tcPr>
            <w:tcW w:w="1250" w:type="pct"/>
            <w:tcMar>
              <w:top w:w="80" w:type="dxa"/>
              <w:left w:w="120" w:type="dxa"/>
              <w:bottom w:w="80" w:type="dxa"/>
              <w:right w:w="120" w:type="dxa"/>
            </w:tcMar>
          </w:tcPr>
          <w:p w14:paraId="43DA5F25">
            <w:pPr>
              <w:spacing w:line="300" w:lineRule="auto"/>
              <w:jc w:val="left"/>
            </w:pPr>
            <w:r>
              <w:t>入口审计</w:t>
            </w:r>
          </w:p>
        </w:tc>
        <w:tc>
          <w:tcPr>
            <w:tcW w:w="1250" w:type="pct"/>
            <w:tcMar>
              <w:top w:w="80" w:type="dxa"/>
              <w:left w:w="120" w:type="dxa"/>
              <w:bottom w:w="80" w:type="dxa"/>
              <w:right w:w="120" w:type="dxa"/>
            </w:tcMar>
          </w:tcPr>
          <w:p w14:paraId="53932D6F">
            <w:pPr>
              <w:spacing w:line="300" w:lineRule="auto"/>
              <w:jc w:val="left"/>
            </w:pPr>
            <w:r>
              <w:t>可造成内存和解析资源消耗</w:t>
            </w:r>
          </w:p>
        </w:tc>
      </w:tr>
      <w:tr w14:paraId="2E445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Mar>
              <w:top w:w="80" w:type="dxa"/>
              <w:left w:w="120" w:type="dxa"/>
              <w:bottom w:w="80" w:type="dxa"/>
              <w:right w:w="120" w:type="dxa"/>
            </w:tcMar>
          </w:tcPr>
          <w:p w14:paraId="1386812A">
            <w:pPr>
              <w:spacing w:line="300" w:lineRule="auto"/>
              <w:jc w:val="center"/>
            </w:pPr>
            <w:r>
              <w:t>安全专项回归</w:t>
            </w:r>
          </w:p>
        </w:tc>
        <w:tc>
          <w:tcPr>
            <w:tcW w:w="1250" w:type="pct"/>
            <w:tcMar>
              <w:top w:w="80" w:type="dxa"/>
              <w:left w:w="120" w:type="dxa"/>
              <w:bottom w:w="80" w:type="dxa"/>
              <w:right w:w="120" w:type="dxa"/>
            </w:tcMar>
          </w:tcPr>
          <w:p w14:paraId="6BD97E31">
            <w:pPr>
              <w:spacing w:line="300" w:lineRule="auto"/>
              <w:jc w:val="left"/>
            </w:pPr>
            <w:r>
              <w:t>0项</w:t>
            </w:r>
          </w:p>
        </w:tc>
        <w:tc>
          <w:tcPr>
            <w:tcW w:w="1250" w:type="pct"/>
            <w:tcMar>
              <w:top w:w="80" w:type="dxa"/>
              <w:left w:w="120" w:type="dxa"/>
              <w:bottom w:w="80" w:type="dxa"/>
              <w:right w:w="120" w:type="dxa"/>
            </w:tcMar>
          </w:tcPr>
          <w:p w14:paraId="56C78E2B">
            <w:pPr>
              <w:spacing w:line="300" w:lineRule="auto"/>
              <w:jc w:val="left"/>
            </w:pPr>
            <w:r>
              <w:t>go test清单</w:t>
            </w:r>
          </w:p>
        </w:tc>
        <w:tc>
          <w:tcPr>
            <w:tcW w:w="1250" w:type="pct"/>
            <w:tcMar>
              <w:top w:w="80" w:type="dxa"/>
              <w:left w:w="120" w:type="dxa"/>
              <w:bottom w:w="80" w:type="dxa"/>
              <w:right w:w="120" w:type="dxa"/>
            </w:tcMar>
          </w:tcPr>
          <w:p w14:paraId="5342CEA3">
            <w:pPr>
              <w:spacing w:line="300" w:lineRule="auto"/>
              <w:jc w:val="left"/>
            </w:pPr>
            <w:r>
              <w:t>缺少防回归证据</w:t>
            </w:r>
          </w:p>
        </w:tc>
      </w:tr>
    </w:tbl>
    <w:p w14:paraId="5B3B5AF5">
      <w:pPr>
        <w:pStyle w:val="3"/>
        <w:spacing w:before="280" w:after="120"/>
      </w:pPr>
      <w:r>
        <w:rPr>
          <w:rFonts w:ascii="Calibri" w:eastAsia="黑体"/>
          <w:b/>
          <w:bCs/>
          <w:color w:val="15857A"/>
          <w:sz w:val="24"/>
          <w:szCs w:val="24"/>
        </w:rPr>
        <w:t>2.2 问题描述</w:t>
      </w:r>
    </w:p>
    <w:p w14:paraId="64D5DDDC">
      <w:pPr>
        <w:spacing w:after="100" w:line="360" w:lineRule="auto"/>
      </w:pPr>
      <w:r>
        <w:rPr>
          <w:rFonts w:ascii="Calibri" w:eastAsia="微软雅黑"/>
          <w:i/>
          <w:iCs/>
          <w:color w:val="9CA3AF"/>
        </w:rPr>
        <w:t>服务端已有AES-GCM、参数化SQL和房间ID白名单，但CORS、房主密钥比较和小型JSON入口仍存在可利用边界。目标是在保持启动、端口、数据库和协议不变的前提下，修复三项风险并用自动化测试证明行为。</w:t>
      </w:r>
    </w:p>
    <w:p w14:paraId="2DD0B49E">
      <w:pPr>
        <w:pStyle w:val="2"/>
        <w:spacing w:before="360" w:after="160"/>
      </w:pPr>
      <w:r>
        <w:rPr>
          <w:rFonts w:ascii="Calibri" w:eastAsia="黑体"/>
          <w:b/>
          <w:bCs/>
          <w:color w:val="15857A"/>
          <w:sz w:val="28"/>
          <w:szCs w:val="28"/>
        </w:rPr>
        <w:t>3. 实施过程</w:t>
      </w:r>
    </w:p>
    <w:p w14:paraId="0DDD0A77">
      <w:pPr>
        <w:pStyle w:val="3"/>
        <w:spacing w:before="280" w:after="120"/>
      </w:pPr>
      <w:r>
        <w:rPr>
          <w:rFonts w:ascii="Calibri" w:eastAsia="黑体"/>
          <w:b/>
          <w:bCs/>
          <w:color w:val="15857A"/>
          <w:sz w:val="24"/>
          <w:szCs w:val="24"/>
        </w:rPr>
        <w:t>3.1 做了什么</w:t>
      </w:r>
    </w:p>
    <w:p w14:paraId="4E7A2083">
      <w:pPr>
        <w:spacing w:after="100" w:line="360" w:lineRule="auto"/>
      </w:pPr>
      <w:r>
        <w:rPr>
          <w:rFonts w:ascii="Calibri" w:eastAsia="微软雅黑"/>
          <w:i/>
          <w:iCs/>
          <w:color w:val="9CA3AF"/>
        </w:rPr>
        <w:t>实施按“审计—最小修复—专项回归—全量验证”的顺序推进。</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2"/>
        <w:gridCol w:w="3792"/>
        <w:gridCol w:w="3160"/>
        <w:gridCol w:w="1354"/>
      </w:tblGrid>
      <w:tr w14:paraId="6EB5D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shd w:val="clear" w:color="auto" w:fill="E8F0EF"/>
            <w:tcMar>
              <w:top w:w="80" w:type="dxa"/>
              <w:left w:w="120" w:type="dxa"/>
              <w:bottom w:w="80" w:type="dxa"/>
              <w:right w:w="120" w:type="dxa"/>
            </w:tcMar>
          </w:tcPr>
          <w:p w14:paraId="3E062F5F">
            <w:pPr>
              <w:spacing w:line="300" w:lineRule="auto"/>
              <w:jc w:val="center"/>
            </w:pPr>
            <w:r>
              <w:rPr>
                <w:rFonts w:ascii="Calibri" w:eastAsia="微软雅黑"/>
                <w:b/>
                <w:bCs/>
                <w:color w:val="15857A"/>
              </w:rPr>
              <w:t>步骤</w:t>
            </w:r>
          </w:p>
        </w:tc>
        <w:tc>
          <w:tcPr>
            <w:tcW w:w="2100" w:type="pct"/>
            <w:shd w:val="clear" w:color="auto" w:fill="E8F0EF"/>
            <w:tcMar>
              <w:top w:w="80" w:type="dxa"/>
              <w:left w:w="120" w:type="dxa"/>
              <w:bottom w:w="80" w:type="dxa"/>
              <w:right w:w="120" w:type="dxa"/>
            </w:tcMar>
          </w:tcPr>
          <w:p w14:paraId="636445C1">
            <w:pPr>
              <w:spacing w:line="300" w:lineRule="auto"/>
              <w:jc w:val="center"/>
            </w:pPr>
            <w:r>
              <w:rPr>
                <w:rFonts w:ascii="Calibri" w:eastAsia="微软雅黑"/>
                <w:b/>
                <w:bCs/>
                <w:color w:val="15857A"/>
              </w:rPr>
              <w:t>具体操作</w:t>
            </w:r>
          </w:p>
        </w:tc>
        <w:tc>
          <w:tcPr>
            <w:tcW w:w="1750" w:type="pct"/>
            <w:shd w:val="clear" w:color="auto" w:fill="E8F0EF"/>
            <w:tcMar>
              <w:top w:w="80" w:type="dxa"/>
              <w:left w:w="120" w:type="dxa"/>
              <w:bottom w:w="80" w:type="dxa"/>
              <w:right w:w="120" w:type="dxa"/>
            </w:tcMar>
          </w:tcPr>
          <w:p w14:paraId="07165040">
            <w:pPr>
              <w:spacing w:line="300" w:lineRule="auto"/>
              <w:jc w:val="center"/>
            </w:pPr>
            <w:r>
              <w:rPr>
                <w:rFonts w:ascii="Calibri" w:eastAsia="微软雅黑"/>
                <w:b/>
                <w:bCs/>
                <w:color w:val="15857A"/>
              </w:rPr>
              <w:t>工具/方法</w:t>
            </w:r>
          </w:p>
        </w:tc>
        <w:tc>
          <w:tcPr>
            <w:tcW w:w="750" w:type="pct"/>
            <w:shd w:val="clear" w:color="auto" w:fill="E8F0EF"/>
            <w:tcMar>
              <w:top w:w="80" w:type="dxa"/>
              <w:left w:w="120" w:type="dxa"/>
              <w:bottom w:w="80" w:type="dxa"/>
              <w:right w:w="120" w:type="dxa"/>
            </w:tcMar>
          </w:tcPr>
          <w:p w14:paraId="2225DC34">
            <w:pPr>
              <w:spacing w:line="300" w:lineRule="auto"/>
              <w:jc w:val="center"/>
            </w:pPr>
            <w:r>
              <w:rPr>
                <w:rFonts w:ascii="Calibri" w:eastAsia="微软雅黑"/>
                <w:b/>
                <w:bCs/>
                <w:color w:val="15857A"/>
              </w:rPr>
              <w:t>耗时</w:t>
            </w:r>
          </w:p>
        </w:tc>
      </w:tr>
      <w:tr w14:paraId="7EF2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80" w:type="dxa"/>
              <w:left w:w="120" w:type="dxa"/>
              <w:bottom w:w="80" w:type="dxa"/>
              <w:right w:w="120" w:type="dxa"/>
            </w:tcMar>
          </w:tcPr>
          <w:p w14:paraId="67303DFE">
            <w:pPr>
              <w:spacing w:line="300" w:lineRule="auto"/>
              <w:jc w:val="center"/>
            </w:pPr>
            <w:r>
              <w:rPr>
                <w:rFonts w:ascii="Calibri" w:eastAsia="微软雅黑"/>
                <w:color w:val="2D2D2D"/>
              </w:rPr>
              <w:t>1</w:t>
            </w:r>
          </w:p>
        </w:tc>
        <w:tc>
          <w:tcPr>
            <w:tcW w:w="2100" w:type="pct"/>
            <w:tcMar>
              <w:top w:w="80" w:type="dxa"/>
              <w:left w:w="120" w:type="dxa"/>
              <w:bottom w:w="80" w:type="dxa"/>
              <w:right w:w="120" w:type="dxa"/>
            </w:tcMar>
          </w:tcPr>
          <w:p w14:paraId="6EA8A796">
            <w:pPr>
              <w:spacing w:line="300" w:lineRule="auto"/>
              <w:jc w:val="left"/>
            </w:pPr>
            <w:r>
              <w:t>审计OWASP Top 10与服务端信任边界</w:t>
            </w:r>
          </w:p>
        </w:tc>
        <w:tc>
          <w:tcPr>
            <w:tcW w:w="1750" w:type="pct"/>
            <w:tcMar>
              <w:top w:w="80" w:type="dxa"/>
              <w:left w:w="120" w:type="dxa"/>
              <w:bottom w:w="80" w:type="dxa"/>
              <w:right w:w="120" w:type="dxa"/>
            </w:tcMar>
          </w:tcPr>
          <w:p w14:paraId="2E21798B">
            <w:pPr>
              <w:spacing w:line="300" w:lineRule="auto"/>
              <w:jc w:val="left"/>
            </w:pPr>
            <w:r>
              <w:t>代码审计、调用链追踪</w:t>
            </w:r>
          </w:p>
        </w:tc>
        <w:tc>
          <w:tcPr>
            <w:tcW w:w="750" w:type="pct"/>
            <w:tcMar>
              <w:top w:w="80" w:type="dxa"/>
              <w:left w:w="120" w:type="dxa"/>
              <w:bottom w:w="80" w:type="dxa"/>
              <w:right w:w="120" w:type="dxa"/>
            </w:tcMar>
          </w:tcPr>
          <w:p w14:paraId="53E066C1">
            <w:pPr>
              <w:spacing w:line="300" w:lineRule="auto"/>
              <w:jc w:val="left"/>
            </w:pPr>
            <w:r>
              <w:t>25分钟</w:t>
            </w:r>
          </w:p>
        </w:tc>
      </w:tr>
      <w:tr w14:paraId="50785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80" w:type="dxa"/>
              <w:left w:w="120" w:type="dxa"/>
              <w:bottom w:w="80" w:type="dxa"/>
              <w:right w:w="120" w:type="dxa"/>
            </w:tcMar>
          </w:tcPr>
          <w:p w14:paraId="3DC4EF78">
            <w:pPr>
              <w:spacing w:line="300" w:lineRule="auto"/>
              <w:jc w:val="center"/>
            </w:pPr>
            <w:r>
              <w:rPr>
                <w:rFonts w:ascii="Calibri" w:eastAsia="微软雅黑"/>
                <w:color w:val="2D2D2D"/>
              </w:rPr>
              <w:t>2</w:t>
            </w:r>
          </w:p>
        </w:tc>
        <w:tc>
          <w:tcPr>
            <w:tcW w:w="2100" w:type="pct"/>
            <w:tcMar>
              <w:top w:w="80" w:type="dxa"/>
              <w:left w:w="120" w:type="dxa"/>
              <w:bottom w:w="80" w:type="dxa"/>
              <w:right w:w="120" w:type="dxa"/>
            </w:tcMar>
          </w:tcPr>
          <w:p w14:paraId="4883E88C">
            <w:pPr>
              <w:spacing w:line="300" w:lineRule="auto"/>
              <w:jc w:val="left"/>
            </w:pPr>
            <w:r>
              <w:t>修复通配CORS与credentials组合</w:t>
            </w:r>
          </w:p>
        </w:tc>
        <w:tc>
          <w:tcPr>
            <w:tcW w:w="1750" w:type="pct"/>
            <w:tcMar>
              <w:top w:w="80" w:type="dxa"/>
              <w:left w:w="120" w:type="dxa"/>
              <w:bottom w:w="80" w:type="dxa"/>
              <w:right w:w="120" w:type="dxa"/>
            </w:tcMar>
          </w:tcPr>
          <w:p w14:paraId="5EEF99D0">
            <w:pPr>
              <w:spacing w:line="300" w:lineRule="auto"/>
              <w:jc w:val="left"/>
            </w:pPr>
            <w:r>
              <w:t>Go net/http、Socket.IO CORS</w:t>
            </w:r>
          </w:p>
        </w:tc>
        <w:tc>
          <w:tcPr>
            <w:tcW w:w="750" w:type="pct"/>
            <w:tcMar>
              <w:top w:w="80" w:type="dxa"/>
              <w:left w:w="120" w:type="dxa"/>
              <w:bottom w:w="80" w:type="dxa"/>
              <w:right w:w="120" w:type="dxa"/>
            </w:tcMar>
          </w:tcPr>
          <w:p w14:paraId="6B7DC094">
            <w:pPr>
              <w:spacing w:line="300" w:lineRule="auto"/>
              <w:jc w:val="left"/>
            </w:pPr>
            <w:r>
              <w:t>20分钟</w:t>
            </w:r>
          </w:p>
        </w:tc>
      </w:tr>
      <w:tr w14:paraId="1BE5C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80" w:type="dxa"/>
              <w:left w:w="120" w:type="dxa"/>
              <w:bottom w:w="80" w:type="dxa"/>
              <w:right w:w="120" w:type="dxa"/>
            </w:tcMar>
          </w:tcPr>
          <w:p w14:paraId="2A1CAD9A">
            <w:pPr>
              <w:spacing w:line="300" w:lineRule="auto"/>
              <w:jc w:val="center"/>
            </w:pPr>
            <w:r>
              <w:rPr>
                <w:rFonts w:ascii="Calibri" w:eastAsia="微软雅黑"/>
                <w:color w:val="2D2D2D"/>
              </w:rPr>
              <w:t>3</w:t>
            </w:r>
          </w:p>
        </w:tc>
        <w:tc>
          <w:tcPr>
            <w:tcW w:w="2100" w:type="pct"/>
            <w:tcMar>
              <w:top w:w="80" w:type="dxa"/>
              <w:left w:w="120" w:type="dxa"/>
              <w:bottom w:w="80" w:type="dxa"/>
              <w:right w:w="120" w:type="dxa"/>
            </w:tcMar>
          </w:tcPr>
          <w:p w14:paraId="0FBAAACB">
            <w:pPr>
              <w:spacing w:line="300" w:lineRule="auto"/>
              <w:jc w:val="left"/>
            </w:pPr>
            <w:r>
              <w:t>房主密钥哈希改为恒定时间比较</w:t>
            </w:r>
          </w:p>
        </w:tc>
        <w:tc>
          <w:tcPr>
            <w:tcW w:w="1750" w:type="pct"/>
            <w:tcMar>
              <w:top w:w="80" w:type="dxa"/>
              <w:left w:w="120" w:type="dxa"/>
              <w:bottom w:w="80" w:type="dxa"/>
              <w:right w:w="120" w:type="dxa"/>
            </w:tcMar>
          </w:tcPr>
          <w:p w14:paraId="324974EA">
            <w:pPr>
              <w:spacing w:line="300" w:lineRule="auto"/>
              <w:jc w:val="left"/>
            </w:pPr>
            <w:r>
              <w:t>crypto/subtle</w:t>
            </w:r>
          </w:p>
        </w:tc>
        <w:tc>
          <w:tcPr>
            <w:tcW w:w="750" w:type="pct"/>
            <w:tcMar>
              <w:top w:w="80" w:type="dxa"/>
              <w:left w:w="120" w:type="dxa"/>
              <w:bottom w:w="80" w:type="dxa"/>
              <w:right w:w="120" w:type="dxa"/>
            </w:tcMar>
          </w:tcPr>
          <w:p w14:paraId="279F5C8A">
            <w:pPr>
              <w:spacing w:line="300" w:lineRule="auto"/>
              <w:jc w:val="left"/>
            </w:pPr>
            <w:r>
              <w:t>15分钟</w:t>
            </w:r>
          </w:p>
        </w:tc>
      </w:tr>
      <w:tr w14:paraId="153A2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80" w:type="dxa"/>
              <w:left w:w="120" w:type="dxa"/>
              <w:bottom w:w="80" w:type="dxa"/>
              <w:right w:w="120" w:type="dxa"/>
            </w:tcMar>
          </w:tcPr>
          <w:p w14:paraId="2C1B4605">
            <w:pPr>
              <w:spacing w:line="300" w:lineRule="auto"/>
              <w:jc w:val="center"/>
            </w:pPr>
            <w:r>
              <w:rPr>
                <w:rFonts w:ascii="Calibri" w:eastAsia="微软雅黑"/>
                <w:color w:val="2D2D2D"/>
              </w:rPr>
              <w:t>4</w:t>
            </w:r>
          </w:p>
        </w:tc>
        <w:tc>
          <w:tcPr>
            <w:tcW w:w="2100" w:type="pct"/>
            <w:tcMar>
              <w:top w:w="80" w:type="dxa"/>
              <w:left w:w="120" w:type="dxa"/>
              <w:bottom w:w="80" w:type="dxa"/>
              <w:right w:w="120" w:type="dxa"/>
            </w:tcMar>
          </w:tcPr>
          <w:p w14:paraId="65AC3691">
            <w:pPr>
              <w:spacing w:line="300" w:lineRule="auto"/>
              <w:jc w:val="left"/>
            </w:pPr>
            <w:r>
              <w:t>账户/房间JSON增加64KiB上限</w:t>
            </w:r>
          </w:p>
        </w:tc>
        <w:tc>
          <w:tcPr>
            <w:tcW w:w="1750" w:type="pct"/>
            <w:tcMar>
              <w:top w:w="80" w:type="dxa"/>
              <w:left w:w="120" w:type="dxa"/>
              <w:bottom w:w="80" w:type="dxa"/>
              <w:right w:w="120" w:type="dxa"/>
            </w:tcMar>
          </w:tcPr>
          <w:p w14:paraId="5464B3A2">
            <w:pPr>
              <w:spacing w:line="300" w:lineRule="auto"/>
              <w:jc w:val="left"/>
            </w:pPr>
            <w:r>
              <w:t>http.MaxBytesReader</w:t>
            </w:r>
          </w:p>
        </w:tc>
        <w:tc>
          <w:tcPr>
            <w:tcW w:w="750" w:type="pct"/>
            <w:tcMar>
              <w:top w:w="80" w:type="dxa"/>
              <w:left w:w="120" w:type="dxa"/>
              <w:bottom w:w="80" w:type="dxa"/>
              <w:right w:w="120" w:type="dxa"/>
            </w:tcMar>
          </w:tcPr>
          <w:p w14:paraId="7B0A58F0">
            <w:pPr>
              <w:spacing w:line="300" w:lineRule="auto"/>
              <w:jc w:val="left"/>
            </w:pPr>
            <w:r>
              <w:t>25分钟</w:t>
            </w:r>
          </w:p>
        </w:tc>
      </w:tr>
      <w:tr w14:paraId="0151A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80" w:type="dxa"/>
              <w:left w:w="120" w:type="dxa"/>
              <w:bottom w:w="80" w:type="dxa"/>
              <w:right w:w="120" w:type="dxa"/>
            </w:tcMar>
          </w:tcPr>
          <w:p w14:paraId="0313CD94">
            <w:pPr>
              <w:spacing w:line="300" w:lineRule="auto"/>
              <w:jc w:val="center"/>
            </w:pPr>
            <w:r>
              <w:rPr>
                <w:rFonts w:ascii="Calibri" w:eastAsia="微软雅黑"/>
                <w:color w:val="2D2D2D"/>
              </w:rPr>
              <w:t>5</w:t>
            </w:r>
          </w:p>
        </w:tc>
        <w:tc>
          <w:tcPr>
            <w:tcW w:w="2100" w:type="pct"/>
            <w:tcMar>
              <w:top w:w="80" w:type="dxa"/>
              <w:left w:w="120" w:type="dxa"/>
              <w:bottom w:w="80" w:type="dxa"/>
              <w:right w:w="120" w:type="dxa"/>
            </w:tcMar>
          </w:tcPr>
          <w:p w14:paraId="19948C96">
            <w:pPr>
              <w:spacing w:line="300" w:lineRule="auto"/>
              <w:jc w:val="left"/>
            </w:pPr>
            <w:r>
              <w:t>补5项回归并执行全量验证</w:t>
            </w:r>
          </w:p>
        </w:tc>
        <w:tc>
          <w:tcPr>
            <w:tcW w:w="1750" w:type="pct"/>
            <w:tcMar>
              <w:top w:w="80" w:type="dxa"/>
              <w:left w:w="120" w:type="dxa"/>
              <w:bottom w:w="80" w:type="dxa"/>
              <w:right w:w="120" w:type="dxa"/>
            </w:tcMar>
          </w:tcPr>
          <w:p w14:paraId="218CADAC">
            <w:pPr>
              <w:spacing w:line="300" w:lineRule="auto"/>
              <w:jc w:val="left"/>
            </w:pPr>
            <w:r>
              <w:t>go test ./...、go vet ./...</w:t>
            </w:r>
          </w:p>
        </w:tc>
        <w:tc>
          <w:tcPr>
            <w:tcW w:w="750" w:type="pct"/>
            <w:tcMar>
              <w:top w:w="80" w:type="dxa"/>
              <w:left w:w="120" w:type="dxa"/>
              <w:bottom w:w="80" w:type="dxa"/>
              <w:right w:w="120" w:type="dxa"/>
            </w:tcMar>
          </w:tcPr>
          <w:p w14:paraId="3C3F457B">
            <w:pPr>
              <w:spacing w:line="300" w:lineRule="auto"/>
              <w:jc w:val="left"/>
            </w:pPr>
            <w:r>
              <w:t>20分钟</w:t>
            </w:r>
          </w:p>
        </w:tc>
      </w:tr>
    </w:tbl>
    <w:p w14:paraId="121B5B75">
      <w:pPr>
        <w:pStyle w:val="3"/>
        <w:spacing w:before="280" w:after="120"/>
      </w:pPr>
      <w:r>
        <w:rPr>
          <w:rFonts w:ascii="Calibri" w:eastAsia="黑体"/>
          <w:b/>
          <w:bCs/>
          <w:color w:val="15857A"/>
          <w:sz w:val="24"/>
          <w:szCs w:val="24"/>
        </w:rPr>
        <w:t>3.2 遇到的困难及解决方式</w:t>
      </w:r>
    </w:p>
    <w:p w14:paraId="25F04B75">
      <w:pPr>
        <w:spacing w:after="100" w:line="360" w:lineRule="auto"/>
      </w:pPr>
      <w:r>
        <w:rPr>
          <w:rFonts w:ascii="Calibri" w:eastAsia="微软雅黑"/>
          <w:i/>
          <w:iCs/>
          <w:color w:val="9CA3AF"/>
        </w:rPr>
        <w:t>重点记录AI建议与现有部署约束冲突时的人工判断和修正。</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2"/>
        <w:gridCol w:w="2889"/>
        <w:gridCol w:w="1806"/>
        <w:gridCol w:w="3611"/>
      </w:tblGrid>
      <w:tr w14:paraId="745E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shd w:val="clear" w:color="auto" w:fill="E8F0EF"/>
            <w:tcMar>
              <w:top w:w="80" w:type="dxa"/>
              <w:left w:w="120" w:type="dxa"/>
              <w:bottom w:w="80" w:type="dxa"/>
              <w:right w:w="120" w:type="dxa"/>
            </w:tcMar>
          </w:tcPr>
          <w:p w14:paraId="3742EE33">
            <w:pPr>
              <w:spacing w:line="300" w:lineRule="auto"/>
              <w:jc w:val="center"/>
            </w:pPr>
            <w:r>
              <w:rPr>
                <w:rFonts w:ascii="Calibri" w:eastAsia="微软雅黑"/>
                <w:b/>
                <w:bCs/>
                <w:color w:val="15857A"/>
              </w:rPr>
              <w:t>编号</w:t>
            </w:r>
          </w:p>
        </w:tc>
        <w:tc>
          <w:tcPr>
            <w:tcW w:w="1600" w:type="pct"/>
            <w:shd w:val="clear" w:color="auto" w:fill="E8F0EF"/>
            <w:tcMar>
              <w:top w:w="80" w:type="dxa"/>
              <w:left w:w="120" w:type="dxa"/>
              <w:bottom w:w="80" w:type="dxa"/>
              <w:right w:w="120" w:type="dxa"/>
            </w:tcMar>
          </w:tcPr>
          <w:p w14:paraId="0CA44837">
            <w:pPr>
              <w:spacing w:line="300" w:lineRule="auto"/>
              <w:jc w:val="center"/>
            </w:pPr>
            <w:r>
              <w:rPr>
                <w:rFonts w:ascii="Calibri" w:eastAsia="微软雅黑"/>
                <w:b/>
                <w:bCs/>
                <w:color w:val="15857A"/>
              </w:rPr>
              <w:t>困难描述</w:t>
            </w:r>
          </w:p>
        </w:tc>
        <w:tc>
          <w:tcPr>
            <w:tcW w:w="1000" w:type="pct"/>
            <w:shd w:val="clear" w:color="auto" w:fill="E8F0EF"/>
            <w:tcMar>
              <w:top w:w="80" w:type="dxa"/>
              <w:left w:w="120" w:type="dxa"/>
              <w:bottom w:w="80" w:type="dxa"/>
              <w:right w:w="120" w:type="dxa"/>
            </w:tcMar>
          </w:tcPr>
          <w:p w14:paraId="2E46791F">
            <w:pPr>
              <w:spacing w:line="300" w:lineRule="auto"/>
              <w:jc w:val="center"/>
            </w:pPr>
            <w:r>
              <w:rPr>
                <w:rFonts w:ascii="Calibri" w:eastAsia="微软雅黑"/>
                <w:b/>
                <w:bCs/>
                <w:color w:val="15857A"/>
              </w:rPr>
              <w:t>AI能不能解决</w:t>
            </w:r>
          </w:p>
        </w:tc>
        <w:tc>
          <w:tcPr>
            <w:tcW w:w="2000" w:type="pct"/>
            <w:shd w:val="clear" w:color="auto" w:fill="E8F0EF"/>
            <w:tcMar>
              <w:top w:w="80" w:type="dxa"/>
              <w:left w:w="120" w:type="dxa"/>
              <w:bottom w:w="80" w:type="dxa"/>
              <w:right w:w="120" w:type="dxa"/>
            </w:tcMar>
          </w:tcPr>
          <w:p w14:paraId="5EB9EC73">
            <w:pPr>
              <w:spacing w:line="300" w:lineRule="auto"/>
              <w:jc w:val="center"/>
            </w:pPr>
            <w:r>
              <w:rPr>
                <w:rFonts w:ascii="Calibri" w:eastAsia="微软雅黑"/>
                <w:b/>
                <w:bCs/>
                <w:color w:val="15857A"/>
              </w:rPr>
              <w:t>你们的解决方式</w:t>
            </w:r>
          </w:p>
        </w:tc>
      </w:tr>
      <w:tr w14:paraId="4689B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80" w:type="dxa"/>
              <w:left w:w="120" w:type="dxa"/>
              <w:bottom w:w="80" w:type="dxa"/>
              <w:right w:w="120" w:type="dxa"/>
            </w:tcMar>
          </w:tcPr>
          <w:p w14:paraId="354D5490">
            <w:pPr>
              <w:spacing w:line="300" w:lineRule="auto"/>
              <w:jc w:val="center"/>
            </w:pPr>
            <w:r>
              <w:rPr>
                <w:rFonts w:ascii="Calibri" w:eastAsia="微软雅黑"/>
                <w:color w:val="2D2D2D"/>
              </w:rPr>
              <w:t>D1</w:t>
            </w:r>
          </w:p>
        </w:tc>
        <w:tc>
          <w:tcPr>
            <w:tcW w:w="1600" w:type="pct"/>
            <w:tcMar>
              <w:top w:w="80" w:type="dxa"/>
              <w:left w:w="120" w:type="dxa"/>
              <w:bottom w:w="80" w:type="dxa"/>
              <w:right w:w="120" w:type="dxa"/>
            </w:tcMar>
          </w:tcPr>
          <w:p w14:paraId="60202ED6">
            <w:pPr>
              <w:spacing w:line="300" w:lineRule="auto"/>
              <w:jc w:val="left"/>
            </w:pPr>
            <w:r>
              <w:t>通配CORS既要支持Web调试，又不能携带浏览器凭据</w:t>
            </w:r>
          </w:p>
        </w:tc>
        <w:tc>
          <w:tcPr>
            <w:tcW w:w="1000" w:type="pct"/>
            <w:tcMar>
              <w:top w:w="80" w:type="dxa"/>
              <w:left w:w="120" w:type="dxa"/>
              <w:bottom w:w="80" w:type="dxa"/>
              <w:right w:w="120" w:type="dxa"/>
            </w:tcMar>
          </w:tcPr>
          <w:p w14:paraId="7B27C85E">
            <w:pPr>
              <w:spacing w:line="300" w:lineRule="auto"/>
              <w:jc w:val="left"/>
            </w:pPr>
            <w:r>
              <w:t>部分能</w:t>
            </w:r>
          </w:p>
        </w:tc>
        <w:tc>
          <w:tcPr>
            <w:tcW w:w="2000" w:type="pct"/>
            <w:tcMar>
              <w:top w:w="80" w:type="dxa"/>
              <w:left w:w="120" w:type="dxa"/>
              <w:bottom w:w="80" w:type="dxa"/>
              <w:right w:w="120" w:type="dxa"/>
            </w:tcMar>
          </w:tcPr>
          <w:p w14:paraId="55BD4BAA">
            <w:pPr>
              <w:spacing w:line="300" w:lineRule="auto"/>
              <w:jc w:val="left"/>
            </w:pPr>
            <w:r>
              <w:t>区分Bearer Header与浏览器credentials；通配时返回*且禁credentials，显式来源才允许</w:t>
            </w:r>
          </w:p>
        </w:tc>
      </w:tr>
      <w:tr w14:paraId="23ABE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80" w:type="dxa"/>
              <w:left w:w="120" w:type="dxa"/>
              <w:bottom w:w="80" w:type="dxa"/>
              <w:right w:w="120" w:type="dxa"/>
            </w:tcMar>
          </w:tcPr>
          <w:p w14:paraId="567963DE">
            <w:pPr>
              <w:spacing w:line="300" w:lineRule="auto"/>
              <w:jc w:val="center"/>
            </w:pPr>
            <w:r>
              <w:rPr>
                <w:rFonts w:ascii="Calibri" w:eastAsia="微软雅黑"/>
                <w:color w:val="2D2D2D"/>
              </w:rPr>
              <w:t>D2</w:t>
            </w:r>
          </w:p>
        </w:tc>
        <w:tc>
          <w:tcPr>
            <w:tcW w:w="1600" w:type="pct"/>
            <w:tcMar>
              <w:top w:w="80" w:type="dxa"/>
              <w:left w:w="120" w:type="dxa"/>
              <w:bottom w:w="80" w:type="dxa"/>
              <w:right w:w="120" w:type="dxa"/>
            </w:tcMar>
          </w:tcPr>
          <w:p w14:paraId="46C3BDF2">
            <w:pPr>
              <w:spacing w:line="300" w:lineRule="auto"/>
              <w:jc w:val="left"/>
            </w:pPr>
            <w:r>
              <w:t>AI最初建议强制JWT密钥，改变了现有启动流程</w:t>
            </w:r>
          </w:p>
        </w:tc>
        <w:tc>
          <w:tcPr>
            <w:tcW w:w="1000" w:type="pct"/>
            <w:tcMar>
              <w:top w:w="80" w:type="dxa"/>
              <w:left w:w="120" w:type="dxa"/>
              <w:bottom w:w="80" w:type="dxa"/>
              <w:right w:w="120" w:type="dxa"/>
            </w:tcMar>
          </w:tcPr>
          <w:p w14:paraId="744E80B2">
            <w:pPr>
              <w:spacing w:line="300" w:lineRule="auto"/>
              <w:jc w:val="left"/>
            </w:pPr>
            <w:r>
              <w:t>不能直接采用</w:t>
            </w:r>
          </w:p>
        </w:tc>
        <w:tc>
          <w:tcPr>
            <w:tcW w:w="2000" w:type="pct"/>
            <w:tcMar>
              <w:top w:w="80" w:type="dxa"/>
              <w:left w:w="120" w:type="dxa"/>
              <w:bottom w:w="80" w:type="dxa"/>
              <w:right w:w="120" w:type="dxa"/>
            </w:tcMar>
          </w:tcPr>
          <w:p w14:paraId="780FA894">
            <w:pPr>
              <w:spacing w:line="300" w:lineRule="auto"/>
              <w:jc w:val="left"/>
            </w:pPr>
            <w:r>
              <w:t>人工识别部署侵入性并撤销，改为恒定时间比较作为第三项修复</w:t>
            </w:r>
          </w:p>
        </w:tc>
      </w:tr>
      <w:tr w14:paraId="705A4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80" w:type="dxa"/>
              <w:left w:w="120" w:type="dxa"/>
              <w:bottom w:w="80" w:type="dxa"/>
              <w:right w:w="120" w:type="dxa"/>
            </w:tcMar>
          </w:tcPr>
          <w:p w14:paraId="22551066">
            <w:pPr>
              <w:spacing w:line="300" w:lineRule="auto"/>
              <w:jc w:val="center"/>
            </w:pPr>
            <w:r>
              <w:rPr>
                <w:rFonts w:ascii="Calibri" w:eastAsia="微软雅黑"/>
                <w:color w:val="2D2D2D"/>
              </w:rPr>
              <w:t>D3</w:t>
            </w:r>
          </w:p>
        </w:tc>
        <w:tc>
          <w:tcPr>
            <w:tcW w:w="1600" w:type="pct"/>
            <w:tcMar>
              <w:top w:w="80" w:type="dxa"/>
              <w:left w:w="120" w:type="dxa"/>
              <w:bottom w:w="80" w:type="dxa"/>
              <w:right w:w="120" w:type="dxa"/>
            </w:tcMar>
          </w:tcPr>
          <w:p w14:paraId="0C8AB3CC">
            <w:pPr>
              <w:spacing w:line="300" w:lineRule="auto"/>
              <w:jc w:val="left"/>
            </w:pPr>
            <w:r>
              <w:t>本机缺少Go工具链，无法直接运行验证</w:t>
            </w:r>
          </w:p>
        </w:tc>
        <w:tc>
          <w:tcPr>
            <w:tcW w:w="1000" w:type="pct"/>
            <w:tcMar>
              <w:top w:w="80" w:type="dxa"/>
              <w:left w:w="120" w:type="dxa"/>
              <w:bottom w:w="80" w:type="dxa"/>
              <w:right w:w="120" w:type="dxa"/>
            </w:tcMar>
          </w:tcPr>
          <w:p w14:paraId="448508AB">
            <w:pPr>
              <w:spacing w:line="300" w:lineRule="auto"/>
              <w:jc w:val="left"/>
            </w:pPr>
            <w:r>
              <w:t>能提供路径</w:t>
            </w:r>
          </w:p>
        </w:tc>
        <w:tc>
          <w:tcPr>
            <w:tcW w:w="2000" w:type="pct"/>
            <w:tcMar>
              <w:top w:w="80" w:type="dxa"/>
              <w:left w:w="120" w:type="dxa"/>
              <w:bottom w:w="80" w:type="dxa"/>
              <w:right w:w="120" w:type="dxa"/>
            </w:tcMar>
          </w:tcPr>
          <w:p w14:paraId="0C1AF65A">
            <w:pPr>
              <w:spacing w:line="300" w:lineRule="auto"/>
              <w:jc w:val="left"/>
            </w:pPr>
            <w:r>
              <w:t>使用官方Go 1.25.0便携工具链，不修改系统环境，完成test与vet</w:t>
            </w:r>
          </w:p>
        </w:tc>
      </w:tr>
    </w:tbl>
    <w:p w14:paraId="15638456">
      <w:pPr>
        <w:pStyle w:val="2"/>
        <w:spacing w:before="360" w:after="160"/>
      </w:pPr>
      <w:r>
        <w:rPr>
          <w:rFonts w:ascii="Calibri" w:eastAsia="黑体"/>
          <w:b/>
          <w:bCs/>
          <w:color w:val="15857A"/>
          <w:sz w:val="28"/>
          <w:szCs w:val="28"/>
        </w:rPr>
        <w:t>4. 结果数据（挑战后）</w:t>
      </w:r>
    </w:p>
    <w:p w14:paraId="6657F59D">
      <w:pPr>
        <w:pStyle w:val="3"/>
        <w:spacing w:before="280" w:after="120"/>
      </w:pPr>
      <w:r>
        <w:rPr>
          <w:rFonts w:ascii="Calibri" w:eastAsia="黑体"/>
          <w:b/>
          <w:bCs/>
          <w:color w:val="15857A"/>
          <w:sz w:val="24"/>
          <w:szCs w:val="24"/>
        </w:rPr>
        <w:t>4.1 前后对比</w:t>
      </w:r>
    </w:p>
    <w:p w14:paraId="7A9F09B3">
      <w:pPr>
        <w:spacing w:after="100" w:line="360" w:lineRule="auto"/>
      </w:pPr>
      <w:r>
        <w:rPr>
          <w:rFonts w:ascii="Calibri" w:eastAsia="微软雅黑"/>
          <w:color w:val="2D2D2D"/>
          <w:sz w:val="22"/>
          <w:szCs w:val="22"/>
        </w:rPr>
        <w:t>以下对比均来自修复前后代码与自动化测试，不使用主观评分替代技术指标。</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7"/>
        <w:gridCol w:w="1625"/>
        <w:gridCol w:w="1625"/>
        <w:gridCol w:w="1625"/>
        <w:gridCol w:w="1896"/>
      </w:tblGrid>
      <w:tr w14:paraId="2F28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50" w:type="pct"/>
            <w:shd w:val="clear" w:color="auto" w:fill="E8F0EF"/>
            <w:tcMar>
              <w:top w:w="80" w:type="dxa"/>
              <w:left w:w="120" w:type="dxa"/>
              <w:bottom w:w="80" w:type="dxa"/>
              <w:right w:w="120" w:type="dxa"/>
            </w:tcMar>
          </w:tcPr>
          <w:p w14:paraId="2C14B66D">
            <w:pPr>
              <w:spacing w:line="300" w:lineRule="auto"/>
              <w:jc w:val="center"/>
            </w:pPr>
            <w:r>
              <w:rPr>
                <w:rFonts w:ascii="Calibri" w:eastAsia="微软雅黑"/>
                <w:b/>
                <w:bCs/>
                <w:color w:val="15857A"/>
              </w:rPr>
              <w:t>指标名称</w:t>
            </w:r>
          </w:p>
        </w:tc>
        <w:tc>
          <w:tcPr>
            <w:tcW w:w="900" w:type="pct"/>
            <w:shd w:val="clear" w:color="auto" w:fill="E8F0EF"/>
            <w:tcMar>
              <w:top w:w="80" w:type="dxa"/>
              <w:left w:w="120" w:type="dxa"/>
              <w:bottom w:w="80" w:type="dxa"/>
              <w:right w:w="120" w:type="dxa"/>
            </w:tcMar>
          </w:tcPr>
          <w:p w14:paraId="69E4F51B">
            <w:pPr>
              <w:spacing w:line="300" w:lineRule="auto"/>
              <w:jc w:val="center"/>
            </w:pPr>
            <w:r>
              <w:rPr>
                <w:rFonts w:ascii="Calibri" w:eastAsia="微软雅黑"/>
                <w:b/>
                <w:bCs/>
                <w:color w:val="15857A"/>
              </w:rPr>
              <w:t>挑战前</w:t>
            </w:r>
          </w:p>
        </w:tc>
        <w:tc>
          <w:tcPr>
            <w:tcW w:w="900" w:type="pct"/>
            <w:shd w:val="clear" w:color="auto" w:fill="E8F0EF"/>
            <w:tcMar>
              <w:top w:w="80" w:type="dxa"/>
              <w:left w:w="120" w:type="dxa"/>
              <w:bottom w:w="80" w:type="dxa"/>
              <w:right w:w="120" w:type="dxa"/>
            </w:tcMar>
          </w:tcPr>
          <w:p w14:paraId="58883588">
            <w:pPr>
              <w:spacing w:line="300" w:lineRule="auto"/>
              <w:jc w:val="center"/>
            </w:pPr>
            <w:r>
              <w:rPr>
                <w:rFonts w:ascii="Calibri" w:eastAsia="微软雅黑"/>
                <w:b/>
                <w:bCs/>
                <w:color w:val="15857A"/>
              </w:rPr>
              <w:t>挑战后</w:t>
            </w:r>
          </w:p>
        </w:tc>
        <w:tc>
          <w:tcPr>
            <w:tcW w:w="900" w:type="pct"/>
            <w:shd w:val="clear" w:color="auto" w:fill="E8F0EF"/>
            <w:tcMar>
              <w:top w:w="80" w:type="dxa"/>
              <w:left w:w="120" w:type="dxa"/>
              <w:bottom w:w="80" w:type="dxa"/>
              <w:right w:w="120" w:type="dxa"/>
            </w:tcMar>
          </w:tcPr>
          <w:p w14:paraId="285A2434">
            <w:pPr>
              <w:spacing w:line="300" w:lineRule="auto"/>
              <w:jc w:val="center"/>
            </w:pPr>
            <w:r>
              <w:rPr>
                <w:rFonts w:ascii="Calibri" w:eastAsia="微软雅黑"/>
                <w:b/>
                <w:bCs/>
                <w:color w:val="15857A"/>
              </w:rPr>
              <w:t>改善幅度</w:t>
            </w:r>
          </w:p>
        </w:tc>
        <w:tc>
          <w:tcPr>
            <w:tcW w:w="1050" w:type="pct"/>
            <w:shd w:val="clear" w:color="auto" w:fill="E8F0EF"/>
            <w:tcMar>
              <w:top w:w="80" w:type="dxa"/>
              <w:left w:w="120" w:type="dxa"/>
              <w:bottom w:w="80" w:type="dxa"/>
              <w:right w:w="120" w:type="dxa"/>
            </w:tcMar>
          </w:tcPr>
          <w:p w14:paraId="6358E15C">
            <w:pPr>
              <w:spacing w:line="300" w:lineRule="auto"/>
              <w:jc w:val="center"/>
            </w:pPr>
            <w:r>
              <w:rPr>
                <w:rFonts w:ascii="Calibri" w:eastAsia="微软雅黑"/>
                <w:b/>
                <w:bCs/>
                <w:color w:val="15857A"/>
              </w:rPr>
              <w:t>是否达标</w:t>
            </w:r>
          </w:p>
        </w:tc>
      </w:tr>
      <w:tr w14:paraId="10EA9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Mar>
              <w:top w:w="80" w:type="dxa"/>
              <w:left w:w="120" w:type="dxa"/>
              <w:bottom w:w="80" w:type="dxa"/>
              <w:right w:w="120" w:type="dxa"/>
            </w:tcMar>
          </w:tcPr>
          <w:p w14:paraId="59C03DE1">
            <w:pPr>
              <w:spacing w:line="300" w:lineRule="auto"/>
              <w:jc w:val="center"/>
            </w:pPr>
            <w:r>
              <w:t>通配CORS携带credentials</w:t>
            </w:r>
          </w:p>
        </w:tc>
        <w:tc>
          <w:tcPr>
            <w:tcW w:w="900" w:type="pct"/>
            <w:tcMar>
              <w:top w:w="80" w:type="dxa"/>
              <w:left w:w="120" w:type="dxa"/>
              <w:bottom w:w="80" w:type="dxa"/>
              <w:right w:w="120" w:type="dxa"/>
            </w:tcMar>
          </w:tcPr>
          <w:p w14:paraId="50B5E68A">
            <w:pPr>
              <w:spacing w:line="300" w:lineRule="auto"/>
              <w:jc w:val="left"/>
            </w:pPr>
            <w:r>
              <w:t>允许</w:t>
            </w:r>
          </w:p>
        </w:tc>
        <w:tc>
          <w:tcPr>
            <w:tcW w:w="900" w:type="pct"/>
            <w:tcMar>
              <w:top w:w="80" w:type="dxa"/>
              <w:left w:w="120" w:type="dxa"/>
              <w:bottom w:w="80" w:type="dxa"/>
              <w:right w:w="120" w:type="dxa"/>
            </w:tcMar>
          </w:tcPr>
          <w:p w14:paraId="574D2E94">
            <w:pPr>
              <w:spacing w:line="300" w:lineRule="auto"/>
              <w:jc w:val="left"/>
            </w:pPr>
            <w:r>
              <w:t>禁止</w:t>
            </w:r>
          </w:p>
        </w:tc>
        <w:tc>
          <w:tcPr>
            <w:tcW w:w="900" w:type="pct"/>
            <w:tcMar>
              <w:top w:w="80" w:type="dxa"/>
              <w:left w:w="120" w:type="dxa"/>
              <w:bottom w:w="80" w:type="dxa"/>
              <w:right w:w="120" w:type="dxa"/>
            </w:tcMar>
          </w:tcPr>
          <w:p w14:paraId="2992E064">
            <w:pPr>
              <w:spacing w:line="300" w:lineRule="auto"/>
              <w:jc w:val="left"/>
            </w:pPr>
            <w:r>
              <w:t>消除高风险组合</w:t>
            </w:r>
          </w:p>
        </w:tc>
        <w:tc>
          <w:tcPr>
            <w:tcW w:w="1050" w:type="pct"/>
            <w:tcMar>
              <w:top w:w="80" w:type="dxa"/>
              <w:left w:w="120" w:type="dxa"/>
              <w:bottom w:w="80" w:type="dxa"/>
              <w:right w:w="120" w:type="dxa"/>
            </w:tcMar>
          </w:tcPr>
          <w:p w14:paraId="3167C04C">
            <w:pPr>
              <w:spacing w:line="300" w:lineRule="auto"/>
              <w:jc w:val="left"/>
            </w:pPr>
            <w:r>
              <w:t>达标</w:t>
            </w:r>
          </w:p>
        </w:tc>
      </w:tr>
      <w:tr w14:paraId="0FA4B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Mar>
              <w:top w:w="80" w:type="dxa"/>
              <w:left w:w="120" w:type="dxa"/>
              <w:bottom w:w="80" w:type="dxa"/>
              <w:right w:w="120" w:type="dxa"/>
            </w:tcMar>
          </w:tcPr>
          <w:p w14:paraId="5CBCDD92">
            <w:pPr>
              <w:spacing w:line="300" w:lineRule="auto"/>
              <w:jc w:val="center"/>
            </w:pPr>
            <w:r>
              <w:t>房主密钥哈希比较</w:t>
            </w:r>
          </w:p>
        </w:tc>
        <w:tc>
          <w:tcPr>
            <w:tcW w:w="900" w:type="pct"/>
            <w:tcMar>
              <w:top w:w="80" w:type="dxa"/>
              <w:left w:w="120" w:type="dxa"/>
              <w:bottom w:w="80" w:type="dxa"/>
              <w:right w:w="120" w:type="dxa"/>
            </w:tcMar>
          </w:tcPr>
          <w:p w14:paraId="52E34087">
            <w:pPr>
              <w:spacing w:line="300" w:lineRule="auto"/>
              <w:jc w:val="left"/>
            </w:pPr>
            <w:r>
              <w:t>普通比较</w:t>
            </w:r>
          </w:p>
        </w:tc>
        <w:tc>
          <w:tcPr>
            <w:tcW w:w="900" w:type="pct"/>
            <w:tcMar>
              <w:top w:w="80" w:type="dxa"/>
              <w:left w:w="120" w:type="dxa"/>
              <w:bottom w:w="80" w:type="dxa"/>
              <w:right w:w="120" w:type="dxa"/>
            </w:tcMar>
          </w:tcPr>
          <w:p w14:paraId="5915B688">
            <w:pPr>
              <w:spacing w:line="300" w:lineRule="auto"/>
              <w:jc w:val="left"/>
            </w:pPr>
            <w:r>
              <w:t>恒定时间比较</w:t>
            </w:r>
          </w:p>
        </w:tc>
        <w:tc>
          <w:tcPr>
            <w:tcW w:w="900" w:type="pct"/>
            <w:tcMar>
              <w:top w:w="80" w:type="dxa"/>
              <w:left w:w="120" w:type="dxa"/>
              <w:bottom w:w="80" w:type="dxa"/>
              <w:right w:w="120" w:type="dxa"/>
            </w:tcMar>
          </w:tcPr>
          <w:p w14:paraId="43AFDA91">
            <w:pPr>
              <w:spacing w:line="300" w:lineRule="auto"/>
              <w:jc w:val="left"/>
            </w:pPr>
            <w:r>
              <w:t>降低计时侧信道</w:t>
            </w:r>
          </w:p>
        </w:tc>
        <w:tc>
          <w:tcPr>
            <w:tcW w:w="1050" w:type="pct"/>
            <w:tcMar>
              <w:top w:w="80" w:type="dxa"/>
              <w:left w:w="120" w:type="dxa"/>
              <w:bottom w:w="80" w:type="dxa"/>
              <w:right w:w="120" w:type="dxa"/>
            </w:tcMar>
          </w:tcPr>
          <w:p w14:paraId="0AE191B8">
            <w:pPr>
              <w:spacing w:line="300" w:lineRule="auto"/>
              <w:jc w:val="left"/>
            </w:pPr>
            <w:r>
              <w:t>达标</w:t>
            </w:r>
          </w:p>
        </w:tc>
      </w:tr>
      <w:tr w14:paraId="16770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Mar>
              <w:top w:w="80" w:type="dxa"/>
              <w:left w:w="120" w:type="dxa"/>
              <w:bottom w:w="80" w:type="dxa"/>
              <w:right w:w="120" w:type="dxa"/>
            </w:tcMar>
          </w:tcPr>
          <w:p w14:paraId="0A2E2D3C">
            <w:pPr>
              <w:spacing w:line="300" w:lineRule="auto"/>
              <w:jc w:val="center"/>
            </w:pPr>
            <w:r>
              <w:t>JSON元数据上限</w:t>
            </w:r>
          </w:p>
        </w:tc>
        <w:tc>
          <w:tcPr>
            <w:tcW w:w="900" w:type="pct"/>
            <w:tcMar>
              <w:top w:w="80" w:type="dxa"/>
              <w:left w:w="120" w:type="dxa"/>
              <w:bottom w:w="80" w:type="dxa"/>
              <w:right w:w="120" w:type="dxa"/>
            </w:tcMar>
          </w:tcPr>
          <w:p w14:paraId="1DA54BE0">
            <w:pPr>
              <w:spacing w:line="300" w:lineRule="auto"/>
              <w:jc w:val="left"/>
            </w:pPr>
            <w:r>
              <w:t>无</w:t>
            </w:r>
          </w:p>
        </w:tc>
        <w:tc>
          <w:tcPr>
            <w:tcW w:w="900" w:type="pct"/>
            <w:tcMar>
              <w:top w:w="80" w:type="dxa"/>
              <w:left w:w="120" w:type="dxa"/>
              <w:bottom w:w="80" w:type="dxa"/>
              <w:right w:w="120" w:type="dxa"/>
            </w:tcMar>
          </w:tcPr>
          <w:p w14:paraId="6A498F3A">
            <w:pPr>
              <w:spacing w:line="300" w:lineRule="auto"/>
              <w:jc w:val="left"/>
            </w:pPr>
            <w:r>
              <w:t>64KiB</w:t>
            </w:r>
          </w:p>
        </w:tc>
        <w:tc>
          <w:tcPr>
            <w:tcW w:w="900" w:type="pct"/>
            <w:tcMar>
              <w:top w:w="80" w:type="dxa"/>
              <w:left w:w="120" w:type="dxa"/>
              <w:bottom w:w="80" w:type="dxa"/>
              <w:right w:w="120" w:type="dxa"/>
            </w:tcMar>
          </w:tcPr>
          <w:p w14:paraId="7155E4AA">
            <w:pPr>
              <w:spacing w:line="300" w:lineRule="auto"/>
              <w:jc w:val="left"/>
            </w:pPr>
            <w:r>
              <w:t>建立资源边界</w:t>
            </w:r>
          </w:p>
        </w:tc>
        <w:tc>
          <w:tcPr>
            <w:tcW w:w="1050" w:type="pct"/>
            <w:tcMar>
              <w:top w:w="80" w:type="dxa"/>
              <w:left w:w="120" w:type="dxa"/>
              <w:bottom w:w="80" w:type="dxa"/>
              <w:right w:w="120" w:type="dxa"/>
            </w:tcMar>
          </w:tcPr>
          <w:p w14:paraId="78E8ACC9">
            <w:pPr>
              <w:spacing w:line="300" w:lineRule="auto"/>
              <w:jc w:val="left"/>
            </w:pPr>
            <w:r>
              <w:t>达标</w:t>
            </w:r>
          </w:p>
        </w:tc>
      </w:tr>
      <w:tr w14:paraId="49C4D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Mar>
              <w:top w:w="80" w:type="dxa"/>
              <w:left w:w="120" w:type="dxa"/>
              <w:bottom w:w="80" w:type="dxa"/>
              <w:right w:w="120" w:type="dxa"/>
            </w:tcMar>
          </w:tcPr>
          <w:p w14:paraId="30C05FA6">
            <w:pPr>
              <w:spacing w:line="300" w:lineRule="auto"/>
              <w:jc w:val="center"/>
            </w:pPr>
            <w:r>
              <w:t>安全专项回归测试</w:t>
            </w:r>
          </w:p>
        </w:tc>
        <w:tc>
          <w:tcPr>
            <w:tcW w:w="900" w:type="pct"/>
            <w:tcMar>
              <w:top w:w="80" w:type="dxa"/>
              <w:left w:w="120" w:type="dxa"/>
              <w:bottom w:w="80" w:type="dxa"/>
              <w:right w:w="120" w:type="dxa"/>
            </w:tcMar>
          </w:tcPr>
          <w:p w14:paraId="64483B79">
            <w:pPr>
              <w:spacing w:line="300" w:lineRule="auto"/>
              <w:jc w:val="left"/>
            </w:pPr>
            <w:r>
              <w:t>0项</w:t>
            </w:r>
          </w:p>
        </w:tc>
        <w:tc>
          <w:tcPr>
            <w:tcW w:w="900" w:type="pct"/>
            <w:tcMar>
              <w:top w:w="80" w:type="dxa"/>
              <w:left w:w="120" w:type="dxa"/>
              <w:bottom w:w="80" w:type="dxa"/>
              <w:right w:w="120" w:type="dxa"/>
            </w:tcMar>
          </w:tcPr>
          <w:p w14:paraId="6FDF7B5F">
            <w:pPr>
              <w:spacing w:line="300" w:lineRule="auto"/>
              <w:jc w:val="left"/>
            </w:pPr>
            <w:r>
              <w:t>5项</w:t>
            </w:r>
          </w:p>
        </w:tc>
        <w:tc>
          <w:tcPr>
            <w:tcW w:w="900" w:type="pct"/>
            <w:tcMar>
              <w:top w:w="80" w:type="dxa"/>
              <w:left w:w="120" w:type="dxa"/>
              <w:bottom w:w="80" w:type="dxa"/>
              <w:right w:w="120" w:type="dxa"/>
            </w:tcMar>
          </w:tcPr>
          <w:p w14:paraId="7FEB9BA0">
            <w:pPr>
              <w:spacing w:line="300" w:lineRule="auto"/>
              <w:jc w:val="left"/>
            </w:pPr>
            <w:r>
              <w:t>新增5项</w:t>
            </w:r>
          </w:p>
        </w:tc>
        <w:tc>
          <w:tcPr>
            <w:tcW w:w="1050" w:type="pct"/>
            <w:tcMar>
              <w:top w:w="80" w:type="dxa"/>
              <w:left w:w="120" w:type="dxa"/>
              <w:bottom w:w="80" w:type="dxa"/>
              <w:right w:w="120" w:type="dxa"/>
            </w:tcMar>
          </w:tcPr>
          <w:p w14:paraId="6F469753">
            <w:pPr>
              <w:spacing w:line="300" w:lineRule="auto"/>
              <w:jc w:val="left"/>
            </w:pPr>
            <w:r>
              <w:t>达标</w:t>
            </w:r>
          </w:p>
        </w:tc>
      </w:tr>
    </w:tbl>
    <w:p w14:paraId="2C20658B">
      <w:pPr>
        <w:pStyle w:val="3"/>
        <w:spacing w:before="280" w:after="120"/>
      </w:pPr>
      <w:r>
        <w:rPr>
          <w:rFonts w:ascii="Calibri" w:eastAsia="黑体"/>
          <w:b/>
          <w:bCs/>
          <w:color w:val="15857A"/>
          <w:sz w:val="24"/>
          <w:szCs w:val="24"/>
        </w:rPr>
        <w:t>4.2 未达标分析（如果有）</w:t>
      </w:r>
    </w:p>
    <w:p w14:paraId="75EBA937">
      <w:pPr>
        <w:spacing w:after="100" w:line="360" w:lineRule="auto"/>
      </w:pPr>
      <w:r>
        <w:rPr>
          <w:rFonts w:ascii="Calibri" w:eastAsia="微软雅黑"/>
          <w:i/>
          <w:iCs/>
          <w:color w:val="9CA3AF"/>
        </w:rPr>
        <w:t>无。三项修复均达到挑战目标，并通过服务端全量测试与静态检查。生产环境精确CORS域名、TLS终止和依赖漏洞扫描属于后续部署治理，不计入本轮已完成范围。</w:t>
      </w:r>
    </w:p>
    <w:p w14:paraId="5245F0EC">
      <w:pPr>
        <w:pStyle w:val="2"/>
        <w:spacing w:before="360" w:after="160"/>
      </w:pPr>
      <w:r>
        <w:rPr>
          <w:rFonts w:ascii="Calibri" w:eastAsia="黑体"/>
          <w:b/>
          <w:bCs/>
          <w:color w:val="15857A"/>
          <w:sz w:val="28"/>
          <w:szCs w:val="28"/>
        </w:rPr>
        <w:t>5. 证据材料清单</w:t>
      </w:r>
    </w:p>
    <w:p w14:paraId="0462FF29">
      <w:pPr>
        <w:spacing w:after="100" w:line="360" w:lineRule="auto"/>
      </w:pPr>
      <w:r>
        <w:rPr>
          <w:rFonts w:ascii="Calibri" w:eastAsia="微软雅黑"/>
          <w:color w:val="2D2D2D"/>
          <w:sz w:val="22"/>
          <w:szCs w:val="22"/>
        </w:rPr>
        <w:t>证据均保存在当前仓库或可由列出的命令重复生成。</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2"/>
        <w:gridCol w:w="1806"/>
        <w:gridCol w:w="3792"/>
        <w:gridCol w:w="2708"/>
      </w:tblGrid>
      <w:tr w14:paraId="6A471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shd w:val="clear" w:color="auto" w:fill="E8F0EF"/>
            <w:tcMar>
              <w:top w:w="80" w:type="dxa"/>
              <w:left w:w="120" w:type="dxa"/>
              <w:bottom w:w="80" w:type="dxa"/>
              <w:right w:w="120" w:type="dxa"/>
            </w:tcMar>
          </w:tcPr>
          <w:p w14:paraId="35881C97">
            <w:pPr>
              <w:spacing w:line="300" w:lineRule="auto"/>
              <w:jc w:val="center"/>
            </w:pPr>
            <w:r>
              <w:rPr>
                <w:rFonts w:ascii="Calibri" w:eastAsia="微软雅黑"/>
                <w:b/>
                <w:bCs/>
                <w:color w:val="15857A"/>
              </w:rPr>
              <w:t>编号</w:t>
            </w:r>
          </w:p>
        </w:tc>
        <w:tc>
          <w:tcPr>
            <w:tcW w:w="1000" w:type="pct"/>
            <w:shd w:val="clear" w:color="auto" w:fill="E8F0EF"/>
            <w:tcMar>
              <w:top w:w="80" w:type="dxa"/>
              <w:left w:w="120" w:type="dxa"/>
              <w:bottom w:w="80" w:type="dxa"/>
              <w:right w:w="120" w:type="dxa"/>
            </w:tcMar>
          </w:tcPr>
          <w:p w14:paraId="4F324748">
            <w:pPr>
              <w:spacing w:line="300" w:lineRule="auto"/>
              <w:jc w:val="center"/>
            </w:pPr>
            <w:r>
              <w:rPr>
                <w:rFonts w:ascii="Calibri" w:eastAsia="微软雅黑"/>
                <w:b/>
                <w:bCs/>
                <w:color w:val="15857A"/>
              </w:rPr>
              <w:t>证据类型</w:t>
            </w:r>
          </w:p>
        </w:tc>
        <w:tc>
          <w:tcPr>
            <w:tcW w:w="2100" w:type="pct"/>
            <w:shd w:val="clear" w:color="auto" w:fill="E8F0EF"/>
            <w:tcMar>
              <w:top w:w="80" w:type="dxa"/>
              <w:left w:w="120" w:type="dxa"/>
              <w:bottom w:w="80" w:type="dxa"/>
              <w:right w:w="120" w:type="dxa"/>
            </w:tcMar>
          </w:tcPr>
          <w:p w14:paraId="46ED6A4C">
            <w:pPr>
              <w:spacing w:line="300" w:lineRule="auto"/>
              <w:jc w:val="center"/>
            </w:pPr>
            <w:r>
              <w:rPr>
                <w:rFonts w:ascii="Calibri" w:eastAsia="微软雅黑"/>
                <w:b/>
                <w:bCs/>
                <w:color w:val="15857A"/>
              </w:rPr>
              <w:t>说明</w:t>
            </w:r>
          </w:p>
        </w:tc>
        <w:tc>
          <w:tcPr>
            <w:tcW w:w="1500" w:type="pct"/>
            <w:shd w:val="clear" w:color="auto" w:fill="E8F0EF"/>
            <w:tcMar>
              <w:top w:w="80" w:type="dxa"/>
              <w:left w:w="120" w:type="dxa"/>
              <w:bottom w:w="80" w:type="dxa"/>
              <w:right w:w="120" w:type="dxa"/>
            </w:tcMar>
          </w:tcPr>
          <w:p w14:paraId="283C258C">
            <w:pPr>
              <w:spacing w:line="300" w:lineRule="auto"/>
              <w:jc w:val="center"/>
            </w:pPr>
            <w:r>
              <w:rPr>
                <w:rFonts w:ascii="Calibri" w:eastAsia="微软雅黑"/>
                <w:b/>
                <w:bCs/>
                <w:color w:val="15857A"/>
              </w:rPr>
              <w:t>位置</w:t>
            </w:r>
          </w:p>
        </w:tc>
      </w:tr>
      <w:tr w14:paraId="2CDEB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80" w:type="dxa"/>
              <w:left w:w="120" w:type="dxa"/>
              <w:bottom w:w="80" w:type="dxa"/>
              <w:right w:w="120" w:type="dxa"/>
            </w:tcMar>
          </w:tcPr>
          <w:p w14:paraId="6CBA1371">
            <w:pPr>
              <w:spacing w:line="300" w:lineRule="auto"/>
              <w:jc w:val="center"/>
            </w:pPr>
            <w:r>
              <w:rPr>
                <w:rFonts w:ascii="Calibri" w:eastAsia="微软雅黑"/>
                <w:color w:val="2D2D2D"/>
              </w:rPr>
              <w:t>E1</w:t>
            </w:r>
          </w:p>
        </w:tc>
        <w:tc>
          <w:tcPr>
            <w:tcW w:w="1000" w:type="pct"/>
            <w:tcMar>
              <w:top w:w="80" w:type="dxa"/>
              <w:left w:w="120" w:type="dxa"/>
              <w:bottom w:w="80" w:type="dxa"/>
              <w:right w:w="120" w:type="dxa"/>
            </w:tcMar>
          </w:tcPr>
          <w:p w14:paraId="1098B537">
            <w:pPr>
              <w:spacing w:line="300" w:lineRule="auto"/>
              <w:jc w:val="left"/>
            </w:pPr>
            <w:r>
              <w:t>代码提交</w:t>
            </w:r>
          </w:p>
        </w:tc>
        <w:tc>
          <w:tcPr>
            <w:tcW w:w="2100" w:type="pct"/>
            <w:tcMar>
              <w:top w:w="80" w:type="dxa"/>
              <w:left w:w="120" w:type="dxa"/>
              <w:bottom w:w="80" w:type="dxa"/>
              <w:right w:w="120" w:type="dxa"/>
            </w:tcMar>
          </w:tcPr>
          <w:p w14:paraId="3A9E6C1C">
            <w:pPr>
              <w:spacing w:line="300" w:lineRule="auto"/>
              <w:jc w:val="left"/>
            </w:pPr>
            <w:r>
              <w:t>阶段二验收挑战安全修复</w:t>
            </w:r>
          </w:p>
        </w:tc>
        <w:tc>
          <w:tcPr>
            <w:tcW w:w="1500" w:type="pct"/>
            <w:tcMar>
              <w:top w:w="80" w:type="dxa"/>
              <w:left w:w="120" w:type="dxa"/>
              <w:bottom w:w="80" w:type="dxa"/>
              <w:right w:w="120" w:type="dxa"/>
            </w:tcMar>
          </w:tcPr>
          <w:p w14:paraId="0DC27ABD">
            <w:pPr>
              <w:spacing w:line="300" w:lineRule="auto"/>
              <w:jc w:val="left"/>
            </w:pPr>
            <w:r>
              <w:t>提交727c6f8</w:t>
            </w:r>
          </w:p>
        </w:tc>
      </w:tr>
      <w:tr w14:paraId="06EFB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80" w:type="dxa"/>
              <w:left w:w="120" w:type="dxa"/>
              <w:bottom w:w="80" w:type="dxa"/>
              <w:right w:w="120" w:type="dxa"/>
            </w:tcMar>
          </w:tcPr>
          <w:p w14:paraId="6EA001CA">
            <w:pPr>
              <w:spacing w:line="300" w:lineRule="auto"/>
              <w:jc w:val="center"/>
            </w:pPr>
            <w:r>
              <w:rPr>
                <w:rFonts w:ascii="Calibri" w:eastAsia="微软雅黑"/>
                <w:color w:val="2D2D2D"/>
              </w:rPr>
              <w:t>E2</w:t>
            </w:r>
          </w:p>
        </w:tc>
        <w:tc>
          <w:tcPr>
            <w:tcW w:w="1000" w:type="pct"/>
            <w:tcMar>
              <w:top w:w="80" w:type="dxa"/>
              <w:left w:w="120" w:type="dxa"/>
              <w:bottom w:w="80" w:type="dxa"/>
              <w:right w:w="120" w:type="dxa"/>
            </w:tcMar>
          </w:tcPr>
          <w:p w14:paraId="3A14B063">
            <w:pPr>
              <w:spacing w:line="300" w:lineRule="auto"/>
              <w:jc w:val="left"/>
            </w:pPr>
            <w:r>
              <w:t>自动化测试</w:t>
            </w:r>
          </w:p>
        </w:tc>
        <w:tc>
          <w:tcPr>
            <w:tcW w:w="2100" w:type="pct"/>
            <w:tcMar>
              <w:top w:w="80" w:type="dxa"/>
              <w:left w:w="120" w:type="dxa"/>
              <w:bottom w:w="80" w:type="dxa"/>
              <w:right w:w="120" w:type="dxa"/>
            </w:tcMar>
          </w:tcPr>
          <w:p w14:paraId="30132555">
            <w:pPr>
              <w:spacing w:line="300" w:lineRule="auto"/>
              <w:jc w:val="left"/>
            </w:pPr>
            <w:r>
              <w:t>Go各包测试通过，5项安全回归覆盖</w:t>
            </w:r>
          </w:p>
        </w:tc>
        <w:tc>
          <w:tcPr>
            <w:tcW w:w="1500" w:type="pct"/>
            <w:tcMar>
              <w:top w:w="80" w:type="dxa"/>
              <w:left w:w="120" w:type="dxa"/>
              <w:bottom w:w="80" w:type="dxa"/>
              <w:right w:w="120" w:type="dxa"/>
            </w:tcMar>
          </w:tcPr>
          <w:p w14:paraId="38C242A5">
            <w:pPr>
              <w:spacing w:line="300" w:lineRule="auto"/>
              <w:jc w:val="left"/>
            </w:pPr>
            <w:r>
              <w:t>FlowMuse-Server/*_test.go</w:t>
            </w:r>
          </w:p>
        </w:tc>
      </w:tr>
      <w:tr w14:paraId="09228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80" w:type="dxa"/>
              <w:left w:w="120" w:type="dxa"/>
              <w:bottom w:w="80" w:type="dxa"/>
              <w:right w:w="120" w:type="dxa"/>
            </w:tcMar>
          </w:tcPr>
          <w:p w14:paraId="094894FC">
            <w:pPr>
              <w:spacing w:line="300" w:lineRule="auto"/>
              <w:jc w:val="center"/>
            </w:pPr>
            <w:r>
              <w:rPr>
                <w:rFonts w:ascii="Calibri" w:eastAsia="微软雅黑"/>
                <w:color w:val="2D2D2D"/>
              </w:rPr>
              <w:t>E3</w:t>
            </w:r>
          </w:p>
        </w:tc>
        <w:tc>
          <w:tcPr>
            <w:tcW w:w="1000" w:type="pct"/>
            <w:tcMar>
              <w:top w:w="80" w:type="dxa"/>
              <w:left w:w="120" w:type="dxa"/>
              <w:bottom w:w="80" w:type="dxa"/>
              <w:right w:w="120" w:type="dxa"/>
            </w:tcMar>
          </w:tcPr>
          <w:p w14:paraId="5AB8FBC3">
            <w:pPr>
              <w:spacing w:line="300" w:lineRule="auto"/>
              <w:jc w:val="left"/>
            </w:pPr>
            <w:r>
              <w:t>静态检查</w:t>
            </w:r>
          </w:p>
        </w:tc>
        <w:tc>
          <w:tcPr>
            <w:tcW w:w="2100" w:type="pct"/>
            <w:tcMar>
              <w:top w:w="80" w:type="dxa"/>
              <w:left w:w="120" w:type="dxa"/>
              <w:bottom w:w="80" w:type="dxa"/>
              <w:right w:w="120" w:type="dxa"/>
            </w:tcMar>
          </w:tcPr>
          <w:p w14:paraId="54A2FEF8">
            <w:pPr>
              <w:spacing w:line="300" w:lineRule="auto"/>
              <w:jc w:val="left"/>
            </w:pPr>
            <w:r>
              <w:t>go vet ./...退出码0；git diff --check通过</w:t>
            </w:r>
          </w:p>
        </w:tc>
        <w:tc>
          <w:tcPr>
            <w:tcW w:w="1500" w:type="pct"/>
            <w:tcMar>
              <w:top w:w="80" w:type="dxa"/>
              <w:left w:w="120" w:type="dxa"/>
              <w:bottom w:w="80" w:type="dxa"/>
              <w:right w:w="120" w:type="dxa"/>
            </w:tcMar>
          </w:tcPr>
          <w:p w14:paraId="6443FC3A">
            <w:pPr>
              <w:spacing w:line="300" w:lineRule="auto"/>
              <w:jc w:val="left"/>
            </w:pPr>
            <w:r>
              <w:t>本地命令输出</w:t>
            </w:r>
          </w:p>
        </w:tc>
      </w:tr>
      <w:tr w14:paraId="64831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80" w:type="dxa"/>
              <w:left w:w="120" w:type="dxa"/>
              <w:bottom w:w="80" w:type="dxa"/>
              <w:right w:w="120" w:type="dxa"/>
            </w:tcMar>
          </w:tcPr>
          <w:p w14:paraId="3C71C71E">
            <w:pPr>
              <w:spacing w:line="300" w:lineRule="auto"/>
              <w:jc w:val="center"/>
            </w:pPr>
            <w:r>
              <w:rPr>
                <w:rFonts w:ascii="Calibri" w:eastAsia="微软雅黑"/>
                <w:color w:val="2D2D2D"/>
              </w:rPr>
              <w:t>E4</w:t>
            </w:r>
          </w:p>
        </w:tc>
        <w:tc>
          <w:tcPr>
            <w:tcW w:w="1000" w:type="pct"/>
            <w:tcMar>
              <w:top w:w="80" w:type="dxa"/>
              <w:left w:w="120" w:type="dxa"/>
              <w:bottom w:w="80" w:type="dxa"/>
              <w:right w:w="120" w:type="dxa"/>
            </w:tcMar>
          </w:tcPr>
          <w:p w14:paraId="49386B98">
            <w:pPr>
              <w:spacing w:line="300" w:lineRule="auto"/>
              <w:jc w:val="left"/>
            </w:pPr>
            <w:r>
              <w:t>审计报告</w:t>
            </w:r>
          </w:p>
        </w:tc>
        <w:tc>
          <w:tcPr>
            <w:tcW w:w="2100" w:type="pct"/>
            <w:tcMar>
              <w:top w:w="80" w:type="dxa"/>
              <w:left w:w="120" w:type="dxa"/>
              <w:bottom w:w="80" w:type="dxa"/>
              <w:right w:w="120" w:type="dxa"/>
            </w:tcMar>
          </w:tcPr>
          <w:p w14:paraId="2A57596A">
            <w:pPr>
              <w:spacing w:line="300" w:lineRule="auto"/>
              <w:jc w:val="left"/>
            </w:pPr>
            <w:r>
              <w:t>OWASP Top 10矩阵、前后对比与剩余风险</w:t>
            </w:r>
          </w:p>
        </w:tc>
        <w:tc>
          <w:tcPr>
            <w:tcW w:w="1500" w:type="pct"/>
            <w:tcMar>
              <w:top w:w="80" w:type="dxa"/>
              <w:left w:w="120" w:type="dxa"/>
              <w:bottom w:w="80" w:type="dxa"/>
              <w:right w:w="120" w:type="dxa"/>
            </w:tcMar>
          </w:tcPr>
          <w:p w14:paraId="156B3804">
            <w:pPr>
              <w:spacing w:line="300" w:lineRule="auto"/>
              <w:jc w:val="left"/>
            </w:pPr>
            <w:r>
              <w:t>docs/sprint2/sprint2-安全加固报告.md</w:t>
            </w:r>
          </w:p>
        </w:tc>
      </w:tr>
    </w:tbl>
    <w:p w14:paraId="654E652B">
      <w:pPr>
        <w:pStyle w:val="2"/>
        <w:spacing w:before="360" w:after="160"/>
      </w:pPr>
      <w:r>
        <w:rPr>
          <w:rFonts w:ascii="Calibri" w:eastAsia="黑体"/>
          <w:b/>
          <w:bCs/>
          <w:color w:val="15857A"/>
          <w:sz w:val="28"/>
          <w:szCs w:val="28"/>
        </w:rPr>
        <w:t>6. 自我评估</w:t>
      </w:r>
    </w:p>
    <w:p w14:paraId="436FFA96">
      <w:pPr>
        <w:pStyle w:val="3"/>
        <w:spacing w:before="280" w:after="120"/>
      </w:pPr>
      <w:r>
        <w:rPr>
          <w:rFonts w:ascii="Calibri" w:eastAsia="黑体"/>
          <w:b/>
          <w:bCs/>
          <w:color w:val="15857A"/>
          <w:sz w:val="24"/>
          <w:szCs w:val="24"/>
        </w:rPr>
        <w:t>6.1 完成度自评</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60"/>
        <w:gridCol w:w="2257"/>
        <w:gridCol w:w="3611"/>
      </w:tblGrid>
      <w:tr w14:paraId="1598C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50" w:type="pct"/>
            <w:shd w:val="clear" w:color="auto" w:fill="E8F0EF"/>
            <w:tcMar>
              <w:top w:w="80" w:type="dxa"/>
              <w:left w:w="120" w:type="dxa"/>
              <w:bottom w:w="80" w:type="dxa"/>
              <w:right w:w="120" w:type="dxa"/>
            </w:tcMar>
          </w:tcPr>
          <w:p w14:paraId="0EAAE035">
            <w:pPr>
              <w:spacing w:line="300" w:lineRule="auto"/>
              <w:jc w:val="center"/>
            </w:pPr>
            <w:r>
              <w:rPr>
                <w:rFonts w:ascii="Calibri" w:eastAsia="微软雅黑"/>
                <w:b/>
                <w:bCs/>
                <w:color w:val="15857A"/>
              </w:rPr>
              <w:t>评估项</w:t>
            </w:r>
          </w:p>
        </w:tc>
        <w:tc>
          <w:tcPr>
            <w:tcW w:w="1250" w:type="pct"/>
            <w:shd w:val="clear" w:color="auto" w:fill="E8F0EF"/>
            <w:tcMar>
              <w:top w:w="80" w:type="dxa"/>
              <w:left w:w="120" w:type="dxa"/>
              <w:bottom w:w="80" w:type="dxa"/>
              <w:right w:w="120" w:type="dxa"/>
            </w:tcMar>
          </w:tcPr>
          <w:p w14:paraId="37F71E5C">
            <w:pPr>
              <w:spacing w:line="300" w:lineRule="auto"/>
              <w:jc w:val="center"/>
            </w:pPr>
            <w:r>
              <w:rPr>
                <w:rFonts w:ascii="Calibri" w:eastAsia="微软雅黑"/>
                <w:b/>
                <w:bCs/>
                <w:color w:val="15857A"/>
              </w:rPr>
              <w:t>自评分数（0-100）</w:t>
            </w:r>
          </w:p>
        </w:tc>
        <w:tc>
          <w:tcPr>
            <w:tcW w:w="2000" w:type="pct"/>
            <w:shd w:val="clear" w:color="auto" w:fill="E8F0EF"/>
            <w:tcMar>
              <w:top w:w="80" w:type="dxa"/>
              <w:left w:w="120" w:type="dxa"/>
              <w:bottom w:w="80" w:type="dxa"/>
              <w:right w:w="120" w:type="dxa"/>
            </w:tcMar>
          </w:tcPr>
          <w:p w14:paraId="383ED770">
            <w:pPr>
              <w:spacing w:line="300" w:lineRule="auto"/>
              <w:jc w:val="center"/>
            </w:pPr>
            <w:r>
              <w:rPr>
                <w:rFonts w:ascii="Calibri" w:eastAsia="微软雅黑"/>
                <w:b/>
                <w:bCs/>
                <w:color w:val="15857A"/>
              </w:rPr>
              <w:t>说明</w:t>
            </w:r>
          </w:p>
        </w:tc>
      </w:tr>
      <w:tr w14:paraId="68849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80" w:type="dxa"/>
              <w:left w:w="120" w:type="dxa"/>
              <w:bottom w:w="80" w:type="dxa"/>
              <w:right w:w="120" w:type="dxa"/>
            </w:tcMar>
          </w:tcPr>
          <w:p w14:paraId="54B6555F">
            <w:pPr>
              <w:spacing w:line="300" w:lineRule="auto"/>
              <w:jc w:val="center"/>
            </w:pPr>
            <w:r>
              <w:rPr>
                <w:rFonts w:ascii="Calibri" w:eastAsia="微软雅黑"/>
                <w:color w:val="2D2D2D"/>
              </w:rPr>
              <w:t>挑战完成度</w:t>
            </w:r>
          </w:p>
        </w:tc>
        <w:tc>
          <w:tcPr>
            <w:tcW w:w="1250" w:type="pct"/>
            <w:tcMar>
              <w:top w:w="80" w:type="dxa"/>
              <w:left w:w="120" w:type="dxa"/>
              <w:bottom w:w="80" w:type="dxa"/>
              <w:right w:w="120" w:type="dxa"/>
            </w:tcMar>
          </w:tcPr>
          <w:p w14:paraId="0DFD9F7A">
            <w:pPr>
              <w:spacing w:line="300" w:lineRule="auto"/>
              <w:jc w:val="left"/>
            </w:pPr>
            <w:r>
              <w:t>100</w:t>
            </w:r>
          </w:p>
        </w:tc>
        <w:tc>
          <w:tcPr>
            <w:tcW w:w="2000" w:type="pct"/>
            <w:tcMar>
              <w:top w:w="80" w:type="dxa"/>
              <w:left w:w="120" w:type="dxa"/>
              <w:bottom w:w="80" w:type="dxa"/>
              <w:right w:w="120" w:type="dxa"/>
            </w:tcMar>
          </w:tcPr>
          <w:p w14:paraId="5E1A5581">
            <w:pPr>
              <w:spacing w:line="300" w:lineRule="auto"/>
              <w:jc w:val="left"/>
            </w:pPr>
            <w:r>
              <w:t>3项问题全部修复并有回归测试</w:t>
            </w:r>
          </w:p>
        </w:tc>
      </w:tr>
      <w:tr w14:paraId="34E2B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80" w:type="dxa"/>
              <w:left w:w="120" w:type="dxa"/>
              <w:bottom w:w="80" w:type="dxa"/>
              <w:right w:w="120" w:type="dxa"/>
            </w:tcMar>
          </w:tcPr>
          <w:p w14:paraId="469C322F">
            <w:pPr>
              <w:spacing w:line="300" w:lineRule="auto"/>
              <w:jc w:val="center"/>
            </w:pPr>
            <w:r>
              <w:rPr>
                <w:rFonts w:ascii="Calibri" w:eastAsia="微软雅黑"/>
                <w:color w:val="2D2D2D"/>
              </w:rPr>
              <w:t>数据可信度（有充分证据）</w:t>
            </w:r>
          </w:p>
        </w:tc>
        <w:tc>
          <w:tcPr>
            <w:tcW w:w="1250" w:type="pct"/>
            <w:tcMar>
              <w:top w:w="80" w:type="dxa"/>
              <w:left w:w="120" w:type="dxa"/>
              <w:bottom w:w="80" w:type="dxa"/>
              <w:right w:w="120" w:type="dxa"/>
            </w:tcMar>
          </w:tcPr>
          <w:p w14:paraId="2A3A0471">
            <w:pPr>
              <w:spacing w:line="300" w:lineRule="auto"/>
              <w:jc w:val="left"/>
            </w:pPr>
            <w:r>
              <w:t>95</w:t>
            </w:r>
          </w:p>
        </w:tc>
        <w:tc>
          <w:tcPr>
            <w:tcW w:w="2000" w:type="pct"/>
            <w:tcMar>
              <w:top w:w="80" w:type="dxa"/>
              <w:left w:w="120" w:type="dxa"/>
              <w:bottom w:w="80" w:type="dxa"/>
              <w:right w:w="120" w:type="dxa"/>
            </w:tcMar>
          </w:tcPr>
          <w:p w14:paraId="24229BC4">
            <w:pPr>
              <w:spacing w:line="300" w:lineRule="auto"/>
              <w:jc w:val="left"/>
            </w:pPr>
            <w:r>
              <w:t>代码、测试、vet和审计报告相互印证</w:t>
            </w:r>
          </w:p>
        </w:tc>
      </w:tr>
      <w:tr w14:paraId="1957C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80" w:type="dxa"/>
              <w:left w:w="120" w:type="dxa"/>
              <w:bottom w:w="80" w:type="dxa"/>
              <w:right w:w="120" w:type="dxa"/>
            </w:tcMar>
          </w:tcPr>
          <w:p w14:paraId="09B351BA">
            <w:pPr>
              <w:spacing w:line="300" w:lineRule="auto"/>
              <w:jc w:val="center"/>
            </w:pPr>
            <w:r>
              <w:rPr>
                <w:rFonts w:ascii="Calibri" w:eastAsia="微软雅黑"/>
                <w:color w:val="2D2D2D"/>
              </w:rPr>
              <w:t>过程深度（确实动手了而非AI代劳）</w:t>
            </w:r>
          </w:p>
        </w:tc>
        <w:tc>
          <w:tcPr>
            <w:tcW w:w="1250" w:type="pct"/>
            <w:tcMar>
              <w:top w:w="80" w:type="dxa"/>
              <w:left w:w="120" w:type="dxa"/>
              <w:bottom w:w="80" w:type="dxa"/>
              <w:right w:w="120" w:type="dxa"/>
            </w:tcMar>
          </w:tcPr>
          <w:p w14:paraId="208E75DB">
            <w:pPr>
              <w:spacing w:line="300" w:lineRule="auto"/>
              <w:jc w:val="left"/>
            </w:pPr>
            <w:r>
              <w:t>95</w:t>
            </w:r>
          </w:p>
        </w:tc>
        <w:tc>
          <w:tcPr>
            <w:tcW w:w="2000" w:type="pct"/>
            <w:tcMar>
              <w:top w:w="80" w:type="dxa"/>
              <w:left w:w="120" w:type="dxa"/>
              <w:bottom w:w="80" w:type="dxa"/>
              <w:right w:w="120" w:type="dxa"/>
            </w:tcMar>
          </w:tcPr>
          <w:p w14:paraId="56E36C29">
            <w:pPr>
              <w:spacing w:line="300" w:lineRule="auto"/>
              <w:jc w:val="left"/>
            </w:pPr>
            <w:r>
              <w:t>人工否决会改变启动流程的方案并重新选型</w:t>
            </w:r>
          </w:p>
        </w:tc>
      </w:tr>
    </w:tbl>
    <w:p w14:paraId="5BD647DA">
      <w:pPr>
        <w:pStyle w:val="3"/>
        <w:spacing w:before="280" w:after="120"/>
      </w:pPr>
      <w:r>
        <w:rPr>
          <w:rFonts w:ascii="Calibri" w:eastAsia="黑体"/>
          <w:b/>
          <w:bCs/>
          <w:color w:val="15857A"/>
          <w:sz w:val="24"/>
          <w:szCs w:val="24"/>
        </w:rPr>
        <w:t>6.2 心得与收获</w:t>
      </w:r>
    </w:p>
    <w:p w14:paraId="149AFCB8">
      <w:pPr>
        <w:spacing w:after="100" w:line="360" w:lineRule="auto"/>
      </w:pPr>
      <w:r>
        <w:rPr>
          <w:rFonts w:ascii="Calibri" w:eastAsia="微软雅黑"/>
          <w:i/>
          <w:iCs/>
          <w:color w:val="9CA3AF"/>
        </w:rPr>
        <w:t>AI擅长快速枚举风险和生成测试骨架，但容易把“理论上更安全”误当成“适合当前系统”，例如最初提出的强制JWT密钥会改变服务器启动流程。团队的价值在于理解部署约束、识别副作用、选择不破坏兼容性的修复，并用真实测试而不是措辞证明结果。</w:t>
      </w:r>
    </w:p>
    <w:p w14:paraId="61896990">
      <w:pPr>
        <w:spacing w:after="100" w:line="360" w:lineRule="auto"/>
      </w:pPr>
    </w:p>
    <w:p w14:paraId="09A5C3FE">
      <w:pPr>
        <w:spacing w:after="100" w:line="360" w:lineRule="auto"/>
      </w:pPr>
    </w:p>
    <w:p w14:paraId="6139B42F">
      <w:pPr>
        <w:spacing w:after="100" w:line="360" w:lineRule="auto"/>
      </w:pPr>
    </w:p>
    <w:p w14:paraId="01740BC2">
      <w:pPr>
        <w:pStyle w:val="3"/>
        <w:spacing w:before="280" w:after="120"/>
      </w:pPr>
      <w:r>
        <w:rPr>
          <w:rFonts w:ascii="Calibri" w:eastAsia="黑体"/>
          <w:b/>
          <w:bCs/>
          <w:color w:val="15857A"/>
          <w:sz w:val="24"/>
          <w:szCs w:val="24"/>
        </w:rPr>
        <w:t>6.3 组员分工</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7"/>
        <w:gridCol w:w="6771"/>
      </w:tblGrid>
      <w:tr w14:paraId="6396F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50" w:type="pct"/>
            <w:shd w:val="clear" w:color="auto" w:fill="E8F0EF"/>
            <w:tcMar>
              <w:top w:w="80" w:type="dxa"/>
              <w:left w:w="120" w:type="dxa"/>
              <w:bottom w:w="80" w:type="dxa"/>
              <w:right w:w="120" w:type="dxa"/>
            </w:tcMar>
          </w:tcPr>
          <w:p w14:paraId="22CF704B">
            <w:pPr>
              <w:spacing w:line="300" w:lineRule="auto"/>
              <w:jc w:val="center"/>
            </w:pPr>
            <w:r>
              <w:rPr>
                <w:rFonts w:ascii="Calibri" w:eastAsia="微软雅黑"/>
                <w:b/>
                <w:bCs/>
                <w:color w:val="15857A"/>
              </w:rPr>
              <w:t>姓名</w:t>
            </w:r>
          </w:p>
        </w:tc>
        <w:tc>
          <w:tcPr>
            <w:tcW w:w="3750" w:type="pct"/>
            <w:shd w:val="clear" w:color="auto" w:fill="E8F0EF"/>
            <w:tcMar>
              <w:top w:w="80" w:type="dxa"/>
              <w:left w:w="120" w:type="dxa"/>
              <w:bottom w:w="80" w:type="dxa"/>
              <w:right w:w="120" w:type="dxa"/>
            </w:tcMar>
          </w:tcPr>
          <w:p w14:paraId="1A5C9BFB">
            <w:pPr>
              <w:spacing w:line="300" w:lineRule="auto"/>
              <w:jc w:val="center"/>
            </w:pPr>
            <w:r>
              <w:rPr>
                <w:rFonts w:ascii="Calibri" w:eastAsia="微软雅黑"/>
                <w:b/>
                <w:bCs/>
                <w:color w:val="15857A"/>
              </w:rPr>
              <w:t>在本挑战中的具体分工</w:t>
            </w:r>
          </w:p>
        </w:tc>
      </w:tr>
      <w:tr w14:paraId="55949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Mar>
              <w:top w:w="80" w:type="dxa"/>
              <w:left w:w="120" w:type="dxa"/>
              <w:bottom w:w="80" w:type="dxa"/>
              <w:right w:w="120" w:type="dxa"/>
            </w:tcMar>
          </w:tcPr>
          <w:p w14:paraId="43E4650B">
            <w:pPr>
              <w:spacing w:line="300" w:lineRule="auto"/>
              <w:jc w:val="center"/>
            </w:pPr>
            <w:r>
              <w:t>陈宏宇</w:t>
            </w:r>
          </w:p>
        </w:tc>
        <w:tc>
          <w:tcPr>
            <w:tcW w:w="3750" w:type="pct"/>
            <w:tcMar>
              <w:top w:w="80" w:type="dxa"/>
              <w:left w:w="120" w:type="dxa"/>
              <w:bottom w:w="80" w:type="dxa"/>
              <w:right w:w="120" w:type="dxa"/>
            </w:tcMar>
          </w:tcPr>
          <w:p w14:paraId="13D25AAD">
            <w:pPr>
              <w:spacing w:line="300" w:lineRule="auto"/>
              <w:jc w:val="left"/>
            </w:pPr>
            <w:r>
              <w:t>OWASP信任边界审计、CORS方案复核</w:t>
            </w:r>
          </w:p>
        </w:tc>
      </w:tr>
      <w:tr w14:paraId="573B8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Mar>
              <w:top w:w="80" w:type="dxa"/>
              <w:left w:w="120" w:type="dxa"/>
              <w:bottom w:w="80" w:type="dxa"/>
              <w:right w:w="120" w:type="dxa"/>
            </w:tcMar>
          </w:tcPr>
          <w:p w14:paraId="0C870BC8">
            <w:pPr>
              <w:spacing w:line="300" w:lineRule="auto"/>
              <w:jc w:val="center"/>
            </w:pPr>
            <w:r>
              <w:t>任逸青</w:t>
            </w:r>
          </w:p>
        </w:tc>
        <w:tc>
          <w:tcPr>
            <w:tcW w:w="3750" w:type="pct"/>
            <w:tcMar>
              <w:top w:w="80" w:type="dxa"/>
              <w:left w:w="120" w:type="dxa"/>
              <w:bottom w:w="80" w:type="dxa"/>
              <w:right w:w="120" w:type="dxa"/>
            </w:tcMar>
          </w:tcPr>
          <w:p w14:paraId="0D30BC5E">
            <w:pPr>
              <w:spacing w:line="300" w:lineRule="auto"/>
              <w:jc w:val="left"/>
            </w:pPr>
            <w:r>
              <w:t>JSON请求体上限实现与异常路径测试</w:t>
            </w:r>
          </w:p>
        </w:tc>
      </w:tr>
      <w:tr w14:paraId="1A0E8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Mar>
              <w:top w:w="80" w:type="dxa"/>
              <w:left w:w="120" w:type="dxa"/>
              <w:bottom w:w="80" w:type="dxa"/>
              <w:right w:w="120" w:type="dxa"/>
            </w:tcMar>
          </w:tcPr>
          <w:p w14:paraId="3CE96364">
            <w:pPr>
              <w:spacing w:line="300" w:lineRule="auto"/>
              <w:jc w:val="center"/>
            </w:pPr>
            <w:r>
              <w:t>李天宇</w:t>
            </w:r>
          </w:p>
        </w:tc>
        <w:tc>
          <w:tcPr>
            <w:tcW w:w="3750" w:type="pct"/>
            <w:tcMar>
              <w:top w:w="80" w:type="dxa"/>
              <w:left w:w="120" w:type="dxa"/>
              <w:bottom w:w="80" w:type="dxa"/>
              <w:right w:w="120" w:type="dxa"/>
            </w:tcMar>
          </w:tcPr>
          <w:p w14:paraId="685A0514">
            <w:pPr>
              <w:spacing w:line="300" w:lineRule="auto"/>
              <w:jc w:val="left"/>
            </w:pPr>
            <w:r>
              <w:t>恒定时间比较、全量验证与报告整理</w:t>
            </w:r>
          </w:p>
        </w:tc>
      </w:tr>
    </w:tbl>
    <w:p w14:paraId="49F67999"/>
    <w:sectPr>
      <w:footerReference r:id="rId3" w:type="default"/>
      <w:pgSz w:w="11906" w:h="16838"/>
      <w:pgMar w:top="1440" w:right="1417" w:bottom="1440"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9BB74">
    <w:pPr>
      <w:jc w:val="center"/>
    </w:pPr>
    <w:r>
      <w:rPr>
        <w:rFonts w:ascii="Calibri" w:eastAsia="微软雅黑"/>
        <w:color w:val="6B7280"/>
        <w:sz w:val="18"/>
        <w:szCs w:val="18"/>
      </w:rPr>
      <w:fldChar w:fldCharType="begin"/>
    </w:r>
    <w:r>
      <w:rPr>
        <w:rFonts w:ascii="Calibri" w:eastAsia="微软雅黑"/>
        <w:color w:val="6B7280"/>
        <w:sz w:val="18"/>
        <w:szCs w:val="18"/>
      </w:rPr>
      <w:instrText xml:space="preserve">PAGE</w:instrText>
    </w:r>
    <w:r>
      <w:rPr>
        <w:rFonts w:ascii="Calibri" w:eastAsia="微软雅黑"/>
        <w:color w:val="6B7280"/>
        <w:sz w:val="18"/>
        <w:szCs w:val="18"/>
      </w:rPr>
      <w:fldChar w:fldCharType="separate"/>
    </w:r>
    <w:r>
      <w:rPr>
        <w:rFonts w:ascii="Calibri" w:eastAsia="微软雅黑"/>
        <w:color w:val="6B7280"/>
        <w:sz w:val="18"/>
        <w:szCs w:val="18"/>
      </w:rPr>
      <w:t>5</w:t>
    </w:r>
    <w:r>
      <w:rPr>
        <w:rFonts w:ascii="Calibri" w:eastAsia="微软雅黑"/>
        <w:color w:val="6B7280"/>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isplayBackgroundShape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E83"/>
    <w:rsid w:val="001257C9"/>
    <w:rsid w:val="003F2E83"/>
    <w:rsid w:val="00823DD0"/>
    <w:rsid w:val="7F6400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Times New Roman" w:eastAsiaTheme="minorEastAsia"/>
      <w:lang w:val="en-US" w:eastAsia="zh-CN" w:bidi="ar-SA"/>
    </w:rPr>
  </w:style>
  <w:style w:type="paragraph" w:styleId="2">
    <w:name w:val="heading 1"/>
    <w:qFormat/>
    <w:uiPriority w:val="0"/>
    <w:pPr>
      <w:outlineLvl w:val="0"/>
    </w:pPr>
    <w:rPr>
      <w:rFonts w:ascii="Times New Roman" w:hAnsi="Times New Roman" w:cs="Times New Roman" w:eastAsiaTheme="minorEastAsia"/>
      <w:color w:val="2E74B5"/>
      <w:sz w:val="32"/>
      <w:szCs w:val="32"/>
      <w:lang w:val="en-US" w:eastAsia="zh-CN" w:bidi="ar-SA"/>
    </w:rPr>
  </w:style>
  <w:style w:type="paragraph" w:styleId="3">
    <w:name w:val="heading 2"/>
    <w:qFormat/>
    <w:uiPriority w:val="0"/>
    <w:pPr>
      <w:outlineLvl w:val="1"/>
    </w:pPr>
    <w:rPr>
      <w:rFonts w:ascii="Times New Roman" w:hAnsi="Times New Roman" w:cs="Times New Roman" w:eastAsiaTheme="minorEastAsia"/>
      <w:color w:val="2E74B5"/>
      <w:sz w:val="26"/>
      <w:szCs w:val="26"/>
      <w:lang w:val="en-US" w:eastAsia="zh-CN" w:bidi="ar-SA"/>
    </w:rPr>
  </w:style>
  <w:style w:type="paragraph" w:styleId="4">
    <w:name w:val="heading 3"/>
    <w:qFormat/>
    <w:uiPriority w:val="0"/>
    <w:pPr>
      <w:outlineLvl w:val="2"/>
    </w:pPr>
    <w:rPr>
      <w:rFonts w:ascii="Times New Roman" w:hAnsi="Times New Roman" w:cs="Times New Roman" w:eastAsiaTheme="minorEastAsia"/>
      <w:color w:val="1F4D78"/>
      <w:sz w:val="24"/>
      <w:szCs w:val="24"/>
      <w:lang w:val="en-US" w:eastAsia="zh-CN" w:bidi="ar-SA"/>
    </w:rPr>
  </w:style>
  <w:style w:type="paragraph" w:styleId="5">
    <w:name w:val="heading 4"/>
    <w:qFormat/>
    <w:uiPriority w:val="0"/>
    <w:pPr>
      <w:outlineLvl w:val="3"/>
    </w:pPr>
    <w:rPr>
      <w:rFonts w:ascii="Times New Roman" w:hAnsi="Times New Roman" w:cs="Times New Roman" w:eastAsiaTheme="minorEastAsia"/>
      <w:i/>
      <w:iCs/>
      <w:color w:val="2E74B5"/>
      <w:lang w:val="en-US" w:eastAsia="zh-CN" w:bidi="ar-SA"/>
    </w:rPr>
  </w:style>
  <w:style w:type="paragraph" w:styleId="6">
    <w:name w:val="heading 5"/>
    <w:qFormat/>
    <w:uiPriority w:val="0"/>
    <w:pPr>
      <w:outlineLvl w:val="4"/>
    </w:pPr>
    <w:rPr>
      <w:rFonts w:ascii="Times New Roman" w:hAnsi="Times New Roman" w:cs="Times New Roman" w:eastAsiaTheme="minorEastAsia"/>
      <w:color w:val="2E74B5"/>
      <w:lang w:val="en-US" w:eastAsia="zh-CN" w:bidi="ar-SA"/>
    </w:rPr>
  </w:style>
  <w:style w:type="paragraph" w:styleId="7">
    <w:name w:val="heading 6"/>
    <w:qFormat/>
    <w:uiPriority w:val="0"/>
    <w:pPr>
      <w:outlineLvl w:val="5"/>
    </w:pPr>
    <w:rPr>
      <w:rFonts w:ascii="Times New Roman" w:hAnsi="Times New Roman" w:cs="Times New Roman" w:eastAsiaTheme="minorEastAsia"/>
      <w:color w:val="1F4D78"/>
      <w:lang w:val="en-US" w:eastAsia="zh-CN" w:bidi="ar-SA"/>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8">
    <w:name w:val="endnote text"/>
    <w:link w:val="19"/>
    <w:semiHidden/>
    <w:unhideWhenUsed/>
    <w:uiPriority w:val="99"/>
    <w:rPr>
      <w:rFonts w:ascii="Times New Roman" w:hAnsi="Times New Roman" w:cs="Times New Roman" w:eastAsiaTheme="minorEastAsia"/>
      <w:lang w:val="en-US" w:eastAsia="zh-CN" w:bidi="ar-SA"/>
    </w:rPr>
  </w:style>
  <w:style w:type="paragraph" w:styleId="9">
    <w:name w:val="footnote text"/>
    <w:link w:val="18"/>
    <w:semiHidden/>
    <w:unhideWhenUsed/>
    <w:uiPriority w:val="99"/>
    <w:rPr>
      <w:rFonts w:ascii="Times New Roman" w:hAnsi="Times New Roman" w:cs="Times New Roman" w:eastAsiaTheme="minorEastAsia"/>
      <w:lang w:val="en-US" w:eastAsia="zh-CN" w:bidi="ar-SA"/>
    </w:rPr>
  </w:style>
  <w:style w:type="paragraph" w:styleId="10">
    <w:name w:val="Title"/>
    <w:qFormat/>
    <w:uiPriority w:val="0"/>
    <w:rPr>
      <w:rFonts w:ascii="Times New Roman" w:hAnsi="Times New Roman" w:cs="Times New Roman" w:eastAsiaTheme="minorEastAsia"/>
      <w:sz w:val="56"/>
      <w:szCs w:val="56"/>
      <w:lang w:val="en-US" w:eastAsia="zh-CN" w:bidi="ar-SA"/>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customStyle="1" w:styleId="16">
    <w:name w:val="要点1"/>
    <w:qFormat/>
    <w:uiPriority w:val="0"/>
    <w:rPr>
      <w:rFonts w:ascii="Times New Roman" w:hAnsi="Times New Roman" w:cs="Times New Roman" w:eastAsiaTheme="minorEastAsia"/>
      <w:b/>
      <w:bCs/>
      <w:lang w:val="en-US" w:eastAsia="zh-CN" w:bidi="ar-SA"/>
    </w:rPr>
  </w:style>
  <w:style w:type="paragraph" w:styleId="17">
    <w:name w:val="List Paragraph"/>
    <w:qFormat/>
    <w:uiPriority w:val="0"/>
    <w:rPr>
      <w:rFonts w:ascii="Times New Roman" w:hAnsi="Times New Roman" w:cs="Times New Roman" w:eastAsiaTheme="minorEastAsia"/>
      <w:lang w:val="en-US" w:eastAsia="zh-CN" w:bidi="ar-SA"/>
    </w:rPr>
  </w:style>
  <w:style w:type="character" w:customStyle="1" w:styleId="18">
    <w:name w:val="脚注文本 字符"/>
    <w:link w:val="9"/>
    <w:semiHidden/>
    <w:unhideWhenUsed/>
    <w:uiPriority w:val="99"/>
    <w:rPr>
      <w:sz w:val="20"/>
      <w:szCs w:val="20"/>
    </w:rPr>
  </w:style>
  <w:style w:type="character" w:customStyle="1" w:styleId="19">
    <w:name w:val="尾注文本 字符"/>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1585</Words>
  <Characters>2007</Characters>
  <Lines>8</Lines>
  <Paragraphs>2</Paragraphs>
  <TotalTime>1</TotalTime>
  <ScaleCrop>false</ScaleCrop>
  <LinksUpToDate>false</LinksUpToDate>
  <CharactersWithSpaces>2052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2026-07-15T00:13:00Z</dcterms:created>
  <dc:creator>Un-named</dc:creator>
  <cp:lastModifiedBy>yzx</cp:lastModifiedBy>
  <dcterms:modified xsi:type="dcterms:W3CDTF">2026-07-15T01:44:05Z</dcterms:modified>
  <dc:subject>FlowMuse 安全加固挑战</dc:subject>
  <dc:title>Sprint 2 AI抗性挑战完成报告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eyJoZGlkIjoiYjg2OGFhMDFkNDYyZjcxMjgwYWUyOTlkZDI5NzhhNTEiLCJ1c2VySWQiOiIzMDM0ODI1OTEifQ==</vt:lpwstr>
  </property>
  <property fmtid="{D5CDD505-2E9C-101B-9397-08002B2CF9AE}" pid="3" name="KSOProductBuildVer">
    <vt:lpwstr>2052-12.1.0.24657</vt:lpwstr>
  </property>
  <property fmtid="{D5CDD505-2E9C-101B-9397-08002B2CF9AE}" pid="4" name="ICV">
    <vt:lpwstr>D7975903481948258A68A8C8361EC58F_12</vt:lpwstr>
  </property>
</Properties>
</file>