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寻春怀古祭先烈，康城学子画清明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上海师范大学康城实验学校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2017年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“我们的节日--清明节”主题活动通知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 w:firstLineChars="20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根据闵教字〔2015〕2号《关于在全区中小学、中职校开展“中国节•中国心•中国梦”主题教育活动的通知》、闵教字〔2017〕45号《闵行区教育局关于落实〈关于实施中华优秀传统文化传承发展工作的意见〉的通知》的有关要求，在传统节日“清明节”到来之际，组织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我校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中小学生开展“清明节”主题教育活动。通知如下：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lang w:eastAsia="zh-CN"/>
        </w:rPr>
        <w:t>一、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活动时间：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3月28日----4月5日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lang w:eastAsia="zh-CN"/>
        </w:rPr>
        <w:t>二、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参加对象：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一至八年级学生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lang w:eastAsia="zh-CN"/>
        </w:rPr>
        <w:t>三、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活动安排：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组织学生参与一次“网上过清明”活动。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组织学生在“文明闵行”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首页中的专题活动栏目中点击“一年清明，一份缅怀，一处文明”，集体参与一次“网上过清明”。活动网址为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000000"/>
          <w:sz w:val="24"/>
          <w:szCs w:val="24"/>
        </w:rPr>
        <w:instrText xml:space="preserve"> HYPERLINK "http://sh.wenming.cn/mhwmw/" </w:instrText>
      </w:r>
      <w:r>
        <w:rPr>
          <w:rFonts w:hint="eastAsia" w:ascii="宋体" w:hAnsi="宋体" w:eastAsia="宋体" w:cs="宋体"/>
          <w:color w:val="000000"/>
          <w:sz w:val="24"/>
          <w:szCs w:val="24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</w:rPr>
        <w:t>http://sh.wenming.cn/mhwmw/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51" w:firstLineChars="196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2．开展一次“清明节”主题宣传活动。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各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年级、班级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利用班会、午会课、红领巾广播等的德育主题教育时间，开展一次全校师生参与的关于“清明节”的主题教育和宣传活动，师生共同了解传统节日知识、理解传统节日习俗和文化内涵，激发热爱传统文化之心。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3．开展一次“清明节”主题小报的制作比赛。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围绕“清明节”的节日由来、节日习俗、各地过节的差异、节日的意义等各方面，分年段开展“清明节”主题小报制作比赛。在活动中引导学生进一步了解传统节日丰富的文化内涵和意义。</w:t>
      </w:r>
    </w:p>
    <w:tbl>
      <w:tblPr>
        <w:tblStyle w:val="5"/>
        <w:tblW w:w="55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8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vertAlign w:val="baseline"/>
                <w:lang w:eastAsia="zh-CN"/>
              </w:rPr>
              <w:t>年级</w:t>
            </w:r>
          </w:p>
        </w:tc>
        <w:tc>
          <w:tcPr>
            <w:tcW w:w="3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vertAlign w:val="baseline"/>
                <w:lang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一、二年级</w:t>
            </w:r>
          </w:p>
        </w:tc>
        <w:tc>
          <w:tcPr>
            <w:tcW w:w="3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清明节的由来与意义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三、四、五年级</w:t>
            </w:r>
          </w:p>
        </w:tc>
        <w:tc>
          <w:tcPr>
            <w:tcW w:w="3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各地不同的清明节习俗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六、七、八年级</w:t>
            </w:r>
          </w:p>
        </w:tc>
        <w:tc>
          <w:tcPr>
            <w:tcW w:w="3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有关清明节的传说、故事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4．开展一次“清明节”节日实践体验活动。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年级、班级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可通过社会实践、雏鹰小队活动、志愿者活动和假日亲子活动等载体，有效组织学生、家庭开展各类节日实践活动。如通过主题经典吟诵、故事讲演、农谚传唱等体验活动，包青团、放风筝、做传统游戏、踏青等实践活动，进一步了解清明节的来历和习俗，感受清明节多元的文化涵义；通过组织清明踏青、祭扫陵园、祭奠亲人等社会实践活动，引导学生缅怀先烈、追忆逝者，珍惜现在，激发学生爱祖国、爱学习、爱家乡的情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2" w:firstLineChars="200"/>
        <w:textAlignment w:val="auto"/>
        <w:outlineLvl w:val="9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 xml:space="preserve">四、活动要求：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 w:firstLineChars="20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1、本次活动是是闵行区创全国文明城区的重要内容之一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，也是我校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传统文化教育内容，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因此，各年级组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要做好宣传和组织，要求全体师生参与，统计好师生参与情况。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 w:firstLineChars="20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2、挖掘活动中的亮点，并认真做好活动总结。同时收集1—3张体现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各组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活动情况的典型照片，照片注明时间、活动人、活动内容；（如2017年4月1日 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（1）班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/中队 XX小队/XX同学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开展清明节主题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活动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 w:firstLineChars="20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提醒：照片要有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突出的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活动背景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；照片不要组合；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15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请各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年级组长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于4月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日前整理好活动反馈表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（见附件）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和照片，通过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学校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OA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将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活动相关材料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发送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至政教处。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right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上海师范大学康城实验学校政教处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right"/>
        <w:textAlignment w:val="auto"/>
        <w:outlineLvl w:val="9"/>
        <w:rPr>
          <w:rFonts w:hint="eastAsia" w:ascii="华文中宋" w:hAnsi="华文中宋" w:eastAsia="华文中宋"/>
          <w:b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2017年3月27日</w:t>
      </w:r>
    </w:p>
    <w:p>
      <w:pPr>
        <w:rPr>
          <w:rFonts w:hint="eastAsia" w:ascii="华文中宋" w:hAnsi="华文中宋" w:eastAsia="华文中宋"/>
          <w:b/>
          <w:sz w:val="24"/>
          <w:szCs w:val="24"/>
        </w:rPr>
      </w:pPr>
    </w:p>
    <w:p>
      <w:pPr>
        <w:rPr>
          <w:rFonts w:hint="eastAsia" w:ascii="华文中宋" w:hAnsi="华文中宋" w:eastAsia="华文中宋"/>
          <w:b/>
          <w:sz w:val="24"/>
          <w:szCs w:val="24"/>
        </w:rPr>
      </w:pPr>
      <w:r>
        <w:rPr>
          <w:rFonts w:hint="eastAsia" w:ascii="华文中宋" w:hAnsi="华文中宋" w:eastAsia="华文中宋"/>
          <w:b/>
          <w:sz w:val="24"/>
          <w:szCs w:val="24"/>
        </w:rPr>
        <w:t>附件：</w:t>
      </w:r>
    </w:p>
    <w:p>
      <w:pPr>
        <w:jc w:val="center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寻春怀古祭先烈，康城学子画清明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康城实验学校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2017年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“我们的节日--清明节”主题活动反馈表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759"/>
        <w:gridCol w:w="1692"/>
        <w:gridCol w:w="243"/>
        <w:gridCol w:w="1935"/>
        <w:gridCol w:w="47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</w:t>
            </w:r>
            <w:r>
              <w:rPr>
                <w:rFonts w:hint="eastAsia" w:ascii="仿宋_GB2312" w:eastAsia="仿宋_GB2312"/>
                <w:b/>
                <w:sz w:val="24"/>
              </w:rPr>
              <w:t>、基本情况</w:t>
            </w:r>
            <w:r>
              <w:rPr>
                <w:rFonts w:hint="eastAsia" w:ascii="仿宋_GB2312" w:eastAsia="仿宋_GB2312"/>
                <w:b/>
                <w:sz w:val="24"/>
                <w:lang w:eastAsia="zh-CN"/>
              </w:rPr>
              <w:t>：</w:t>
            </w:r>
            <w:r>
              <w:rPr>
                <w:rFonts w:hint="eastAsia" w:ascii="仿宋_GB2312" w:eastAsia="仿宋_GB2312"/>
                <w:b/>
                <w:sz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仿宋_GB2312" w:eastAsia="仿宋_GB2312"/>
                <w:b/>
                <w:sz w:val="24"/>
                <w:u w:val="none"/>
                <w:lang w:val="en-US" w:eastAsia="zh-CN"/>
              </w:rPr>
              <w:t>年级组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firstLine="120" w:firstLineChars="50"/>
              <w:rPr>
                <w:rFonts w:hint="eastAsia" w:ascii="仿宋_GB2312" w:eastAsia="仿宋_GB2312"/>
                <w:kern w:val="0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kern w:val="0"/>
                <w:sz w:val="24"/>
              </w:rPr>
              <w:t>参与活动师生总数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  <w:tc>
          <w:tcPr>
            <w:tcW w:w="21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firstLine="120" w:firstLineChars="50"/>
              <w:rPr>
                <w:rFonts w:hint="eastAsia" w:ascii="仿宋_GB2312" w:eastAsia="仿宋_GB2312"/>
                <w:kern w:val="0"/>
                <w:sz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</w:rPr>
              <w:t>活动参与率</w:t>
            </w:r>
          </w:p>
        </w:tc>
        <w:tc>
          <w:tcPr>
            <w:tcW w:w="20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firstLine="240" w:firstLineChars="100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二、开展的主要活动（可添加行）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firstLine="360" w:firstLineChars="150"/>
              <w:rPr>
                <w:rFonts w:hint="eastAsia" w:ascii="仿宋_GB2312" w:eastAsia="仿宋_GB2312"/>
                <w:kern w:val="0"/>
                <w:sz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</w:rPr>
              <w:t>活动时间</w:t>
            </w:r>
          </w:p>
        </w:tc>
        <w:tc>
          <w:tcPr>
            <w:tcW w:w="2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firstLine="600" w:firstLineChars="25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活动内容</w:t>
            </w: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firstLine="240" w:firstLineChars="100"/>
              <w:rPr>
                <w:rFonts w:hint="eastAsia" w:ascii="仿宋_GB2312" w:eastAsia="仿宋_GB2312"/>
                <w:kern w:val="0"/>
                <w:sz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</w:rPr>
              <w:t>活动参与对象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仿宋_GB2312" w:eastAsia="仿宋_GB2312"/>
                <w:kern w:val="0"/>
                <w:sz w:val="24"/>
              </w:rPr>
            </w:pPr>
          </w:p>
        </w:tc>
        <w:tc>
          <w:tcPr>
            <w:tcW w:w="2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仿宋_GB2312" w:eastAsia="仿宋_GB2312"/>
                <w:kern w:val="0"/>
                <w:sz w:val="24"/>
              </w:rPr>
            </w:pP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仿宋_GB2312" w:eastAsia="仿宋_GB2312"/>
                <w:kern w:val="0"/>
                <w:sz w:val="24"/>
              </w:rPr>
            </w:pPr>
          </w:p>
        </w:tc>
        <w:tc>
          <w:tcPr>
            <w:tcW w:w="2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仿宋_GB2312" w:eastAsia="仿宋_GB2312"/>
                <w:kern w:val="0"/>
                <w:sz w:val="24"/>
              </w:rPr>
            </w:pP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仿宋_GB2312" w:eastAsia="仿宋_GB2312"/>
                <w:kern w:val="0"/>
                <w:sz w:val="24"/>
              </w:rPr>
            </w:pPr>
          </w:p>
        </w:tc>
        <w:tc>
          <w:tcPr>
            <w:tcW w:w="2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仿宋_GB2312" w:eastAsia="仿宋_GB2312"/>
                <w:kern w:val="0"/>
                <w:sz w:val="24"/>
              </w:rPr>
            </w:pP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仿宋_GB2312" w:eastAsia="仿宋_GB2312"/>
                <w:kern w:val="0"/>
                <w:sz w:val="24"/>
              </w:rPr>
            </w:pPr>
          </w:p>
        </w:tc>
        <w:tc>
          <w:tcPr>
            <w:tcW w:w="2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仿宋_GB2312" w:eastAsia="仿宋_GB2312"/>
                <w:kern w:val="0"/>
                <w:sz w:val="24"/>
              </w:rPr>
            </w:pP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</w:t>
            </w:r>
            <w:r>
              <w:rPr>
                <w:rFonts w:hint="eastAsia" w:ascii="仿宋_GB2312" w:eastAsia="仿宋_GB2312"/>
                <w:b/>
                <w:sz w:val="24"/>
              </w:rPr>
              <w:t>活动亮点与突出成效 （标题清晰，语言简练</w:t>
            </w:r>
            <w:r>
              <w:rPr>
                <w:rFonts w:hint="eastAsia" w:ascii="仿宋_GB2312" w:eastAsia="仿宋_GB2312"/>
                <w:b/>
                <w:sz w:val="24"/>
                <w:lang w:eastAsia="zh-CN"/>
              </w:rPr>
              <w:t>、规范</w:t>
            </w:r>
            <w:r>
              <w:rPr>
                <w:rFonts w:hint="eastAsia" w:ascii="仿宋_GB2312" w:eastAsia="仿宋_GB2312"/>
                <w:b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sectPr>
      <w:pgSz w:w="11849" w:h="16101"/>
      <w:pgMar w:top="1440" w:right="1800" w:bottom="1440" w:left="1800" w:header="851" w:footer="992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18C1"/>
    <w:multiLevelType w:val="multilevel"/>
    <w:tmpl w:val="097618C1"/>
    <w:lvl w:ilvl="0" w:tentative="0">
      <w:start w:val="1"/>
      <w:numFmt w:val="decimal"/>
      <w:lvlText w:val="%1."/>
      <w:lvlJc w:val="left"/>
      <w:pPr>
        <w:ind w:left="92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8D8C681"/>
    <w:multiLevelType w:val="singleLevel"/>
    <w:tmpl w:val="58D8C68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02DAC"/>
    <w:rsid w:val="25E30C50"/>
    <w:rsid w:val="2B2B56BA"/>
    <w:rsid w:val="448170E4"/>
    <w:rsid w:val="449742E4"/>
    <w:rsid w:val="49C54B36"/>
    <w:rsid w:val="56E02D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2017-03-27T07:29:00Z</dcterms:created>
  <dc:creator>Administrator</dc:creator>
  <cp:lastModifiedBy>Administrator</cp:lastModifiedBy>
  <dcterms:modified xsi:type="dcterms:W3CDTF">2017-03-27T09:06:21Z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