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采购业务模拟环境下的 AI Agent｜MVP PRD v1.2（首版开发定稿）</w:t>
      </w:r>
    </w:p>
    <w:p>
      <w:r>
        <w:rPr>
          <w:b/>
        </w:rPr>
        <w:t>基线日期：</w:t>
      </w:r>
      <w:r>
        <w:t xml:space="preserve"> 2026-10-12　 </w:t>
      </w:r>
      <w:r>
        <w:rPr>
          <w:b/>
        </w:rPr>
        <w:t>阶段：</w:t>
      </w:r>
      <w:r>
        <w:t xml:space="preserve"> Agent v1 开发交接　 </w:t>
      </w:r>
      <w:r>
        <w:rPr>
          <w:b/>
        </w:rPr>
        <w:t>产品定位：</w:t>
      </w:r>
      <w:r>
        <w:t xml:space="preserve"> 采购模拟器为受控业务环境，Agent 为用户交互和任务执行主体。</w:t>
      </w:r>
    </w:p>
    <w:p>
      <w:r>
        <w:rPr>
          <w:b/>
        </w:rPr>
        <w:t>定稿范围：</w:t>
      </w:r>
      <w:r>
        <w:t xml:space="preserve"> 本版冻结首轮开发的功能边界与验收口径，不代表源码审计通过或实现已验收。允许联调期对实际 API 做最小兼容修正，但不得自行新增采购业务功能、修改 F01–F08 / D01–D05 决策、伪造 Agent 评测结果。</w:t>
      </w:r>
    </w:p>
    <w:p>
      <w:pPr>
        <w:pStyle w:val="Heading1"/>
      </w:pPr>
      <w:r>
        <w:t>1. 目标、价值与非目标</w:t>
      </w:r>
    </w:p>
    <w:p>
      <w:r>
        <w:rPr>
          <w:b/>
        </w:rPr>
        <w:t>用户问题：</w:t>
      </w:r>
      <w:r>
        <w:t xml:space="preserve"> 员工以自然语言提出采购诉求时，传统流程需要反复补问、查找申请并手工更新状态。Agent v1 要将非结构化需求转为有权限、可确认、可核实的真实模拟业务操作。</w:t>
      </w:r>
    </w:p>
    <w:p>
      <w:r>
        <w:rPr>
          <w:b/>
        </w:rPr>
        <w:t>产品目标：</w:t>
      </w:r>
      <w:r>
        <w:t xml:space="preserve"> 在单一对话入口完成 </w:t>
      </w:r>
      <w:r>
        <w:rPr>
          <w:b/>
        </w:rPr>
        <w:t>新建、查询、修改采购申请</w:t>
      </w:r>
      <w:r>
        <w:t xml:space="preserve"> 三类任务。Agent 对不确定信息采取补问或可信只读核实，不代替业务审批，不将模型自述视为执行成功。</w:t>
      </w:r>
    </w:p>
    <w:p>
      <w:r>
        <w:rPr>
          <w:b/>
        </w:rPr>
        <w:t>不做：</w:t>
      </w:r>
      <w:r>
        <w:t xml:space="preserve"> Dify 依赖、ERP 连接、OCR/比价、多商品行、智能供应商推荐、自动审批、PO 创建工具开放给 Agent、自动提醒/催办、跨天自主调度、多 Agent、复杂 Planner、注册管理后台、未经校准的置信度阈值放行。</w:t>
      </w:r>
    </w:p>
    <w:p>
      <w:r>
        <w:rPr>
          <w:b/>
        </w:rPr>
        <w:t>已有依赖：</w:t>
      </w:r>
      <w:r>
        <w:t xml:space="preserve"> Codex 报告采购模拟器 v1 具有 SQLite、业务 API、单页人工操作、36/36 合并回归通过；</w:t>
      </w:r>
      <w:r>
        <w:rPr>
          <w:b/>
        </w:rPr>
        <w:t>本文件不视为独立核验</w:t>
      </w:r>
      <w:r>
        <w:t>。模拟器持续作为业务事实来源。</w:t>
      </w:r>
    </w:p>
    <w:p>
      <w:pPr>
        <w:pStyle w:val="Heading1"/>
      </w:pPr>
      <w:r>
        <w:t>2. 角色、职责及信任边界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组成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权责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不允许做的事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用户（user/admin）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提出需求、补充信息、确认写操作；admin 可在模拟器独立审批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使用自然语言自称 M01/M02 绕过身份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LLM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解释意图、抽取参数、选择授权只读工具、提出写操作建议、组织回复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直接签发确认、权限、预算、申请版本、供应商 ID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Agent Runtime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保存会话状态，执行 ASK/READ/CONFIRM/ACT/STOP 路由、强制确认和授权、调用 HTTP 工具、处理恢复和日志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代替模拟器决定业务准入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采购模拟器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以服务端可信身份执行授权、预算、供应商、审批、版本、幂等、PO 与业务状态存储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向 Agent 开放审批及评测快照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人工审批（M01/M02）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在模拟器中审核、核验凭证、处理准入、受控触发 PO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授权 Agent 以模型推断代签</w:t>
            </w:r>
          </w:p>
        </w:tc>
      </w:tr>
    </w:tbl>
    <w:p>
      <w:pPr>
        <w:spacing w:after="0"/>
      </w:pPr>
    </w:p>
    <w:p>
      <w:r>
        <w:t xml:space="preserve">账号只需 user、admin 两类；M01/M02 是 admin 内部审批级别。身份来源必须是可信的本地测试会话或模拟器认证机制，不能由 LLM 任意填 </w:t>
      </w:r>
      <w:r>
        <w:rPr>
          <w:rFonts w:ascii="Consolas" w:hAnsi="Consolas"/>
          <w:color w:val="215778"/>
          <w:sz w:val="16"/>
        </w:rPr>
        <w:t>user_id</w:t>
      </w:r>
      <w:r>
        <w:t xml:space="preserve">。当前 </w:t>
      </w:r>
      <w:r>
        <w:rPr>
          <w:rFonts w:ascii="Consolas" w:hAnsi="Consolas"/>
          <w:color w:val="215778"/>
          <w:sz w:val="16"/>
        </w:rPr>
        <w:t>demo-agent</w:t>
      </w:r>
      <w:r>
        <w:t xml:space="preserve"> Token 是否绑定业务身份尚未核实，为 </w:t>
      </w:r>
      <w:r>
        <w:rPr>
          <w:b/>
        </w:rPr>
        <w:t>G1 阻断性联调项</w:t>
      </w:r>
      <w:r>
        <w:t>。</w:t>
      </w:r>
    </w:p>
    <w:p>
      <w:pPr>
        <w:pStyle w:val="Heading1"/>
      </w:pPr>
      <w:r>
        <w:t>3. 任务范围与完成定义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用户任务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正确完成标准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任务边界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AT01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新建申请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真实申请创建并正式提交；返回 PR ID、状态/审批去向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不等待人审或 PO；不能把草稿称为已提交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AT02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查询申请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按当前可信 API 返回正确且授权的申请/审批/PO 状态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不用聊天历史替代当前业务状态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AT03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修改申请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只更新用户指定字段，真实版本及重审状态正确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PO 已存在后禁止修改关键字段</w:t>
            </w:r>
          </w:p>
        </w:tc>
      </w:tr>
    </w:tbl>
    <w:p>
      <w:pPr>
        <w:spacing w:after="0"/>
      </w:pPr>
    </w:p>
    <w:p>
      <w:r>
        <w:t>默认一个活动写任务；只读查询可作为辅助步骤。混合意图可依次处理，但两笔申请与各自确认必须隔离。不支持的用户目标明确告知支持范围。</w:t>
      </w:r>
    </w:p>
    <w:p>
      <w:pPr>
        <w:pStyle w:val="Heading1"/>
      </w:pPr>
      <w:r>
        <w:t>4. Agent 动态路由（已确定首版策略）</w:t>
      </w:r>
    </w:p>
    <w:p>
      <w:r>
        <w:rPr>
          <w:b/>
        </w:rPr>
        <w:t>不使用未经校准的 LLM 自报 confidence 作为执行放行依据。</w:t>
      </w:r>
      <w:r>
        <w:t xml:space="preserve"> 路由以可观察条件为依据：意图可识别、申请对象唯一、参数完整、只读证据足够、待确认操作有效。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Action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何时触发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执行策略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ASK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意图含糊、缺少必要字段、相对修改语义有歧义、查询候选不唯一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提问最少必要信息，不编造 ID/价格/供应商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能通过合法只读工具验证对象、供应商、状态或相对修改基准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LLM 可自主请求授权工具；结果写回结构化会话状态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CONFIRM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已具备执行写操作的完整参数、对象和版本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Runtime 生成与具体操作绑定的确认摘要，等待明确用户同意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ACT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用户确认有效，写入前条件符合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Runtime 执行受控 HTTP 调用；服务端再次校验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STOP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已验证完成、被明确拒绝、无权限、无法安全继续或需等待用户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返回事实性结果；未知执行结果不可编造</w:t>
            </w:r>
          </w:p>
        </w:tc>
      </w:tr>
    </w:tbl>
    <w:p>
      <w:pPr>
        <w:spacing w:after="0"/>
      </w:pPr>
    </w:p>
    <w:p>
      <w:r>
        <w:rPr>
          <w:b/>
        </w:rPr>
        <w:t>决策优先级：</w:t>
      </w:r>
      <w:r>
        <w:t xml:space="preserve"> 业务对象不唯一先澄清；相对变更先查现值；读到业务状态并不自动授权写入；遇权限拒绝不得换身份重试；写操作不跳过 CONFIRM。路由允许多条合法路径，不固定唯一 Golden Trajectory。</w:t>
      </w:r>
    </w:p>
    <w:p>
      <w:pPr>
        <w:pStyle w:val="Heading1"/>
      </w:pPr>
      <w:r>
        <w:t>5. 三条任务交互规范</w:t>
      </w:r>
    </w:p>
    <w:p>
      <w:pPr>
        <w:pStyle w:val="Heading2"/>
      </w:pPr>
      <w:r>
        <w:t>5.1 新建 AT01</w:t>
      </w:r>
    </w:p>
    <w:p>
      <w:r>
        <w:t xml:space="preserve">用户提供的必需字段为 </w:t>
      </w:r>
      <w:r>
        <w:rPr>
          <w:rFonts w:ascii="Consolas" w:hAnsi="Consolas"/>
          <w:color w:val="215778"/>
          <w:sz w:val="16"/>
        </w:rPr>
        <w:t>item, quantity, unit_price, supplier_name, purpose</w:t>
      </w:r>
      <w:r>
        <w:t>。数量应为正整数、价格为有效非负金额；用途只检验非空，不作价值判断。部门、预算归属、身份及币种来自可信系统。模型不能虚构供应商或预算信息。</w:t>
      </w:r>
    </w:p>
    <w:p>
      <w:pPr>
        <w:pStyle w:val="ListNumber"/>
      </w:pPr>
      <w:r>
        <w:t>从自然语言抽取字段；不完整时在会话草稿中维护已知值并集中补问。</w:t>
      </w:r>
    </w:p>
    <w:p>
      <w:pPr>
        <w:pStyle w:val="ListNumber"/>
      </w:pPr>
      <w:r>
        <w:t>用户明确指定供应商后，通过模拟器名称匹配；多个候选则 ASK，禁止猜供应商 ID。</w:t>
      </w:r>
    </w:p>
    <w:p>
      <w:pPr>
        <w:pStyle w:val="ListNumber"/>
      </w:pPr>
      <w:r>
        <w:t>展示单条申请摘要（物品、数量、单价、金额、供应商、用途、可信身份），等待一次明确确认。</w:t>
      </w:r>
    </w:p>
    <w:p>
      <w:pPr>
        <w:pStyle w:val="ListNumber"/>
      </w:pPr>
      <w:r>
        <w:t xml:space="preserve">确认后执行 </w:t>
      </w:r>
      <w:r>
        <w:rPr>
          <w:rFonts w:ascii="Consolas" w:hAnsi="Consolas"/>
          <w:color w:val="215778"/>
          <w:sz w:val="16"/>
        </w:rPr>
        <w:t>POST /requests</w:t>
      </w:r>
      <w:r>
        <w:t xml:space="preserve"> 创建、</w:t>
      </w:r>
      <w:r>
        <w:rPr>
          <w:rFonts w:ascii="Consolas" w:hAnsi="Consolas"/>
          <w:color w:val="215778"/>
          <w:sz w:val="16"/>
        </w:rPr>
        <w:t>POST /requests/{id}/submit</w:t>
      </w:r>
      <w:r>
        <w:t xml:space="preserve"> 提交；同一份确认可覆盖这两个连续步骤。</w:t>
      </w:r>
    </w:p>
    <w:p>
      <w:pPr>
        <w:pStyle w:val="ListNumber"/>
      </w:pPr>
      <w:r>
        <w:t>如创建成功而提交失败，返回真实草稿编号和状态；不盲目创建第二张。成功提交后返回真实 PR ID 和审批/准入状态，不声称 PO 已完成。</w:t>
      </w:r>
    </w:p>
    <w:p>
      <w:r>
        <w:rPr>
          <w:b/>
        </w:rPr>
        <w:t>暂定执行策略：</w:t>
      </w:r>
      <w:r>
        <w:t xml:space="preserve"> 在确认前仅保存 Agent 会话草稿，不写模拟器。若现有 API 无法支持这一策略，需报告准确限制并给出最小实现方案。</w:t>
      </w:r>
    </w:p>
    <w:p>
      <w:pPr>
        <w:pStyle w:val="Heading2"/>
      </w:pPr>
      <w:r>
        <w:t>5.2 查询 AT02</w:t>
      </w:r>
    </w:p>
    <w:p>
      <w:r>
        <w:t>用户明确给出 PR ID：直接授权查询；只有“上次那张”等指代时，可从同会话可靠绑定对象或授权列表筛选。候选多条必须 ASK，不凭模型猜测。查询反馈申请关键字段、状态、必要审批信息与真实 PO 状态；区分“已提交”“已批准”“已创建 PO”。不存在、无权访问及查询服务故障分别处理。</w:t>
      </w:r>
    </w:p>
    <w:p>
      <w:pPr>
        <w:pStyle w:val="Heading2"/>
      </w:pPr>
      <w:r>
        <w:t>5.3 修改 AT03</w:t>
      </w:r>
    </w:p>
    <w:p>
      <w:r>
        <w:t>先读取目标 PR 最新状态、字段和版本。相对数量表达（如“增加两个”）必须先查询原数量，并展示最终目标值。仅修改用户要求的字段，展示旧值→新值、金额变化、审批失效影响，再等待确认。确认失效或服务端版本冲突时先重新查询与重新确认；PO 已创建时禁止关键字段改写。操作后只用可信查询回执报告实际版本、状态和重审要求。</w:t>
      </w:r>
    </w:p>
    <w:p>
      <w:pPr>
        <w:pStyle w:val="Heading1"/>
      </w:pPr>
      <w:r>
        <w:t>6. 会话状态与确认门禁</w:t>
      </w:r>
    </w:p>
    <w:p>
      <w:r>
        <w:rPr>
          <w:b/>
        </w:rPr>
        <w:t>Runtime 至少保存：</w:t>
      </w:r>
      <w:r>
        <w:t xml:space="preserve"> </w:t>
      </w:r>
      <w:r>
        <w:rPr>
          <w:rFonts w:ascii="Consolas" w:hAnsi="Consolas"/>
          <w:color w:val="215778"/>
          <w:sz w:val="16"/>
        </w:rPr>
        <w:t>session_id, actor_identity, active_task_type, target_request_id, slots, missing_slots, last_read_version, pending_action, pending_action_args, pending_action_fingerprint, confirmation_state, operation_key, trace_id</w:t>
      </w:r>
      <w:r>
        <w:t>。这是设计字段，不强制具体 Python 命名。</w:t>
      </w:r>
    </w:p>
    <w:p>
      <w:r>
        <w:rPr>
          <w:b/>
        </w:rPr>
        <w:t>确认有效条件：</w:t>
      </w:r>
      <w:r>
        <w:t xml:space="preserve"> 同一个可信用户、同一活动任务、同一申请（如适用）、同一参数快照、同一可验证版本/前置条件。任何字段更改、对象切换、重大状态变化或任务打断均使旧确认失效。自然语言“确认”只有在确有待确认操作时才有效。</w:t>
      </w:r>
    </w:p>
    <w:p>
      <w:r>
        <w:rPr>
          <w:b/>
        </w:rPr>
        <w:t>版本并发：</w:t>
      </w:r>
      <w:r>
        <w:t xml:space="preserve"> 写接口需在服务端校验期望版本或等价原子状态前置条件；仅客户端“写前再 GET”不能完全消除竞态。Codex 应先核对现有接口；没有时只做最小必要补齐并定向测试。</w:t>
      </w:r>
    </w:p>
    <w:p>
      <w:r>
        <w:rPr>
          <w:b/>
        </w:rPr>
        <w:t>写入权限：</w:t>
      </w:r>
      <w:r>
        <w:t xml:space="preserve"> 模型不能提交确认 ID 或任意冒充身份来打开 ACT；Runtime 根据可信会话授予一次有效执行。确认不跨任务复用。</w:t>
      </w:r>
    </w:p>
    <w:p>
      <w:pPr>
        <w:pStyle w:val="Heading1"/>
      </w:pPr>
      <w:r>
        <w:t>7. Agent 工具契约（对接模拟器 v1）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模拟器实际 API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Agent 工具建议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模型可选？</w:t>
            </w:r>
          </w:p>
        </w:tc>
        <w:tc>
          <w:tcPr>
            <w:tcW w:type="dxa" w:w="2436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执行条件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 /suppliers/match?name=...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match_supplier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可：READ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只能匹配用户给出的名称；候选多条需澄清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 /requests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list_requests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可：READ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限当前身份授权范围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 /requests/{id}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get_request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可：READ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目标来自用户或可信上下文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 /requests/{id}/po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get_request_po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可：READ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查询真实 PO 关联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POST /requests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create_request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受控：ACT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一次已确认的新建操作；由 Runtime 产生受控 ID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POST /requests/{id}/submit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submit_request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受控：ACT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与已确认新建操作对应；只能提交既有目标草稿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PATCH /requests/{id}/update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update_request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受控：ACT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变更快照、业务版本与身份确认有效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GET /lookup/po?key=...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recover_po_by_key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Runtime 内部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只在真实执行结果未知时查单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color w:val="215778"/>
                <w:sz w:val="15"/>
              </w:rPr>
              <w:t>POST /requests/{id}/po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无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不开放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15"/>
              </w:rPr>
              <w:t>仅模拟器受控人工操作</w:t>
            </w:r>
          </w:p>
        </w:tc>
      </w:tr>
    </w:tbl>
    <w:p>
      <w:pPr>
        <w:spacing w:after="0"/>
      </w:pPr>
    </w:p>
    <w:p>
      <w:r>
        <w:t>禁止向模型提供：模拟器后台审批/凭证/准入 API、</w:t>
      </w:r>
      <w:r>
        <w:rPr>
          <w:rFonts w:ascii="Consolas" w:hAnsi="Consolas"/>
          <w:color w:val="215778"/>
          <w:sz w:val="16"/>
        </w:rPr>
        <w:t>/__eval__</w:t>
      </w:r>
      <w:r>
        <w:t>、数据库直接读写、环境密钥、系统 Token 或可以自报用户角色的参数。Agent 层工具与 HTTP API 不必一一对应；若现有详情查询含 PO 可减少冗余工具。</w:t>
      </w:r>
    </w:p>
    <w:p>
      <w:r>
        <w:rPr>
          <w:b/>
        </w:rPr>
        <w:t>接口联调清单：</w:t>
      </w:r>
      <w:r>
        <w:t xml:space="preserve"> 请求/响应字段、身份绑定、普通用户数据范围、申请版本、写入前置条件、可安全重试边界、业务错误枚举、状态映射。API 表来自用户提供的 Codex 交付报告，并非本文件实地源码审计。</w:t>
      </w:r>
    </w:p>
    <w:p>
      <w:pPr>
        <w:pStyle w:val="Heading1"/>
      </w:pPr>
      <w:r>
        <w:t>8. 错误处理、恢复与可观察轨迹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</w:trPr>
        <w:tc>
          <w:tcPr>
            <w:tcW w:type="dxa" w:w="4872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结果</w:t>
            </w:r>
          </w:p>
        </w:tc>
        <w:tc>
          <w:tcPr>
            <w:tcW w:type="dxa" w:w="4872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Runtime 应有行为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缺参数/多候选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ASK：记录已收集数据，不猜测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业务拒绝或无权限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STOP：展示可信原因，不切换身份重试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写入版本冲突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 最新状态，重建操作摘要并重新 CONFIRM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网络故障且已确认未执行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可在验证安全重试条件后恢复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网络超时且写入结果未知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先按请求 ID/幂等键/状态查询，不能直接盲目重复写入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创建成功、提交失败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返回草稿编号，支持在同一任务中基于真实状态安全续办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查询结果真实成功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返回实际对象 ID、版本及当前状态，STOP</w:t>
            </w:r>
          </w:p>
        </w:tc>
      </w:tr>
    </w:tbl>
    <w:p>
      <w:pPr>
        <w:spacing w:after="0"/>
      </w:pPr>
    </w:p>
    <w:p>
      <w:r>
        <w:rPr>
          <w:b/>
        </w:rPr>
        <w:t>Trace 最小字段：</w:t>
      </w:r>
      <w:r>
        <w:t xml:space="preserve"> </w:t>
      </w:r>
      <w:r>
        <w:rPr>
          <w:rFonts w:ascii="Consolas" w:hAnsi="Consolas"/>
          <w:color w:val="215778"/>
          <w:sz w:val="16"/>
        </w:rPr>
        <w:t>run_id/session_id, actor, task_type, route_action, route_reason_code, tool_name, sanitized_args, tool_result, timestamp, request_id, version, confirmation_reference, final_response, outcome_status</w:t>
      </w:r>
      <w:r>
        <w:t>。仅记录可观察决策原因与工具证据，不要求模型内部思维链。日志不得包含访问密钥。</w:t>
      </w:r>
    </w:p>
    <w:p>
      <w:pPr>
        <w:pStyle w:val="Heading1"/>
      </w:pPr>
      <w:r>
        <w:t>9. 必须继承的采购业务规则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</w:trPr>
        <w:tc>
          <w:tcPr>
            <w:tcW w:type="dxa" w:w="4872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决策</w:t>
            </w:r>
          </w:p>
        </w:tc>
        <w:tc>
          <w:tcPr>
            <w:tcW w:type="dxa" w:w="4872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固定要求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F01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可信员工主数据确定部门/预算等；Agent 不选择预算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F02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用途为非空文本，不做内容语义审查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F03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仅首次成功创建 PO 扣一次预算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F04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黑名单阻断；新供应商走独立人工准入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F05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金额 &lt;10000 为 M01，≥10000 为 M02；高额可信报价凭证在批准前核验；Agent 不审批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F06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预算不足、黑名单保留独立服务端规则测试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F07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C01–C10 原候选要整体审核后统一冻结，不提前宣称成功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F08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单条目、CNY、合成数据；不做 OCR/多报价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D01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用户指定供应商名称，服务端可信匹配 ID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D02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缺项证据来自真实轨迹或留痕标注，不依赖 Dify 私有字段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D03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高额凭证允许提交时缺席，但人工批准前必须核验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D04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评估结果区分 PASS / FAIL / NOT_RUN / EVIDENCE_MISSING，必须有可信证据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>D05</w:t>
            </w:r>
          </w:p>
        </w:tc>
        <w:tc>
          <w:tcPr>
            <w:tcW w:type="dxa" w:w="4872"/>
            <w:vAlign w:val="center"/>
          </w:tcPr>
          <w:p>
            <w:pPr>
              <w:spacing w:after="40"/>
            </w:pPr>
            <w:r>
              <w:rPr>
                <w:sz w:val="15"/>
              </w:rPr>
              <w:t xml:space="preserve">Agent 仅使用正常授权业务查询，不访问 </w:t>
            </w:r>
            <w:r>
              <w:rPr>
                <w:rFonts w:ascii="Consolas" w:hAnsi="Consolas"/>
                <w:color w:val="215778"/>
                <w:sz w:val="15"/>
              </w:rPr>
              <w:t>/__eval__</w:t>
            </w:r>
          </w:p>
        </w:tc>
      </w:tr>
    </w:tbl>
    <w:p>
      <w:pPr>
        <w:spacing w:after="0"/>
      </w:pPr>
    </w:p>
    <w:p>
      <w:pPr>
        <w:pStyle w:val="Heading1"/>
      </w:pPr>
      <w:r>
        <w:t>10. 首版验收与评估设计</w:t>
      </w:r>
    </w:p>
    <w:p>
      <w:r>
        <w:t xml:space="preserve">评估优先看 </w:t>
      </w:r>
      <w:r>
        <w:rPr>
          <w:b/>
        </w:rPr>
        <w:t>Outcome 合规完成</w:t>
      </w:r>
      <w:r>
        <w:t>，再分析 Routing、Tool Execution、Safety 四个观察层；同一目标允许不同合法工具路径。业务 API 单测通过不能算作 Agent 任务完成。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验收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核心场景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必需验证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A01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完整新建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正确参数、一次确认、提交真实 PR、审批去向正确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A02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缺字段新建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多轮追问与上下文保持；未确认不写业务记录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A03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查询指定及模糊指代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只读真实数据；歧义先澄清，无越权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A04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修改已提交且无 PO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只改目标字段、金额/版本/重审正确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A05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PO 已创建后的修改请求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正确拒绝，无关键字段改变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A06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确认前参数/对象被更换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旧确认失效，不写旧操作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A07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越权查询/审批诱导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受控拦截，无审批工具调用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A08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写入结果未知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不盲目重复写，可信核实后再回复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R01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明确 PR 查询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 后答复；不多余追问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R02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模糊“上次那笔”有多个候选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READ→ASK，不擅自确定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R03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数量“增加两个”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查询现值、正确计算目标值、确认后修改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R04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确认前改变数量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废弃旧摘要、重新确认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R05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确认后版本发生变化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不以旧确认写入，重新核实/确认</w:t>
            </w:r>
          </w:p>
        </w:tc>
      </w:tr>
    </w:tbl>
    <w:p>
      <w:pPr>
        <w:spacing w:after="0"/>
      </w:pPr>
    </w:p>
    <w:p>
      <w:r>
        <w:rPr>
          <w:b/>
        </w:rPr>
        <w:t>评估指标（正式评测阶段再统计）：</w:t>
      </w:r>
      <w:r>
        <w:t xml:space="preserve"> 任务合规完成率、路由决策正确率、错误对象操作率、不必要澄清率、工具执行正确率、严重违规次数；保留证据覆盖率及失败归因（模型理解/路由/工具/Runtime/模拟器/Checker/样本）。所有分母必须披露 NOT_RUN / EVIDENCE_MISSING，不得混入 API-only Case。</w:t>
      </w:r>
    </w:p>
    <w:p>
      <w:r>
        <w:t xml:space="preserve">A01–A08、R01–R05 为 </w:t>
      </w:r>
      <w:r>
        <w:rPr>
          <w:b/>
        </w:rPr>
        <w:t>Agent 评审/验收候选</w:t>
      </w:r>
      <w:r>
        <w:t>，不是已有分数，也不与 C01–C10 简单求和。v1 开发中做必要定向验收；等真实执行稳定再去重、审核 Golden 与统一冻结正式评估集。</w:t>
      </w:r>
    </w:p>
    <w:p>
      <w:pPr>
        <w:pStyle w:val="Heading1"/>
      </w:pPr>
      <w:r>
        <w:t>11. Codex 首轮开发范围与阶段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阶段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最小交付</w:t>
            </w:r>
          </w:p>
        </w:tc>
        <w:tc>
          <w:tcPr>
            <w:tcW w:type="dxa" w:w="3248"/>
            <w:vAlign w:val="center"/>
            <w:shd w:fill="E7EDF4"/>
          </w:tcPr>
          <w:p>
            <w:pPr>
              <w:spacing w:after="40"/>
            </w:pPr>
            <w:r>
              <w:rPr>
                <w:b/>
                <w:sz w:val="15"/>
              </w:rPr>
              <w:t>退出条件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G1 纵向只读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一个聊天入口、单模型 API、可信身份会话、只读 Tool Calling、工具 Trace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用户能够授权查询真实 PR；跨用户权限可核实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G2 三任务闭环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会话草稿、多轮补问、供应商匹配、完整确认、受控创建/提交/修改、五态路由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A01–A05 各至少一条真实执行证据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G3 风险与恢复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确认绑定与失效、身份拒绝、版本冲突、回执未知、必要联调补丁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A06–A08 与 R01–R05 定向验收有报告；不越权、不虚报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G4 正式评测（暂不在本轮开发）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冻结案例、环境初态、真实轨迹与分层报告</w:t>
            </w:r>
          </w:p>
        </w:tc>
        <w:tc>
          <w:tcPr>
            <w:tcW w:type="dxa" w:w="3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完成首版体验评审后另行安排</w:t>
            </w:r>
          </w:p>
        </w:tc>
      </w:tr>
    </w:tbl>
    <w:p>
      <w:pPr>
        <w:spacing w:after="0"/>
      </w:pPr>
    </w:p>
    <w:p>
      <w:r>
        <w:rPr>
          <w:b/>
        </w:rPr>
        <w:t>技术建议而非技术宗教：</w:t>
      </w:r>
      <w:r>
        <w:t xml:space="preserve"> 单 Agent、原生模型 Tool Calling + 轻量 Python Runtime + 现有 HTTP 模拟器；不先引入 LangGraph、多 Agent 或评测大平台。如当前所选模型或 SDK Tool Calling 表现不足，优先做最小真实任务验证后反馈，不自行大改架构。</w:t>
      </w:r>
    </w:p>
    <w:p>
      <w:r>
        <w:rPr>
          <w:b/>
        </w:rPr>
        <w:t>首轮 Codex 工作原则：</w:t>
      </w:r>
      <w:r>
        <w:t xml:space="preserve"> 先核对现有接口，复用模拟器；按 G1→G3 完成可运行 Agent v1；仅进行相关定向测试和一次核心回归；暂停无边界需求扩展和全仓重复审计。</w:t>
      </w:r>
    </w:p>
    <w:p>
      <w:pPr>
        <w:pStyle w:val="Heading1"/>
      </w:pPr>
      <w:r>
        <w:t>12. 冻结项、联调待核实项和交付定义</w:t>
      </w:r>
    </w:p>
    <w:p>
      <w:r>
        <w:rPr>
          <w:b/>
        </w:rPr>
        <w:t>首版已定：</w:t>
      </w:r>
      <w:r>
        <w:t xml:space="preserve"> 新建/查询/修改三任务；一条 Agent 交互主线；ASK/READ/CONFIRM/ACT/STOP；证据驱动路由而非数字置信度放行；用户确认绑定操作；Agent 不审批、不主动创建 PO、不做自动提醒；服务端业务规则优先；独立观察 Trace 与真实 Outcome。</w:t>
      </w:r>
    </w:p>
    <w:p>
      <w:r>
        <w:rPr>
          <w:b/>
        </w:rPr>
        <w:t>联调待核实（不允许偷偷假定已完成）：</w:t>
      </w:r>
      <w:r>
        <w:t xml:space="preserve"> ① </w:t>
      </w:r>
      <w:r>
        <w:rPr>
          <w:rFonts w:ascii="Consolas" w:hAnsi="Consolas"/>
          <w:color w:val="215778"/>
          <w:sz w:val="16"/>
        </w:rPr>
        <w:t>demo-agent</w:t>
      </w:r>
      <w:r>
        <w:t xml:space="preserve"> 与具体用户身份的服务端绑定；② POST/PATCH 的幂等与原子版本控制；③ POST 创建后响应丢失时的可恢复性；④ 当前错误码及状态枚举；⑤ 单页模拟器 PO 手工触发入口。若无法保证安全执行，相关写任务应返回安全失败，记录阻断点；经产品负责人确认最小补丁后再继续。</w:t>
      </w:r>
    </w:p>
    <w:p>
      <w:r>
        <w:rPr>
          <w:b/>
        </w:rPr>
        <w:t>交付产物：</w:t>
      </w:r>
      <w:r>
        <w:t xml:space="preserve"> 可运行 Agent 代码 + 启动命令、必要环境变量示例、工具 schema/适配层、简单对话页面、Trace、定向测试及简短测试报告、源码修改清单和明确未完成事项。模型 API Key 不入库；不声称生产级鉴权、真实 ERP 接入或真实 Agent 性能成绩。</w:t>
      </w:r>
    </w:p>
    <w:p>
      <w:r>
        <w:rPr>
          <w:b/>
        </w:rPr>
        <w:t>本版签收含义：</w:t>
      </w:r>
      <w:r>
        <w:t xml:space="preserve"> 同意 Codex 依据以上设计交付第一版，再依据实际体验和 Bad Case 对细节优化。本次不提前加入新的业务域或评测基础设施。</w:t>
      </w:r>
    </w:p>
    <w:sectPr w:rsidR="00FC693F" w:rsidRPr="0006063C" w:rsidSect="00034616">
      <w:footerReference w:type="default" r:id="rId9"/>
      <w:pgSz w:w="12240" w:h="15840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采购 Agent · PRD v1.2 · 首版开发定稿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149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1496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220"/>
      <w:contextualSpacing/>
    </w:pPr>
    <w:rPr>
      <w:rFonts w:asciiTheme="majorHAnsi" w:eastAsiaTheme="majorEastAsia" w:hAnsiTheme="majorHAnsi" w:cstheme="majorBidi" w:ascii="Microsoft YaHei" w:hAnsi="Microsoft YaHei"/>
      <w:b/>
      <w:color w:val="1632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