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Бюджетное учреждение профессионального образования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Ханты-Мансийского автономного округа - Югры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«Нижневартовский социально-гуманитарный колледж»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ОТЧЁТ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 выполнении демонстрационного экзамена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4962"/>
        </w:tabs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496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98"/>
        <w:gridCol w:w="4246"/>
        <w:tblGridChange w:id="0">
          <w:tblGrid>
            <w:gridCol w:w="5098"/>
            <w:gridCol w:w="4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after="16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Обучающийся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СА группы</w:t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9072"/>
              </w:tabs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Шапкин Максим Вячеславович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специальность: 09.02.06 Сетевое </w:t>
              <w:br w:type="textWrapping"/>
              <w:t xml:space="preserve">и системное администрирование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tabs>
          <w:tab w:val="left" w:leader="none" w:pos="9214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9214"/>
        </w:tabs>
        <w:spacing w:after="0" w:line="360" w:lineRule="auto"/>
        <w:ind w:left="5387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9214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Нижневартовск, 2024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8" w:top="1134" w:left="1701" w:right="85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="360" w:lineRule="auto"/>
      <w:ind w:firstLine="709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12121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212121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212121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FaoZnPTOwwoIM6OdBLCBidCEw==">CgMxLjA4AHIhMVdfMWl0WVhSUE5ockdCMmpXd2RhMzh3Sm1tNUQxblFJ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