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CF2E11">
      <w:pPr>
        <w:pStyle w:val="31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贷后监管综合周报</w:t>
      </w:r>
    </w:p>
    <w:p w14:paraId="5F1E3064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555555"/>
          <w:sz w:val="18"/>
        </w:rPr>
        <w:t>报告日期：2026-06-10 (星期三)　报告周期：2026-06-10 ~ 2026-06-17</w:t>
      </w:r>
    </w:p>
    <w:p w14:paraId="7CF75B4E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555555"/>
          <w:sz w:val="18"/>
        </w:rPr>
        <w:t>监管企业：四川振海保安服务有限公司　|　所属行业：安保服务　|　发放金额：1000.0万元　|　报告类型：贷后监管综合周报</w:t>
      </w:r>
    </w:p>
    <w:p w14:paraId="1FF2DB49">
      <w:pPr>
        <w:rPr>
          <w:rFonts w:hint="eastAsia" w:ascii="微软雅黑" w:hAnsi="微软雅黑" w:eastAsia="微软雅黑" w:cs="微软雅黑"/>
        </w:rPr>
      </w:pPr>
    </w:p>
    <w:p w14:paraId="7662F41E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一、行业与宏观监管（宏观扫描）</w:t>
      </w:r>
    </w:p>
    <w:p w14:paraId="3FA56A8F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行业情况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5"/>
        <w:gridCol w:w="7191"/>
      </w:tblGrid>
      <w:tr w14:paraId="1B11AB21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1701" w:type="dxa"/>
            <w:shd w:val="clear" w:color="auto" w:fill="EFF6FF"/>
          </w:tcPr>
          <w:p w14:paraId="71D1516C">
            <w:pPr>
              <w:rPr>
                <w:rFonts w:hint="eastAsia" w:ascii="微软雅黑" w:hAnsi="微软雅黑" w:eastAsia="微软雅黑" w:cs="微软雅黑"/>
                <w:color w:val="376092" w:themeColor="accent1" w:themeShade="BF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76092" w:themeColor="accent1" w:themeShade="BF"/>
                <w:sz w:val="20"/>
              </w:rPr>
              <w:t>当前状态</w:t>
            </w:r>
          </w:p>
        </w:tc>
        <w:tc>
          <w:tcPr>
            <w:tcW w:w="7370" w:type="dxa"/>
          </w:tcPr>
          <w:p w14:paraId="4DC29CCE">
            <w:pPr>
              <w:rPr>
                <w:rFonts w:hint="eastAsia" w:ascii="微软雅黑" w:hAnsi="微软雅黑" w:eastAsia="微软雅黑" w:cs="微软雅黑"/>
                <w:color w:val="376092" w:themeColor="accent1" w:themeShade="BF"/>
              </w:rPr>
            </w:pPr>
            <w:r>
              <w:rPr>
                <w:rFonts w:hint="eastAsia" w:ascii="微软雅黑" w:hAnsi="微软雅黑" w:eastAsia="微软雅黑" w:cs="微软雅黑"/>
                <w:color w:val="376092" w:themeColor="accent1" w:themeShade="BF"/>
                <w:sz w:val="20"/>
              </w:rPr>
              <w:t>安保服务行业整体运行平稳，受宏观经济影响行业增速放缓。</w:t>
            </w:r>
          </w:p>
        </w:tc>
      </w:tr>
      <w:tr w14:paraId="34421EF4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FF6FF"/>
          </w:tcPr>
          <w:p w14:paraId="0AE840B0">
            <w:pPr>
              <w:rPr>
                <w:rFonts w:hint="eastAsia" w:ascii="微软雅黑" w:hAnsi="微软雅黑" w:eastAsia="微软雅黑" w:cs="微软雅黑"/>
                <w:color w:val="376092" w:themeColor="accent1" w:themeShade="BF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76092" w:themeColor="accent1" w:themeShade="BF"/>
                <w:sz w:val="20"/>
              </w:rPr>
              <w:t>关键指标</w:t>
            </w:r>
          </w:p>
        </w:tc>
        <w:tc>
          <w:tcPr>
            <w:tcW w:w="7370" w:type="dxa"/>
          </w:tcPr>
          <w:p w14:paraId="7F6833A1">
            <w:pPr>
              <w:rPr>
                <w:rFonts w:hint="eastAsia" w:ascii="微软雅黑" w:hAnsi="微软雅黑" w:eastAsia="微软雅黑" w:cs="微软雅黑"/>
                <w:color w:val="376092" w:themeColor="accent1" w:themeShade="BF"/>
              </w:rPr>
            </w:pPr>
            <w:r>
              <w:rPr>
                <w:rFonts w:hint="eastAsia" w:ascii="微软雅黑" w:hAnsi="微软雅黑" w:eastAsia="微软雅黑" w:cs="微软雅黑"/>
                <w:color w:val="376092" w:themeColor="accent1" w:themeShade="BF"/>
                <w:sz w:val="20"/>
              </w:rPr>
              <w:t>行业PMI 48.5，营收增速中位数3.2%，资产负债率均值62.5%</w:t>
            </w:r>
          </w:p>
        </w:tc>
      </w:tr>
    </w:tbl>
    <w:p w14:paraId="6B6FC18D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本周大事记</w:t>
      </w:r>
    </w:p>
    <w:p w14:paraId="5A29AB8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行业最新政策解读发布；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2. 龙头企业发布季度财报。</w:t>
      </w:r>
    </w:p>
    <w:p w14:paraId="42317FBD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行业舆情监控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7"/>
        <w:gridCol w:w="7189"/>
      </w:tblGrid>
      <w:tr w14:paraId="3CA107BD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1701" w:type="dxa"/>
            <w:shd w:val="clear" w:color="auto" w:fill="EFF6FF"/>
          </w:tcPr>
          <w:p w14:paraId="2B9FB56B">
            <w:pPr>
              <w:rPr>
                <w:rFonts w:hint="eastAsia" w:ascii="微软雅黑" w:hAnsi="微软雅黑" w:eastAsia="微软雅黑" w:cs="微软雅黑"/>
                <w:color w:val="376092" w:themeColor="accent1" w:themeShade="BF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76092" w:themeColor="accent1" w:themeShade="BF"/>
                <w:sz w:val="20"/>
              </w:rPr>
              <w:t>政策风向</w:t>
            </w:r>
          </w:p>
        </w:tc>
        <w:tc>
          <w:tcPr>
            <w:tcW w:w="7370" w:type="dxa"/>
          </w:tcPr>
          <w:p w14:paraId="250A4AA2">
            <w:pPr>
              <w:rPr>
                <w:rFonts w:hint="eastAsia" w:ascii="微软雅黑" w:hAnsi="微软雅黑" w:eastAsia="微软雅黑" w:cs="微软雅黑"/>
                <w:color w:val="376092" w:themeColor="accent1" w:themeShade="BF"/>
              </w:rPr>
            </w:pPr>
            <w:r>
              <w:rPr>
                <w:rFonts w:hint="eastAsia" w:ascii="微软雅黑" w:hAnsi="微软雅黑" w:eastAsia="微软雅黑" w:cs="微软雅黑"/>
                <w:color w:val="376092" w:themeColor="accent1" w:themeShade="BF"/>
                <w:sz w:val="20"/>
              </w:rPr>
              <w:t>中性</w:t>
            </w:r>
          </w:p>
        </w:tc>
      </w:tr>
      <w:tr w14:paraId="3C645482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FF6FF"/>
          </w:tcPr>
          <w:p w14:paraId="4F2AC00D">
            <w:pPr>
              <w:rPr>
                <w:rFonts w:hint="eastAsia" w:ascii="微软雅黑" w:hAnsi="微软雅黑" w:eastAsia="微软雅黑" w:cs="微软雅黑"/>
                <w:color w:val="376092" w:themeColor="accent1" w:themeShade="BF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76092" w:themeColor="accent1" w:themeShade="BF"/>
                <w:sz w:val="20"/>
              </w:rPr>
              <w:t>政策详情</w:t>
            </w:r>
          </w:p>
        </w:tc>
        <w:tc>
          <w:tcPr>
            <w:tcW w:w="7370" w:type="dxa"/>
          </w:tcPr>
          <w:p w14:paraId="0B0B63DA">
            <w:pPr>
              <w:rPr>
                <w:rFonts w:hint="eastAsia" w:ascii="微软雅黑" w:hAnsi="微软雅黑" w:eastAsia="微软雅黑" w:cs="微软雅黑"/>
                <w:color w:val="376092" w:themeColor="accent1" w:themeShade="BF"/>
              </w:rPr>
            </w:pPr>
            <w:r>
              <w:rPr>
                <w:rFonts w:hint="eastAsia" w:ascii="微软雅黑" w:hAnsi="微软雅黑" w:eastAsia="微软雅黑" w:cs="微软雅黑"/>
                <w:color w:val="376092" w:themeColor="accent1" w:themeShade="BF"/>
                <w:sz w:val="20"/>
              </w:rPr>
              <w:t>相关政策保持稳定，未见重大政策调整。</w:t>
            </w:r>
          </w:p>
        </w:tc>
      </w:tr>
      <w:tr w14:paraId="247C7491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FF6FF"/>
          </w:tcPr>
          <w:p w14:paraId="18869882">
            <w:pPr>
              <w:rPr>
                <w:rFonts w:hint="eastAsia" w:ascii="微软雅黑" w:hAnsi="微软雅黑" w:eastAsia="微软雅黑" w:cs="微软雅黑"/>
                <w:color w:val="376092" w:themeColor="accent1" w:themeShade="BF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76092" w:themeColor="accent1" w:themeShade="BF"/>
                <w:sz w:val="20"/>
              </w:rPr>
              <w:t>风险提示</w:t>
            </w:r>
          </w:p>
        </w:tc>
        <w:tc>
          <w:tcPr>
            <w:tcW w:w="7370" w:type="dxa"/>
          </w:tcPr>
          <w:p w14:paraId="02DA0856">
            <w:pPr>
              <w:rPr>
                <w:rFonts w:hint="eastAsia" w:ascii="微软雅黑" w:hAnsi="微软雅黑" w:eastAsia="微软雅黑" w:cs="微软雅黑"/>
                <w:color w:val="376092" w:themeColor="accent1" w:themeShade="BF"/>
              </w:rPr>
            </w:pPr>
            <w:r>
              <w:rPr>
                <w:rFonts w:hint="eastAsia" w:ascii="微软雅黑" w:hAnsi="微软雅黑" w:eastAsia="微软雅黑" w:cs="微软雅黑"/>
                <w:color w:val="376092" w:themeColor="accent1" w:themeShade="BF"/>
                <w:sz w:val="20"/>
              </w:rPr>
              <w:t>行业景气度下行风险、政策调控不确定性。</w:t>
            </w:r>
          </w:p>
        </w:tc>
      </w:tr>
    </w:tbl>
    <w:p w14:paraId="2BC049A1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二、核心企业监管（供应链扫描）</w:t>
      </w:r>
    </w:p>
    <w:p w14:paraId="709073F9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核心企业：国家管网集团西南管道有限责任公司重庆输油气分公司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7"/>
        <w:gridCol w:w="7189"/>
      </w:tblGrid>
      <w:tr w14:paraId="046BC739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FF6FF"/>
          </w:tcPr>
          <w:p w14:paraId="3C2F7CCB">
            <w:pPr>
              <w:rPr>
                <w:rFonts w:hint="eastAsia" w:ascii="微软雅黑" w:hAnsi="微软雅黑" w:eastAsia="微软雅黑" w:cs="微软雅黑"/>
                <w:color w:val="376092" w:themeColor="accent1" w:themeShade="BF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76092" w:themeColor="accent1" w:themeShade="BF"/>
                <w:sz w:val="20"/>
              </w:rPr>
              <w:t>经营状态</w:t>
            </w:r>
          </w:p>
        </w:tc>
        <w:tc>
          <w:tcPr>
            <w:tcW w:w="7370" w:type="dxa"/>
          </w:tcPr>
          <w:p w14:paraId="6A9001BE">
            <w:pPr>
              <w:rPr>
                <w:rFonts w:hint="eastAsia" w:ascii="微软雅黑" w:hAnsi="微软雅黑" w:eastAsia="微软雅黑" w:cs="微软雅黑"/>
                <w:color w:val="376092" w:themeColor="accent1" w:themeShade="BF"/>
              </w:rPr>
            </w:pPr>
            <w:r>
              <w:rPr>
                <w:rFonts w:hint="eastAsia" w:ascii="微软雅黑" w:hAnsi="微软雅黑" w:eastAsia="微软雅黑" w:cs="微软雅黑"/>
                <w:color w:val="376092" w:themeColor="accent1" w:themeShade="BF"/>
                <w:sz w:val="20"/>
              </w:rPr>
              <w:t>正常运营</w:t>
            </w:r>
          </w:p>
        </w:tc>
      </w:tr>
      <w:tr w14:paraId="728C9EE1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FF6FF"/>
          </w:tcPr>
          <w:p w14:paraId="1D9A1989">
            <w:pPr>
              <w:rPr>
                <w:rFonts w:hint="eastAsia" w:ascii="微软雅黑" w:hAnsi="微软雅黑" w:eastAsia="微软雅黑" w:cs="微软雅黑"/>
                <w:color w:val="376092" w:themeColor="accent1" w:themeShade="BF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76092" w:themeColor="accent1" w:themeShade="BF"/>
                <w:sz w:val="20"/>
              </w:rPr>
              <w:t>结算情况</w:t>
            </w:r>
          </w:p>
        </w:tc>
        <w:tc>
          <w:tcPr>
            <w:tcW w:w="7370" w:type="dxa"/>
          </w:tcPr>
          <w:p w14:paraId="53A68287">
            <w:pPr>
              <w:rPr>
                <w:rFonts w:hint="eastAsia" w:ascii="微软雅黑" w:hAnsi="微软雅黑" w:eastAsia="微软雅黑" w:cs="微软雅黑"/>
                <w:color w:val="376092" w:themeColor="accent1" w:themeShade="BF"/>
              </w:rPr>
            </w:pPr>
            <w:r>
              <w:rPr>
                <w:rFonts w:hint="eastAsia" w:ascii="微软雅黑" w:hAnsi="微软雅黑" w:eastAsia="微软雅黑" w:cs="微软雅黑"/>
                <w:color w:val="376092" w:themeColor="accent1" w:themeShade="BF"/>
                <w:sz w:val="20"/>
              </w:rPr>
              <w:t>正常</w:t>
            </w:r>
          </w:p>
        </w:tc>
      </w:tr>
      <w:tr w14:paraId="52028FF9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FF6FF"/>
          </w:tcPr>
          <w:p w14:paraId="1E9FDA87">
            <w:pPr>
              <w:rPr>
                <w:rFonts w:hint="eastAsia" w:ascii="微软雅黑" w:hAnsi="微软雅黑" w:eastAsia="微软雅黑" w:cs="微软雅黑"/>
                <w:color w:val="376092" w:themeColor="accent1" w:themeShade="BF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76092" w:themeColor="accent1" w:themeShade="BF"/>
                <w:sz w:val="20"/>
              </w:rPr>
              <w:t>账期延长</w:t>
            </w:r>
          </w:p>
        </w:tc>
        <w:tc>
          <w:tcPr>
            <w:tcW w:w="7370" w:type="dxa"/>
          </w:tcPr>
          <w:p w14:paraId="29B129B0">
            <w:pPr>
              <w:rPr>
                <w:rFonts w:hint="eastAsia" w:ascii="微软雅黑" w:hAnsi="微软雅黑" w:eastAsia="微软雅黑" w:cs="微软雅黑"/>
                <w:color w:val="376092" w:themeColor="accent1" w:themeShade="BF"/>
              </w:rPr>
            </w:pPr>
            <w:r>
              <w:rPr>
                <w:rFonts w:hint="eastAsia" w:ascii="微软雅黑" w:hAnsi="微软雅黑" w:eastAsia="微软雅黑" w:cs="微软雅黑"/>
                <w:color w:val="376092" w:themeColor="accent1" w:themeShade="BF"/>
                <w:sz w:val="20"/>
              </w:rPr>
              <w:t>无异常</w:t>
            </w:r>
          </w:p>
        </w:tc>
      </w:tr>
    </w:tbl>
    <w:p w14:paraId="6E5DFBA2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核心企业舆情与风险核查</w:t>
      </w:r>
    </w:p>
    <w:p w14:paraId="7085135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0"/>
        </w:rPr>
        <w:t>✅ 企业新闻：[企查查] 工商信息正常</w:t>
      </w:r>
      <w:r>
        <w:rPr>
          <w:rFonts w:hint="eastAsia" w:ascii="微软雅黑" w:hAnsi="微软雅黑" w:eastAsia="微软雅黑" w:cs="微软雅黑"/>
          <w:sz w:val="20"/>
        </w:rPr>
        <w:br w:type="textWrapping"/>
      </w:r>
      <w:r>
        <w:rPr>
          <w:rFonts w:hint="eastAsia" w:ascii="微软雅黑" w:hAnsi="微软雅黑" w:eastAsia="微软雅黑" w:cs="微软雅黑"/>
          <w:sz w:val="20"/>
        </w:rPr>
        <w:t>[上海票交所] 无商票信用风险</w:t>
      </w:r>
    </w:p>
    <w:p w14:paraId="29959C9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F53F3F"/>
          <w:sz w:val="20"/>
        </w:rPr>
        <w:t>⚠️ 负面舆情：[企查查] 未发现行政处罚和经营异常记录</w:t>
      </w:r>
      <w:r>
        <w:rPr>
          <w:rFonts w:hint="eastAsia" w:ascii="微软雅黑" w:hAnsi="微软雅黑" w:eastAsia="微软雅黑" w:cs="微软雅黑"/>
          <w:color w:val="F53F3F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F53F3F"/>
          <w:sz w:val="20"/>
        </w:rPr>
        <w:t>[上海票交所] 商票记录为0，无逾期/拒付</w:t>
      </w:r>
    </w:p>
    <w:p w14:paraId="20F6D9BE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风险核查（DM/债券/商票）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0"/>
        <w:gridCol w:w="7176"/>
      </w:tblGrid>
      <w:tr w14:paraId="05A69161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FF6FF"/>
          </w:tcPr>
          <w:p w14:paraId="64919C66">
            <w:pPr>
              <w:rPr>
                <w:rFonts w:hint="eastAsia" w:ascii="微软雅黑" w:hAnsi="微软雅黑" w:eastAsia="微软雅黑" w:cs="微软雅黑"/>
                <w:color w:val="376092" w:themeColor="accent1" w:themeShade="BF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76092" w:themeColor="accent1" w:themeShade="BF"/>
                <w:sz w:val="20"/>
              </w:rPr>
              <w:t>债务违约（DM）</w:t>
            </w:r>
          </w:p>
        </w:tc>
        <w:tc>
          <w:tcPr>
            <w:tcW w:w="7370" w:type="dxa"/>
          </w:tcPr>
          <w:p w14:paraId="3E0B1537">
            <w:pPr>
              <w:rPr>
                <w:rFonts w:hint="eastAsia" w:ascii="微软雅黑" w:hAnsi="微软雅黑" w:eastAsia="微软雅黑" w:cs="微软雅黑"/>
                <w:color w:val="376092" w:themeColor="accent1" w:themeShade="BF"/>
              </w:rPr>
            </w:pPr>
            <w:r>
              <w:rPr>
                <w:rFonts w:hint="eastAsia" w:ascii="微软雅黑" w:hAnsi="微软雅黑" w:eastAsia="微软雅黑" w:cs="微软雅黑"/>
                <w:color w:val="376092" w:themeColor="accent1" w:themeShade="BF"/>
                <w:sz w:val="20"/>
              </w:rPr>
              <w:t>无</w:t>
            </w:r>
          </w:p>
        </w:tc>
      </w:tr>
      <w:tr w14:paraId="6D2C1FC3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FF6FF"/>
          </w:tcPr>
          <w:p w14:paraId="13FCB1EE">
            <w:pPr>
              <w:rPr>
                <w:rFonts w:hint="eastAsia" w:ascii="微软雅黑" w:hAnsi="微软雅黑" w:eastAsia="微软雅黑" w:cs="微软雅黑"/>
                <w:color w:val="376092" w:themeColor="accent1" w:themeShade="BF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76092" w:themeColor="accent1" w:themeShade="BF"/>
                <w:sz w:val="20"/>
              </w:rPr>
              <w:t>违约金额</w:t>
            </w:r>
          </w:p>
        </w:tc>
        <w:tc>
          <w:tcPr>
            <w:tcW w:w="7370" w:type="dxa"/>
          </w:tcPr>
          <w:p w14:paraId="481231B6">
            <w:pPr>
              <w:rPr>
                <w:rFonts w:hint="eastAsia" w:ascii="微软雅黑" w:hAnsi="微软雅黑" w:eastAsia="微软雅黑" w:cs="微软雅黑"/>
                <w:color w:val="376092" w:themeColor="accent1" w:themeShade="BF"/>
              </w:rPr>
            </w:pPr>
            <w:r>
              <w:rPr>
                <w:rFonts w:hint="eastAsia" w:ascii="微软雅黑" w:hAnsi="微软雅黑" w:eastAsia="微软雅黑" w:cs="微软雅黑"/>
                <w:color w:val="376092" w:themeColor="accent1" w:themeShade="BF"/>
                <w:sz w:val="20"/>
              </w:rPr>
              <w:t>无</w:t>
            </w:r>
          </w:p>
        </w:tc>
      </w:tr>
      <w:tr w14:paraId="0CAE4532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FF6FF"/>
          </w:tcPr>
          <w:p w14:paraId="0B775DE4">
            <w:pPr>
              <w:rPr>
                <w:rFonts w:hint="eastAsia" w:ascii="微软雅黑" w:hAnsi="微软雅黑" w:eastAsia="微软雅黑" w:cs="微软雅黑"/>
                <w:color w:val="376092" w:themeColor="accent1" w:themeShade="BF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76092" w:themeColor="accent1" w:themeShade="BF"/>
                <w:sz w:val="20"/>
              </w:rPr>
              <w:t>债券情况</w:t>
            </w:r>
          </w:p>
        </w:tc>
        <w:tc>
          <w:tcPr>
            <w:tcW w:w="7370" w:type="dxa"/>
          </w:tcPr>
          <w:p w14:paraId="026191B9">
            <w:pPr>
              <w:rPr>
                <w:rFonts w:hint="eastAsia" w:ascii="微软雅黑" w:hAnsi="微软雅黑" w:eastAsia="微软雅黑" w:cs="微软雅黑"/>
                <w:color w:val="376092" w:themeColor="accent1" w:themeShade="BF"/>
              </w:rPr>
            </w:pPr>
            <w:r>
              <w:rPr>
                <w:rFonts w:hint="eastAsia" w:ascii="微软雅黑" w:hAnsi="微软雅黑" w:eastAsia="微软雅黑" w:cs="微软雅黑"/>
                <w:color w:val="376092" w:themeColor="accent1" w:themeShade="BF"/>
                <w:sz w:val="20"/>
              </w:rPr>
              <w:t>未查询到公开债券信息</w:t>
            </w:r>
          </w:p>
        </w:tc>
      </w:tr>
      <w:tr w14:paraId="4E13CAF6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FF6FF"/>
          </w:tcPr>
          <w:p w14:paraId="675BE4F1">
            <w:pPr>
              <w:rPr>
                <w:rFonts w:hint="eastAsia" w:ascii="微软雅黑" w:hAnsi="微软雅黑" w:eastAsia="微软雅黑" w:cs="微软雅黑"/>
                <w:color w:val="376092" w:themeColor="accent1" w:themeShade="BF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76092" w:themeColor="accent1" w:themeShade="BF"/>
                <w:sz w:val="20"/>
              </w:rPr>
              <w:t>商票/票据</w:t>
            </w:r>
          </w:p>
        </w:tc>
        <w:tc>
          <w:tcPr>
            <w:tcW w:w="7370" w:type="dxa"/>
          </w:tcPr>
          <w:p w14:paraId="7EB05D8C">
            <w:pPr>
              <w:rPr>
                <w:rFonts w:hint="eastAsia" w:ascii="微软雅黑" w:hAnsi="微软雅黑" w:eastAsia="微软雅黑" w:cs="微软雅黑"/>
                <w:color w:val="376092" w:themeColor="accent1" w:themeShade="BF"/>
              </w:rPr>
            </w:pPr>
            <w:r>
              <w:rPr>
                <w:rFonts w:hint="eastAsia" w:ascii="微软雅黑" w:hAnsi="微软雅黑" w:eastAsia="微软雅黑" w:cs="微软雅黑"/>
                <w:color w:val="376092" w:themeColor="accent1" w:themeShade="BF"/>
                <w:sz w:val="20"/>
              </w:rPr>
              <w:t>上海票交所: 累计签发0笔，无逾期/拒付记录</w:t>
            </w:r>
          </w:p>
        </w:tc>
      </w:tr>
    </w:tbl>
    <w:p w14:paraId="759DCFE9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核查结论</w:t>
      </w:r>
    </w:p>
    <w:p w14:paraId="6DA9CE8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企查查工商信息正常，上海票交所无商票信用风险</w:t>
      </w:r>
    </w:p>
    <w:p w14:paraId="5DD95261">
      <w:pPr>
        <w:rPr>
          <w:rFonts w:hint="eastAsia" w:ascii="微软雅黑" w:hAnsi="微软雅黑" w:eastAsia="微软雅黑" w:cs="微软雅黑"/>
        </w:rPr>
      </w:pPr>
    </w:p>
    <w:p w14:paraId="62F09B3F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核心企业：中铁建物业管理有限公司成都分公司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7"/>
        <w:gridCol w:w="7189"/>
      </w:tblGrid>
      <w:tr w14:paraId="4A2843E0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1701" w:type="dxa"/>
            <w:shd w:val="clear" w:color="auto" w:fill="EFF6FF"/>
          </w:tcPr>
          <w:p w14:paraId="50C1AAC5">
            <w:pPr>
              <w:rPr>
                <w:rFonts w:hint="eastAsia" w:ascii="微软雅黑" w:hAnsi="微软雅黑" w:eastAsia="微软雅黑" w:cs="微软雅黑"/>
                <w:color w:val="376092" w:themeColor="accent1" w:themeShade="BF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76092" w:themeColor="accent1" w:themeShade="BF"/>
                <w:sz w:val="20"/>
              </w:rPr>
              <w:t>经营状态</w:t>
            </w:r>
          </w:p>
        </w:tc>
        <w:tc>
          <w:tcPr>
            <w:tcW w:w="7370" w:type="dxa"/>
          </w:tcPr>
          <w:p w14:paraId="4BC1D187">
            <w:pPr>
              <w:rPr>
                <w:rFonts w:hint="eastAsia" w:ascii="微软雅黑" w:hAnsi="微软雅黑" w:eastAsia="微软雅黑" w:cs="微软雅黑"/>
                <w:color w:val="376092" w:themeColor="accent1" w:themeShade="BF"/>
              </w:rPr>
            </w:pPr>
            <w:r>
              <w:rPr>
                <w:rFonts w:hint="eastAsia" w:ascii="微软雅黑" w:hAnsi="微软雅黑" w:eastAsia="微软雅黑" w:cs="微软雅黑"/>
                <w:color w:val="376092" w:themeColor="accent1" w:themeShade="BF"/>
                <w:sz w:val="20"/>
              </w:rPr>
              <w:t>正常运营</w:t>
            </w:r>
          </w:p>
        </w:tc>
      </w:tr>
      <w:tr w14:paraId="2AFA4967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FF6FF"/>
          </w:tcPr>
          <w:p w14:paraId="201A53D1">
            <w:pPr>
              <w:rPr>
                <w:rFonts w:hint="eastAsia" w:ascii="微软雅黑" w:hAnsi="微软雅黑" w:eastAsia="微软雅黑" w:cs="微软雅黑"/>
                <w:color w:val="376092" w:themeColor="accent1" w:themeShade="BF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76092" w:themeColor="accent1" w:themeShade="BF"/>
                <w:sz w:val="20"/>
              </w:rPr>
              <w:t>结算情况</w:t>
            </w:r>
          </w:p>
        </w:tc>
        <w:tc>
          <w:tcPr>
            <w:tcW w:w="7370" w:type="dxa"/>
          </w:tcPr>
          <w:p w14:paraId="2F9221F2">
            <w:pPr>
              <w:rPr>
                <w:rFonts w:hint="eastAsia" w:ascii="微软雅黑" w:hAnsi="微软雅黑" w:eastAsia="微软雅黑" w:cs="微软雅黑"/>
                <w:color w:val="376092" w:themeColor="accent1" w:themeShade="BF"/>
              </w:rPr>
            </w:pPr>
            <w:r>
              <w:rPr>
                <w:rFonts w:hint="eastAsia" w:ascii="微软雅黑" w:hAnsi="微软雅黑" w:eastAsia="微软雅黑" w:cs="微软雅黑"/>
                <w:color w:val="376092" w:themeColor="accent1" w:themeShade="BF"/>
                <w:sz w:val="20"/>
              </w:rPr>
              <w:t>正常</w:t>
            </w:r>
          </w:p>
        </w:tc>
      </w:tr>
      <w:tr w14:paraId="0F465D2F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FF6FF"/>
          </w:tcPr>
          <w:p w14:paraId="2AEFCF4C">
            <w:pPr>
              <w:rPr>
                <w:rFonts w:hint="eastAsia" w:ascii="微软雅黑" w:hAnsi="微软雅黑" w:eastAsia="微软雅黑" w:cs="微软雅黑"/>
                <w:color w:val="376092" w:themeColor="accent1" w:themeShade="BF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76092" w:themeColor="accent1" w:themeShade="BF"/>
                <w:sz w:val="20"/>
              </w:rPr>
              <w:t>账期延长</w:t>
            </w:r>
          </w:p>
        </w:tc>
        <w:tc>
          <w:tcPr>
            <w:tcW w:w="7370" w:type="dxa"/>
          </w:tcPr>
          <w:p w14:paraId="6972AEA8">
            <w:pPr>
              <w:rPr>
                <w:rFonts w:hint="eastAsia" w:ascii="微软雅黑" w:hAnsi="微软雅黑" w:eastAsia="微软雅黑" w:cs="微软雅黑"/>
                <w:color w:val="376092" w:themeColor="accent1" w:themeShade="BF"/>
              </w:rPr>
            </w:pPr>
            <w:r>
              <w:rPr>
                <w:rFonts w:hint="eastAsia" w:ascii="微软雅黑" w:hAnsi="微软雅黑" w:eastAsia="微软雅黑" w:cs="微软雅黑"/>
                <w:color w:val="376092" w:themeColor="accent1" w:themeShade="BF"/>
                <w:sz w:val="20"/>
              </w:rPr>
              <w:t>无异常</w:t>
            </w:r>
          </w:p>
        </w:tc>
      </w:tr>
    </w:tbl>
    <w:p w14:paraId="58CB600F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核心企业舆情与风险核查</w:t>
      </w:r>
    </w:p>
    <w:p w14:paraId="6EBFC43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0"/>
        </w:rPr>
        <w:t>✅ 企业新闻：[企查查] 工商信息正常</w:t>
      </w:r>
      <w:r>
        <w:rPr>
          <w:rFonts w:hint="eastAsia" w:ascii="微软雅黑" w:hAnsi="微软雅黑" w:eastAsia="微软雅黑" w:cs="微软雅黑"/>
          <w:sz w:val="20"/>
        </w:rPr>
        <w:br w:type="textWrapping"/>
      </w:r>
      <w:r>
        <w:rPr>
          <w:rFonts w:hint="eastAsia" w:ascii="微软雅黑" w:hAnsi="微软雅黑" w:eastAsia="微软雅黑" w:cs="微软雅黑"/>
          <w:sz w:val="20"/>
        </w:rPr>
        <w:t>[上海票交所] 无商票信用风险</w:t>
      </w:r>
    </w:p>
    <w:p w14:paraId="07AF0D4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F53F3F"/>
          <w:sz w:val="20"/>
        </w:rPr>
        <w:t>⚠️ 负面舆情：[企查查] 未发现行政处罚和经营异常记录</w:t>
      </w:r>
      <w:r>
        <w:rPr>
          <w:rFonts w:hint="eastAsia" w:ascii="微软雅黑" w:hAnsi="微软雅黑" w:eastAsia="微软雅黑" w:cs="微软雅黑"/>
          <w:color w:val="F53F3F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F53F3F"/>
          <w:sz w:val="20"/>
        </w:rPr>
        <w:t>[上海票交所] 商票记录为0，无逾期/拒付</w:t>
      </w:r>
    </w:p>
    <w:p w14:paraId="5B918209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风险核查（DM/债券/商票）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0"/>
        <w:gridCol w:w="7176"/>
      </w:tblGrid>
      <w:tr w14:paraId="309F55A4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1701" w:type="dxa"/>
            <w:shd w:val="clear" w:color="auto" w:fill="EFF6FF"/>
          </w:tcPr>
          <w:p w14:paraId="7E1CC274">
            <w:pPr>
              <w:rPr>
                <w:rFonts w:hint="eastAsia" w:ascii="微软雅黑" w:hAnsi="微软雅黑" w:eastAsia="微软雅黑" w:cs="微软雅黑"/>
                <w:color w:val="376092" w:themeColor="accent1" w:themeShade="BF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76092" w:themeColor="accent1" w:themeShade="BF"/>
                <w:sz w:val="20"/>
              </w:rPr>
              <w:t>债务违约（DM）</w:t>
            </w:r>
          </w:p>
        </w:tc>
        <w:tc>
          <w:tcPr>
            <w:tcW w:w="7370" w:type="dxa"/>
          </w:tcPr>
          <w:p w14:paraId="467C3FFF">
            <w:pPr>
              <w:rPr>
                <w:rFonts w:hint="eastAsia" w:ascii="微软雅黑" w:hAnsi="微软雅黑" w:eastAsia="微软雅黑" w:cs="微软雅黑"/>
                <w:color w:val="376092" w:themeColor="accent1" w:themeShade="BF"/>
              </w:rPr>
            </w:pPr>
            <w:r>
              <w:rPr>
                <w:rFonts w:hint="eastAsia" w:ascii="微软雅黑" w:hAnsi="微软雅黑" w:eastAsia="微软雅黑" w:cs="微软雅黑"/>
                <w:color w:val="376092" w:themeColor="accent1" w:themeShade="BF"/>
                <w:sz w:val="20"/>
              </w:rPr>
              <w:t>无</w:t>
            </w:r>
          </w:p>
        </w:tc>
      </w:tr>
      <w:tr w14:paraId="60C3A0B3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FF6FF"/>
          </w:tcPr>
          <w:p w14:paraId="7BD4FE5D">
            <w:pPr>
              <w:rPr>
                <w:rFonts w:hint="eastAsia" w:ascii="微软雅黑" w:hAnsi="微软雅黑" w:eastAsia="微软雅黑" w:cs="微软雅黑"/>
                <w:color w:val="376092" w:themeColor="accent1" w:themeShade="BF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76092" w:themeColor="accent1" w:themeShade="BF"/>
                <w:sz w:val="20"/>
              </w:rPr>
              <w:t>违约金额</w:t>
            </w:r>
          </w:p>
        </w:tc>
        <w:tc>
          <w:tcPr>
            <w:tcW w:w="7370" w:type="dxa"/>
          </w:tcPr>
          <w:p w14:paraId="32E0E911">
            <w:pPr>
              <w:rPr>
                <w:rFonts w:hint="eastAsia" w:ascii="微软雅黑" w:hAnsi="微软雅黑" w:eastAsia="微软雅黑" w:cs="微软雅黑"/>
                <w:color w:val="376092" w:themeColor="accent1" w:themeShade="BF"/>
              </w:rPr>
            </w:pPr>
            <w:r>
              <w:rPr>
                <w:rFonts w:hint="eastAsia" w:ascii="微软雅黑" w:hAnsi="微软雅黑" w:eastAsia="微软雅黑" w:cs="微软雅黑"/>
                <w:color w:val="376092" w:themeColor="accent1" w:themeShade="BF"/>
                <w:sz w:val="20"/>
              </w:rPr>
              <w:t>无</w:t>
            </w:r>
          </w:p>
        </w:tc>
      </w:tr>
      <w:tr w14:paraId="31C37DBD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FF6FF"/>
          </w:tcPr>
          <w:p w14:paraId="0D0F9A3D">
            <w:pPr>
              <w:rPr>
                <w:rFonts w:hint="eastAsia" w:ascii="微软雅黑" w:hAnsi="微软雅黑" w:eastAsia="微软雅黑" w:cs="微软雅黑"/>
                <w:color w:val="376092" w:themeColor="accent1" w:themeShade="BF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76092" w:themeColor="accent1" w:themeShade="BF"/>
                <w:sz w:val="20"/>
              </w:rPr>
              <w:t>债券情况</w:t>
            </w:r>
          </w:p>
        </w:tc>
        <w:tc>
          <w:tcPr>
            <w:tcW w:w="7370" w:type="dxa"/>
          </w:tcPr>
          <w:p w14:paraId="67598BB7">
            <w:pPr>
              <w:rPr>
                <w:rFonts w:hint="eastAsia" w:ascii="微软雅黑" w:hAnsi="微软雅黑" w:eastAsia="微软雅黑" w:cs="微软雅黑"/>
                <w:color w:val="376092" w:themeColor="accent1" w:themeShade="BF"/>
              </w:rPr>
            </w:pPr>
            <w:r>
              <w:rPr>
                <w:rFonts w:hint="eastAsia" w:ascii="微软雅黑" w:hAnsi="微软雅黑" w:eastAsia="微软雅黑" w:cs="微软雅黑"/>
                <w:color w:val="376092" w:themeColor="accent1" w:themeShade="BF"/>
                <w:sz w:val="20"/>
              </w:rPr>
              <w:t>未查询到公开债券信息</w:t>
            </w:r>
          </w:p>
        </w:tc>
      </w:tr>
      <w:tr w14:paraId="52746211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FF6FF"/>
          </w:tcPr>
          <w:p w14:paraId="781979CD">
            <w:pPr>
              <w:rPr>
                <w:rFonts w:hint="eastAsia" w:ascii="微软雅黑" w:hAnsi="微软雅黑" w:eastAsia="微软雅黑" w:cs="微软雅黑"/>
                <w:color w:val="376092" w:themeColor="accent1" w:themeShade="BF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76092" w:themeColor="accent1" w:themeShade="BF"/>
                <w:sz w:val="20"/>
              </w:rPr>
              <w:t>商票/票据</w:t>
            </w:r>
          </w:p>
        </w:tc>
        <w:tc>
          <w:tcPr>
            <w:tcW w:w="7370" w:type="dxa"/>
          </w:tcPr>
          <w:p w14:paraId="27A887B7">
            <w:pPr>
              <w:rPr>
                <w:rFonts w:hint="eastAsia" w:ascii="微软雅黑" w:hAnsi="微软雅黑" w:eastAsia="微软雅黑" w:cs="微软雅黑"/>
                <w:color w:val="376092" w:themeColor="accent1" w:themeShade="BF"/>
              </w:rPr>
            </w:pPr>
            <w:r>
              <w:rPr>
                <w:rFonts w:hint="eastAsia" w:ascii="微软雅黑" w:hAnsi="微软雅黑" w:eastAsia="微软雅黑" w:cs="微软雅黑"/>
                <w:color w:val="376092" w:themeColor="accent1" w:themeShade="BF"/>
                <w:sz w:val="20"/>
              </w:rPr>
              <w:t>上海票交所: 累计签发0笔，无逾期/拒付记录</w:t>
            </w:r>
          </w:p>
        </w:tc>
      </w:tr>
    </w:tbl>
    <w:p w14:paraId="72BF43F7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核查结论</w:t>
      </w:r>
    </w:p>
    <w:p w14:paraId="74E36CD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企查查工商信息正常，上海票交所无商票信用风险</w:t>
      </w:r>
    </w:p>
    <w:p w14:paraId="3A1DB791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三、债务企业自身监管（主体扫描）</w:t>
      </w:r>
    </w:p>
    <w:p w14:paraId="561D45D8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债务企业舆情监控</w:t>
      </w:r>
    </w:p>
    <w:p w14:paraId="44D7DCD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20"/>
        </w:rPr>
        <w:t>✅ 企业新闻：[企查查] 工商信息正常，企业存续</w:t>
      </w:r>
    </w:p>
    <w:p w14:paraId="0B2A503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F53F3F"/>
          <w:sz w:val="20"/>
        </w:rPr>
        <w:t>⚠️ 负面舆情：[企查查] 未发现行政处罚和经营异常记录</w:t>
      </w:r>
      <w:r>
        <w:rPr>
          <w:rFonts w:hint="eastAsia" w:ascii="微软雅黑" w:hAnsi="微软雅黑" w:eastAsia="微软雅黑" w:cs="微软雅黑"/>
          <w:color w:val="F53F3F"/>
          <w:sz w:val="20"/>
        </w:rPr>
        <w:br w:type="textWrapping"/>
      </w:r>
      <w:r>
        <w:rPr>
          <w:rFonts w:hint="eastAsia" w:ascii="微软雅黑" w:hAnsi="微软雅黑" w:eastAsia="微软雅黑" w:cs="微软雅黑"/>
          <w:color w:val="F53F3F"/>
          <w:sz w:val="20"/>
        </w:rPr>
        <w:t>[上海票交所] 累计签发商票0笔，无逾期/拒付</w:t>
      </w:r>
    </w:p>
    <w:p w14:paraId="574101D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F53F3F"/>
        </w:rPr>
        <w:t>🔴 高管舆情：法定代表人：马振朋（企查查）</w:t>
      </w:r>
      <w:r>
        <w:rPr>
          <w:rFonts w:hint="eastAsia" w:ascii="微软雅黑" w:hAnsi="微软雅黑" w:eastAsia="微软雅黑" w:cs="微软雅黑"/>
          <w:b/>
          <w:color w:val="F53F3F"/>
        </w:rPr>
        <w:br w:type="textWrapping"/>
      </w:r>
      <w:r>
        <w:rPr>
          <w:rFonts w:hint="eastAsia" w:ascii="微软雅黑" w:hAnsi="微软雅黑" w:eastAsia="微软雅黑" w:cs="微软雅黑"/>
          <w:b/>
          <w:color w:val="F53F3F"/>
        </w:rPr>
        <w:t>提示：请关注高管是否有负面报道、被调查、失联、辞职等情况。如发现异常，请在备注中记录。</w:t>
      </w:r>
    </w:p>
    <w:p w14:paraId="1A507DD0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债务企业风险核查（DM/债券/商票）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0"/>
        <w:gridCol w:w="7176"/>
      </w:tblGrid>
      <w:tr w14:paraId="07CC3339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1701" w:type="dxa"/>
            <w:shd w:val="clear" w:color="auto" w:fill="EFF6FF"/>
          </w:tcPr>
          <w:p w14:paraId="739DB32C">
            <w:pPr>
              <w:rPr>
                <w:rFonts w:hint="eastAsia" w:ascii="微软雅黑" w:hAnsi="微软雅黑" w:eastAsia="微软雅黑" w:cs="微软雅黑"/>
                <w:color w:val="376092" w:themeColor="accent1" w:themeShade="BF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76092" w:themeColor="accent1" w:themeShade="BF"/>
                <w:sz w:val="20"/>
              </w:rPr>
              <w:t>债务违约（DM）</w:t>
            </w:r>
          </w:p>
        </w:tc>
        <w:tc>
          <w:tcPr>
            <w:tcW w:w="7370" w:type="dxa"/>
          </w:tcPr>
          <w:p w14:paraId="22C3B420">
            <w:pPr>
              <w:rPr>
                <w:rFonts w:hint="eastAsia" w:ascii="微软雅黑" w:hAnsi="微软雅黑" w:eastAsia="微软雅黑" w:cs="微软雅黑"/>
                <w:color w:val="376092" w:themeColor="accent1" w:themeShade="BF"/>
              </w:rPr>
            </w:pPr>
            <w:r>
              <w:rPr>
                <w:rFonts w:hint="eastAsia" w:ascii="微软雅黑" w:hAnsi="微软雅黑" w:eastAsia="微软雅黑" w:cs="微软雅黑"/>
                <w:color w:val="376092" w:themeColor="accent1" w:themeShade="BF"/>
                <w:sz w:val="20"/>
              </w:rPr>
              <w:t>无</w:t>
            </w:r>
          </w:p>
        </w:tc>
      </w:tr>
      <w:tr w14:paraId="079DEA0E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FF6FF"/>
          </w:tcPr>
          <w:p w14:paraId="70E4F695">
            <w:pPr>
              <w:rPr>
                <w:rFonts w:hint="eastAsia" w:ascii="微软雅黑" w:hAnsi="微软雅黑" w:eastAsia="微软雅黑" w:cs="微软雅黑"/>
                <w:color w:val="376092" w:themeColor="accent1" w:themeShade="BF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76092" w:themeColor="accent1" w:themeShade="BF"/>
                <w:sz w:val="20"/>
              </w:rPr>
              <w:t>违约金额</w:t>
            </w:r>
          </w:p>
        </w:tc>
        <w:tc>
          <w:tcPr>
            <w:tcW w:w="7370" w:type="dxa"/>
          </w:tcPr>
          <w:p w14:paraId="0AE62008">
            <w:pPr>
              <w:rPr>
                <w:rFonts w:hint="eastAsia" w:ascii="微软雅黑" w:hAnsi="微软雅黑" w:eastAsia="微软雅黑" w:cs="微软雅黑"/>
                <w:color w:val="376092" w:themeColor="accent1" w:themeShade="BF"/>
              </w:rPr>
            </w:pPr>
            <w:r>
              <w:rPr>
                <w:rFonts w:hint="eastAsia" w:ascii="微软雅黑" w:hAnsi="微软雅黑" w:eastAsia="微软雅黑" w:cs="微软雅黑"/>
                <w:color w:val="376092" w:themeColor="accent1" w:themeShade="BF"/>
                <w:sz w:val="20"/>
              </w:rPr>
              <w:t>无</w:t>
            </w:r>
          </w:p>
        </w:tc>
      </w:tr>
      <w:tr w14:paraId="37290F1B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1701" w:type="dxa"/>
            <w:shd w:val="clear" w:color="auto" w:fill="EFF6FF"/>
          </w:tcPr>
          <w:p w14:paraId="73B4479E">
            <w:pPr>
              <w:rPr>
                <w:rFonts w:hint="eastAsia" w:ascii="微软雅黑" w:hAnsi="微软雅黑" w:eastAsia="微软雅黑" w:cs="微软雅黑"/>
                <w:color w:val="376092" w:themeColor="accent1" w:themeShade="BF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76092" w:themeColor="accent1" w:themeShade="BF"/>
                <w:sz w:val="20"/>
              </w:rPr>
              <w:t>债券情况</w:t>
            </w:r>
          </w:p>
        </w:tc>
        <w:tc>
          <w:tcPr>
            <w:tcW w:w="7370" w:type="dxa"/>
          </w:tcPr>
          <w:p w14:paraId="5F45A3A3">
            <w:pPr>
              <w:rPr>
                <w:rFonts w:hint="eastAsia" w:ascii="微软雅黑" w:hAnsi="微软雅黑" w:eastAsia="微软雅黑" w:cs="微软雅黑"/>
                <w:color w:val="376092" w:themeColor="accent1" w:themeShade="BF"/>
              </w:rPr>
            </w:pPr>
            <w:r>
              <w:rPr>
                <w:rFonts w:hint="eastAsia" w:ascii="微软雅黑" w:hAnsi="微软雅黑" w:eastAsia="微软雅黑" w:cs="微软雅黑"/>
                <w:color w:val="376092" w:themeColor="accent1" w:themeShade="BF"/>
                <w:sz w:val="20"/>
              </w:rPr>
              <w:t>未查询到公开债券信息</w:t>
            </w:r>
          </w:p>
        </w:tc>
      </w:tr>
      <w:tr w14:paraId="296FA4CD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EFF6FF"/>
          </w:tcPr>
          <w:p w14:paraId="29AC4965">
            <w:pPr>
              <w:rPr>
                <w:rFonts w:hint="eastAsia" w:ascii="微软雅黑" w:hAnsi="微软雅黑" w:eastAsia="微软雅黑" w:cs="微软雅黑"/>
                <w:color w:val="376092" w:themeColor="accent1" w:themeShade="BF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376092" w:themeColor="accent1" w:themeShade="BF"/>
                <w:sz w:val="20"/>
              </w:rPr>
              <w:t>商票/票据</w:t>
            </w:r>
          </w:p>
        </w:tc>
        <w:tc>
          <w:tcPr>
            <w:tcW w:w="7370" w:type="dxa"/>
          </w:tcPr>
          <w:p w14:paraId="11A3D1A1">
            <w:pPr>
              <w:rPr>
                <w:rFonts w:hint="eastAsia" w:ascii="微软雅黑" w:hAnsi="微软雅黑" w:eastAsia="微软雅黑" w:cs="微软雅黑"/>
                <w:color w:val="376092" w:themeColor="accent1" w:themeShade="BF"/>
              </w:rPr>
            </w:pPr>
            <w:r>
              <w:rPr>
                <w:rFonts w:hint="eastAsia" w:ascii="微软雅黑" w:hAnsi="微软雅黑" w:eastAsia="微软雅黑" w:cs="微软雅黑"/>
                <w:color w:val="376092" w:themeColor="accent1" w:themeShade="BF"/>
                <w:sz w:val="20"/>
              </w:rPr>
              <w:t>上海票交所: 累计签发0笔，无逾期/拒付</w:t>
            </w:r>
          </w:p>
        </w:tc>
      </w:tr>
    </w:tbl>
    <w:p w14:paraId="573A3A2A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核查结论</w:t>
      </w:r>
    </w:p>
    <w:p w14:paraId="4809151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企查查工商信息正常，上海票交所无商票信用风险（基于本地文件）</w:t>
      </w:r>
    </w:p>
    <w:p w14:paraId="7CC0E8D3">
      <w:pPr>
        <w:pStyle w:val="3"/>
        <w:rPr>
          <w:rFonts w:hint="eastAsia" w:ascii="微软雅黑" w:hAnsi="微软雅黑" w:eastAsia="微软雅黑" w:cs="微软雅黑"/>
        </w:rPr>
      </w:pPr>
      <w:bookmarkStart w:id="0" w:name="_GoBack"/>
      <w:r>
        <w:rPr>
          <w:rFonts w:hint="eastAsia" w:ascii="微软雅黑" w:hAnsi="微软雅黑" w:eastAsia="微软雅黑" w:cs="微软雅黑"/>
        </w:rPr>
        <w:t>四、现场视频巡检</w:t>
      </w:r>
    </w:p>
    <w:bookmarkEnd w:id="0"/>
    <w:p w14:paraId="636F9DC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（注：一个企业通常配置4-6个摄像头点位，以下为巡检数据）</w:t>
      </w:r>
    </w:p>
    <w:p w14:paraId="3E8FE1E6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重点时段统计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417"/>
        <w:gridCol w:w="1134"/>
        <w:gridCol w:w="2268"/>
        <w:gridCol w:w="2268"/>
      </w:tblGrid>
      <w:tr w14:paraId="585CDE4D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1E3A8A"/>
          </w:tcPr>
          <w:p w14:paraId="5DB12ABE">
            <w:pPr>
              <w:jc w:val="center"/>
              <w:rPr>
                <w:rFonts w:hint="eastAsia" w:ascii="微软雅黑" w:hAnsi="微软雅黑" w:eastAsia="微软雅黑" w:cs="微软雅黑"/>
                <w:color w:val="376092" w:themeColor="accent1" w:themeShade="BF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时段</w:t>
            </w:r>
          </w:p>
        </w:tc>
        <w:tc>
          <w:tcPr>
            <w:tcW w:w="1417" w:type="dxa"/>
            <w:shd w:val="clear" w:color="auto" w:fill="1E3A8A"/>
          </w:tcPr>
          <w:p w14:paraId="1C41460A">
            <w:pPr>
              <w:jc w:val="center"/>
              <w:rPr>
                <w:rFonts w:hint="eastAsia" w:ascii="微软雅黑" w:hAnsi="微软雅黑" w:eastAsia="微软雅黑" w:cs="微软雅黑"/>
                <w:color w:val="376092" w:themeColor="accent1" w:themeShade="BF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时间戳</w:t>
            </w:r>
          </w:p>
        </w:tc>
        <w:tc>
          <w:tcPr>
            <w:tcW w:w="1134" w:type="dxa"/>
            <w:shd w:val="clear" w:color="auto" w:fill="1E3A8A"/>
          </w:tcPr>
          <w:p w14:paraId="2CAB0173">
            <w:pPr>
              <w:jc w:val="center"/>
              <w:rPr>
                <w:rFonts w:hint="eastAsia" w:ascii="微软雅黑" w:hAnsi="微软雅黑" w:eastAsia="微软雅黑" w:cs="微软雅黑"/>
                <w:color w:val="376092" w:themeColor="accent1" w:themeShade="BF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人数</w:t>
            </w:r>
          </w:p>
        </w:tc>
        <w:tc>
          <w:tcPr>
            <w:tcW w:w="2268" w:type="dxa"/>
            <w:shd w:val="clear" w:color="auto" w:fill="1E3A8A"/>
          </w:tcPr>
          <w:p w14:paraId="3DD98B65">
            <w:pPr>
              <w:jc w:val="center"/>
              <w:rPr>
                <w:rFonts w:hint="eastAsia" w:ascii="微软雅黑" w:hAnsi="微软雅黑" w:eastAsia="微软雅黑" w:cs="微软雅黑"/>
                <w:color w:val="376092" w:themeColor="accent1" w:themeShade="BF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场景</w:t>
            </w:r>
          </w:p>
        </w:tc>
        <w:tc>
          <w:tcPr>
            <w:tcW w:w="2268" w:type="dxa"/>
            <w:shd w:val="clear" w:color="auto" w:fill="1E3A8A"/>
          </w:tcPr>
          <w:p w14:paraId="4B4BE8CE">
            <w:pPr>
              <w:jc w:val="center"/>
              <w:rPr>
                <w:rFonts w:hint="eastAsia" w:ascii="微软雅黑" w:hAnsi="微软雅黑" w:eastAsia="微软雅黑" w:cs="微软雅黑"/>
                <w:color w:val="376092" w:themeColor="accent1" w:themeShade="BF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备注情况</w:t>
            </w:r>
          </w:p>
        </w:tc>
      </w:tr>
      <w:tr w14:paraId="481A5058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FEEDBDC">
            <w:pPr>
              <w:jc w:val="center"/>
              <w:rPr>
                <w:rFonts w:hint="eastAsia" w:ascii="微软雅黑" w:hAnsi="微软雅黑" w:eastAsia="微软雅黑" w:cs="微软雅黑"/>
                <w:color w:val="376092" w:themeColor="accent1" w:themeShade="BF"/>
              </w:rPr>
            </w:pPr>
            <w:r>
              <w:rPr>
                <w:rFonts w:hint="eastAsia" w:ascii="微软雅黑" w:hAnsi="微软雅黑" w:eastAsia="微软雅黑" w:cs="微软雅黑"/>
                <w:color w:val="376092" w:themeColor="accent1" w:themeShade="BF"/>
                <w:sz w:val="18"/>
              </w:rPr>
              <w:t>16:00</w:t>
            </w:r>
          </w:p>
        </w:tc>
        <w:tc>
          <w:tcPr>
            <w:tcW w:w="1417" w:type="dxa"/>
          </w:tcPr>
          <w:p w14:paraId="674E7AF9">
            <w:pPr>
              <w:jc w:val="center"/>
              <w:rPr>
                <w:rFonts w:hint="eastAsia" w:ascii="微软雅黑" w:hAnsi="微软雅黑" w:eastAsia="微软雅黑" w:cs="微软雅黑"/>
                <w:color w:val="376092" w:themeColor="accent1" w:themeShade="BF"/>
              </w:rPr>
            </w:pPr>
            <w:r>
              <w:rPr>
                <w:rFonts w:hint="eastAsia" w:ascii="微软雅黑" w:hAnsi="微软雅黑" w:eastAsia="微软雅黑" w:cs="微软雅黑"/>
                <w:color w:val="376092" w:themeColor="accent1" w:themeShade="BF"/>
                <w:sz w:val="18"/>
              </w:rPr>
              <w:t>16:00:48</w:t>
            </w:r>
          </w:p>
        </w:tc>
        <w:tc>
          <w:tcPr>
            <w:tcW w:w="1134" w:type="dxa"/>
          </w:tcPr>
          <w:p w14:paraId="2A05C1EB">
            <w:pPr>
              <w:jc w:val="center"/>
              <w:rPr>
                <w:rFonts w:hint="eastAsia" w:ascii="微软雅黑" w:hAnsi="微软雅黑" w:eastAsia="微软雅黑" w:cs="微软雅黑"/>
                <w:color w:val="376092" w:themeColor="accent1" w:themeShade="BF"/>
              </w:rPr>
            </w:pPr>
            <w:r>
              <w:rPr>
                <w:rFonts w:hint="eastAsia" w:ascii="微软雅黑" w:hAnsi="微软雅黑" w:eastAsia="微软雅黑" w:cs="微软雅黑"/>
                <w:color w:val="376092" w:themeColor="accent1" w:themeShade="BF"/>
                <w:sz w:val="18"/>
              </w:rPr>
              <w:t>17 人</w:t>
            </w:r>
          </w:p>
        </w:tc>
        <w:tc>
          <w:tcPr>
            <w:tcW w:w="2268" w:type="dxa"/>
          </w:tcPr>
          <w:p w14:paraId="46C16832">
            <w:pPr>
              <w:jc w:val="center"/>
              <w:rPr>
                <w:rFonts w:hint="eastAsia" w:ascii="微软雅黑" w:hAnsi="微软雅黑" w:eastAsia="微软雅黑" w:cs="微软雅黑"/>
                <w:color w:val="376092" w:themeColor="accent1" w:themeShade="BF"/>
              </w:rPr>
            </w:pPr>
            <w:r>
              <w:rPr>
                <w:rFonts w:hint="eastAsia" w:ascii="微软雅黑" w:hAnsi="微软雅黑" w:eastAsia="微软雅黑" w:cs="微软雅黑"/>
                <w:color w:val="376092" w:themeColor="accent1" w:themeShade="BF"/>
                <w:sz w:val="18"/>
              </w:rPr>
              <w:t>国家管网集团西南管道有限责任公司重庆输油气分公司/办公室</w:t>
            </w:r>
          </w:p>
        </w:tc>
        <w:tc>
          <w:tcPr>
            <w:tcW w:w="2268" w:type="dxa"/>
          </w:tcPr>
          <w:p w14:paraId="02833ABC">
            <w:pPr>
              <w:jc w:val="center"/>
              <w:rPr>
                <w:rFonts w:hint="eastAsia" w:ascii="微软雅黑" w:hAnsi="微软雅黑" w:eastAsia="微软雅黑" w:cs="微软雅黑"/>
                <w:color w:val="376092" w:themeColor="accent1" w:themeShade="BF"/>
              </w:rPr>
            </w:pPr>
            <w:r>
              <w:rPr>
                <w:rFonts w:hint="eastAsia" w:ascii="微软雅黑" w:hAnsi="微软雅黑" w:eastAsia="微软雅黑" w:cs="微软雅黑"/>
                <w:color w:val="376092" w:themeColor="accent1" w:themeShade="BF"/>
                <w:sz w:val="18"/>
              </w:rPr>
              <w:t xml:space="preserve">AI检测17人 </w:t>
            </w:r>
          </w:p>
        </w:tc>
      </w:tr>
      <w:tr w14:paraId="75E408FA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3F4F6"/>
          </w:tcPr>
          <w:p w14:paraId="37F5285F">
            <w:pPr>
              <w:jc w:val="center"/>
              <w:rPr>
                <w:rFonts w:hint="eastAsia" w:ascii="微软雅黑" w:hAnsi="微软雅黑" w:eastAsia="微软雅黑" w:cs="微软雅黑"/>
                <w:color w:val="376092" w:themeColor="accent1" w:themeShade="BF"/>
              </w:rPr>
            </w:pPr>
            <w:r>
              <w:rPr>
                <w:rFonts w:hint="eastAsia" w:ascii="微软雅黑" w:hAnsi="微软雅黑" w:eastAsia="微软雅黑" w:cs="微软雅黑"/>
                <w:color w:val="376092" w:themeColor="accent1" w:themeShade="BF"/>
                <w:sz w:val="18"/>
              </w:rPr>
              <w:t>16:22</w:t>
            </w:r>
          </w:p>
        </w:tc>
        <w:tc>
          <w:tcPr>
            <w:tcW w:w="1417" w:type="dxa"/>
            <w:shd w:val="clear" w:color="auto" w:fill="F3F4F6"/>
          </w:tcPr>
          <w:p w14:paraId="34A32DE0">
            <w:pPr>
              <w:jc w:val="center"/>
              <w:rPr>
                <w:rFonts w:hint="eastAsia" w:ascii="微软雅黑" w:hAnsi="微软雅黑" w:eastAsia="微软雅黑" w:cs="微软雅黑"/>
                <w:color w:val="376092" w:themeColor="accent1" w:themeShade="BF"/>
              </w:rPr>
            </w:pPr>
            <w:r>
              <w:rPr>
                <w:rFonts w:hint="eastAsia" w:ascii="微软雅黑" w:hAnsi="微软雅黑" w:eastAsia="微软雅黑" w:cs="微软雅黑"/>
                <w:color w:val="376092" w:themeColor="accent1" w:themeShade="BF"/>
                <w:sz w:val="18"/>
              </w:rPr>
              <w:t>16:22:01</w:t>
            </w:r>
          </w:p>
        </w:tc>
        <w:tc>
          <w:tcPr>
            <w:tcW w:w="1134" w:type="dxa"/>
            <w:shd w:val="clear" w:color="auto" w:fill="F3F4F6"/>
          </w:tcPr>
          <w:p w14:paraId="4DFF940C">
            <w:pPr>
              <w:jc w:val="center"/>
              <w:rPr>
                <w:rFonts w:hint="eastAsia" w:ascii="微软雅黑" w:hAnsi="微软雅黑" w:eastAsia="微软雅黑" w:cs="微软雅黑"/>
                <w:color w:val="376092" w:themeColor="accent1" w:themeShade="BF"/>
              </w:rPr>
            </w:pPr>
            <w:r>
              <w:rPr>
                <w:rFonts w:hint="eastAsia" w:ascii="微软雅黑" w:hAnsi="微软雅黑" w:eastAsia="微软雅黑" w:cs="微软雅黑"/>
                <w:color w:val="376092" w:themeColor="accent1" w:themeShade="BF"/>
                <w:sz w:val="18"/>
              </w:rPr>
              <w:t>18 人</w:t>
            </w:r>
          </w:p>
        </w:tc>
        <w:tc>
          <w:tcPr>
            <w:tcW w:w="2268" w:type="dxa"/>
            <w:shd w:val="clear" w:color="auto" w:fill="F3F4F6"/>
          </w:tcPr>
          <w:p w14:paraId="459C0496">
            <w:pPr>
              <w:jc w:val="center"/>
              <w:rPr>
                <w:rFonts w:hint="eastAsia" w:ascii="微软雅黑" w:hAnsi="微软雅黑" w:eastAsia="微软雅黑" w:cs="微软雅黑"/>
                <w:color w:val="376092" w:themeColor="accent1" w:themeShade="BF"/>
              </w:rPr>
            </w:pPr>
            <w:r>
              <w:rPr>
                <w:rFonts w:hint="eastAsia" w:ascii="微软雅黑" w:hAnsi="微软雅黑" w:eastAsia="微软雅黑" w:cs="微软雅黑"/>
                <w:color w:val="376092" w:themeColor="accent1" w:themeShade="BF"/>
                <w:sz w:val="18"/>
              </w:rPr>
              <w:t>国家管网集团西南管道有限责任公司重庆输油气分公司/门口</w:t>
            </w:r>
          </w:p>
        </w:tc>
        <w:tc>
          <w:tcPr>
            <w:tcW w:w="2268" w:type="dxa"/>
            <w:shd w:val="clear" w:color="auto" w:fill="F3F4F6"/>
          </w:tcPr>
          <w:p w14:paraId="2207A8B5">
            <w:pPr>
              <w:jc w:val="center"/>
              <w:rPr>
                <w:rFonts w:hint="eastAsia" w:ascii="微软雅黑" w:hAnsi="微软雅黑" w:eastAsia="微软雅黑" w:cs="微软雅黑"/>
                <w:color w:val="376092" w:themeColor="accent1" w:themeShade="BF"/>
              </w:rPr>
            </w:pPr>
            <w:r>
              <w:rPr>
                <w:rFonts w:hint="eastAsia" w:ascii="微软雅黑" w:hAnsi="微软雅黑" w:eastAsia="微软雅黑" w:cs="微软雅黑"/>
                <w:color w:val="376092" w:themeColor="accent1" w:themeShade="BF"/>
                <w:sz w:val="18"/>
              </w:rPr>
              <w:t>AI检测18人</w:t>
            </w:r>
          </w:p>
        </w:tc>
      </w:tr>
      <w:tr w14:paraId="7DB815D5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685BDDE4">
            <w:pPr>
              <w:jc w:val="center"/>
              <w:rPr>
                <w:rFonts w:hint="eastAsia" w:ascii="微软雅黑" w:hAnsi="微软雅黑" w:eastAsia="微软雅黑" w:cs="微软雅黑"/>
                <w:color w:val="376092" w:themeColor="accent1" w:themeShade="BF"/>
              </w:rPr>
            </w:pPr>
            <w:r>
              <w:rPr>
                <w:rFonts w:hint="eastAsia" w:ascii="微软雅黑" w:hAnsi="微软雅黑" w:eastAsia="微软雅黑" w:cs="微软雅黑"/>
                <w:color w:val="376092" w:themeColor="accent1" w:themeShade="BF"/>
                <w:sz w:val="18"/>
              </w:rPr>
              <w:t>16:24</w:t>
            </w:r>
          </w:p>
        </w:tc>
        <w:tc>
          <w:tcPr>
            <w:tcW w:w="1417" w:type="dxa"/>
          </w:tcPr>
          <w:p w14:paraId="6D758DB7">
            <w:pPr>
              <w:jc w:val="center"/>
              <w:rPr>
                <w:rFonts w:hint="eastAsia" w:ascii="微软雅黑" w:hAnsi="微软雅黑" w:eastAsia="微软雅黑" w:cs="微软雅黑"/>
                <w:color w:val="376092" w:themeColor="accent1" w:themeShade="BF"/>
              </w:rPr>
            </w:pPr>
            <w:r>
              <w:rPr>
                <w:rFonts w:hint="eastAsia" w:ascii="微软雅黑" w:hAnsi="微软雅黑" w:eastAsia="微软雅黑" w:cs="微软雅黑"/>
                <w:color w:val="376092" w:themeColor="accent1" w:themeShade="BF"/>
                <w:sz w:val="18"/>
              </w:rPr>
              <w:t>16:24:19</w:t>
            </w:r>
          </w:p>
        </w:tc>
        <w:tc>
          <w:tcPr>
            <w:tcW w:w="1134" w:type="dxa"/>
          </w:tcPr>
          <w:p w14:paraId="7D021C41">
            <w:pPr>
              <w:jc w:val="center"/>
              <w:rPr>
                <w:rFonts w:hint="eastAsia" w:ascii="微软雅黑" w:hAnsi="微软雅黑" w:eastAsia="微软雅黑" w:cs="微软雅黑"/>
                <w:color w:val="376092" w:themeColor="accent1" w:themeShade="BF"/>
              </w:rPr>
            </w:pPr>
            <w:r>
              <w:rPr>
                <w:rFonts w:hint="eastAsia" w:ascii="微软雅黑" w:hAnsi="微软雅黑" w:eastAsia="微软雅黑" w:cs="微软雅黑"/>
                <w:color w:val="376092" w:themeColor="accent1" w:themeShade="BF"/>
                <w:sz w:val="18"/>
              </w:rPr>
              <w:t>2 人</w:t>
            </w:r>
          </w:p>
        </w:tc>
        <w:tc>
          <w:tcPr>
            <w:tcW w:w="2268" w:type="dxa"/>
          </w:tcPr>
          <w:p w14:paraId="335D53C7">
            <w:pPr>
              <w:jc w:val="center"/>
              <w:rPr>
                <w:rFonts w:hint="eastAsia" w:ascii="微软雅黑" w:hAnsi="微软雅黑" w:eastAsia="微软雅黑" w:cs="微软雅黑"/>
                <w:color w:val="376092" w:themeColor="accent1" w:themeShade="BF"/>
              </w:rPr>
            </w:pPr>
            <w:r>
              <w:rPr>
                <w:rFonts w:hint="eastAsia" w:ascii="微软雅黑" w:hAnsi="微软雅黑" w:eastAsia="微软雅黑" w:cs="微软雅黑"/>
                <w:color w:val="376092" w:themeColor="accent1" w:themeShade="BF"/>
                <w:sz w:val="18"/>
              </w:rPr>
              <w:t>中铁建物业管理有限公司成都分公司/大门口</w:t>
            </w:r>
          </w:p>
        </w:tc>
        <w:tc>
          <w:tcPr>
            <w:tcW w:w="2268" w:type="dxa"/>
          </w:tcPr>
          <w:p w14:paraId="6AC53B13">
            <w:pPr>
              <w:jc w:val="center"/>
              <w:rPr>
                <w:rFonts w:hint="eastAsia" w:ascii="微软雅黑" w:hAnsi="微软雅黑" w:eastAsia="微软雅黑" w:cs="微软雅黑"/>
                <w:color w:val="376092" w:themeColor="accent1" w:themeShade="BF"/>
              </w:rPr>
            </w:pPr>
            <w:r>
              <w:rPr>
                <w:rFonts w:hint="eastAsia" w:ascii="微软雅黑" w:hAnsi="微软雅黑" w:eastAsia="微软雅黑" w:cs="微软雅黑"/>
                <w:color w:val="376092" w:themeColor="accent1" w:themeShade="BF"/>
                <w:sz w:val="18"/>
              </w:rPr>
              <w:t>AI检测2人</w:t>
            </w:r>
          </w:p>
        </w:tc>
      </w:tr>
      <w:tr w14:paraId="3F2B0D7B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3F4F6"/>
          </w:tcPr>
          <w:p w14:paraId="0DD3B4EE">
            <w:pPr>
              <w:jc w:val="center"/>
              <w:rPr>
                <w:rFonts w:hint="eastAsia" w:ascii="微软雅黑" w:hAnsi="微软雅黑" w:eastAsia="微软雅黑" w:cs="微软雅黑"/>
                <w:color w:val="376092" w:themeColor="accent1" w:themeShade="BF"/>
              </w:rPr>
            </w:pPr>
            <w:r>
              <w:rPr>
                <w:rFonts w:hint="eastAsia" w:ascii="微软雅黑" w:hAnsi="微软雅黑" w:eastAsia="微软雅黑" w:cs="微软雅黑"/>
                <w:color w:val="376092" w:themeColor="accent1" w:themeShade="BF"/>
                <w:sz w:val="18"/>
              </w:rPr>
              <w:t>16:24</w:t>
            </w:r>
          </w:p>
        </w:tc>
        <w:tc>
          <w:tcPr>
            <w:tcW w:w="1417" w:type="dxa"/>
            <w:shd w:val="clear" w:color="auto" w:fill="F3F4F6"/>
          </w:tcPr>
          <w:p w14:paraId="481C0857">
            <w:pPr>
              <w:jc w:val="center"/>
              <w:rPr>
                <w:rFonts w:hint="eastAsia" w:ascii="微软雅黑" w:hAnsi="微软雅黑" w:eastAsia="微软雅黑" w:cs="微软雅黑"/>
                <w:color w:val="376092" w:themeColor="accent1" w:themeShade="BF"/>
              </w:rPr>
            </w:pPr>
            <w:r>
              <w:rPr>
                <w:rFonts w:hint="eastAsia" w:ascii="微软雅黑" w:hAnsi="微软雅黑" w:eastAsia="微软雅黑" w:cs="微软雅黑"/>
                <w:color w:val="376092" w:themeColor="accent1" w:themeShade="BF"/>
                <w:sz w:val="18"/>
              </w:rPr>
              <w:t>16:24:29</w:t>
            </w:r>
          </w:p>
        </w:tc>
        <w:tc>
          <w:tcPr>
            <w:tcW w:w="1134" w:type="dxa"/>
            <w:shd w:val="clear" w:color="auto" w:fill="F3F4F6"/>
          </w:tcPr>
          <w:p w14:paraId="1F81C71B">
            <w:pPr>
              <w:jc w:val="center"/>
              <w:rPr>
                <w:rFonts w:hint="eastAsia" w:ascii="微软雅黑" w:hAnsi="微软雅黑" w:eastAsia="微软雅黑" w:cs="微软雅黑"/>
                <w:color w:val="376092" w:themeColor="accent1" w:themeShade="BF"/>
              </w:rPr>
            </w:pPr>
            <w:r>
              <w:rPr>
                <w:rFonts w:hint="eastAsia" w:ascii="微软雅黑" w:hAnsi="微软雅黑" w:eastAsia="微软雅黑" w:cs="微软雅黑"/>
                <w:color w:val="376092" w:themeColor="accent1" w:themeShade="BF"/>
                <w:sz w:val="18"/>
              </w:rPr>
              <w:t>7 人</w:t>
            </w:r>
          </w:p>
        </w:tc>
        <w:tc>
          <w:tcPr>
            <w:tcW w:w="2268" w:type="dxa"/>
            <w:shd w:val="clear" w:color="auto" w:fill="F3F4F6"/>
          </w:tcPr>
          <w:p w14:paraId="3B15AC80">
            <w:pPr>
              <w:jc w:val="center"/>
              <w:rPr>
                <w:rFonts w:hint="eastAsia" w:ascii="微软雅黑" w:hAnsi="微软雅黑" w:eastAsia="微软雅黑" w:cs="微软雅黑"/>
                <w:color w:val="376092" w:themeColor="accent1" w:themeShade="BF"/>
              </w:rPr>
            </w:pPr>
            <w:r>
              <w:rPr>
                <w:rFonts w:hint="eastAsia" w:ascii="微软雅黑" w:hAnsi="微软雅黑" w:eastAsia="微软雅黑" w:cs="微软雅黑"/>
                <w:color w:val="376092" w:themeColor="accent1" w:themeShade="BF"/>
                <w:sz w:val="18"/>
              </w:rPr>
              <w:t>中铁建物业管理有限公司成都分公司/小办公室</w:t>
            </w:r>
          </w:p>
        </w:tc>
        <w:tc>
          <w:tcPr>
            <w:tcW w:w="2268" w:type="dxa"/>
            <w:shd w:val="clear" w:color="auto" w:fill="F3F4F6"/>
          </w:tcPr>
          <w:p w14:paraId="25532D49">
            <w:pPr>
              <w:jc w:val="center"/>
              <w:rPr>
                <w:rFonts w:hint="eastAsia" w:ascii="微软雅黑" w:hAnsi="微软雅黑" w:eastAsia="微软雅黑" w:cs="微软雅黑"/>
                <w:color w:val="376092" w:themeColor="accent1" w:themeShade="BF"/>
              </w:rPr>
            </w:pPr>
            <w:r>
              <w:rPr>
                <w:rFonts w:hint="eastAsia" w:ascii="微软雅黑" w:hAnsi="微软雅黑" w:eastAsia="微软雅黑" w:cs="微软雅黑"/>
                <w:color w:val="376092" w:themeColor="accent1" w:themeShade="BF"/>
                <w:sz w:val="18"/>
              </w:rPr>
              <w:t>AI检测7人</w:t>
            </w:r>
          </w:p>
        </w:tc>
      </w:tr>
    </w:tbl>
    <w:p w14:paraId="628A36B4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历史对比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984"/>
        <w:gridCol w:w="1134"/>
        <w:gridCol w:w="1134"/>
        <w:gridCol w:w="1417"/>
      </w:tblGrid>
      <w:tr w14:paraId="7AB65C7F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1E3A8A"/>
          </w:tcPr>
          <w:p w14:paraId="13F68C91">
            <w:pPr>
              <w:jc w:val="center"/>
              <w:rPr>
                <w:rFonts w:hint="eastAsia" w:ascii="微软雅黑" w:hAnsi="微软雅黑" w:eastAsia="微软雅黑" w:cs="微软雅黑"/>
                <w:color w:val="376092" w:themeColor="accent1" w:themeShade="BF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周次</w:t>
            </w:r>
          </w:p>
        </w:tc>
        <w:tc>
          <w:tcPr>
            <w:tcW w:w="1984" w:type="dxa"/>
            <w:shd w:val="clear" w:color="auto" w:fill="1E3A8A"/>
          </w:tcPr>
          <w:p w14:paraId="5F4E957F">
            <w:pPr>
              <w:jc w:val="center"/>
              <w:rPr>
                <w:rFonts w:hint="eastAsia" w:ascii="微软雅黑" w:hAnsi="微软雅黑" w:eastAsia="微软雅黑" w:cs="微软雅黑"/>
                <w:color w:val="376092" w:themeColor="accent1" w:themeShade="BF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w="1134" w:type="dxa"/>
            <w:shd w:val="clear" w:color="auto" w:fill="1E3A8A"/>
          </w:tcPr>
          <w:p w14:paraId="35C7C1DB">
            <w:pPr>
              <w:jc w:val="center"/>
              <w:rPr>
                <w:rFonts w:hint="eastAsia" w:ascii="微软雅黑" w:hAnsi="微软雅黑" w:eastAsia="微软雅黑" w:cs="微软雅黑"/>
                <w:color w:val="376092" w:themeColor="accent1" w:themeShade="BF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09:00</w:t>
            </w:r>
          </w:p>
        </w:tc>
        <w:tc>
          <w:tcPr>
            <w:tcW w:w="1134" w:type="dxa"/>
            <w:shd w:val="clear" w:color="auto" w:fill="1E3A8A"/>
          </w:tcPr>
          <w:p w14:paraId="5FD0739A">
            <w:pPr>
              <w:jc w:val="center"/>
              <w:rPr>
                <w:rFonts w:hint="eastAsia" w:ascii="微软雅黑" w:hAnsi="微软雅黑" w:eastAsia="微软雅黑" w:cs="微软雅黑"/>
                <w:color w:val="376092" w:themeColor="accent1" w:themeShade="BF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合计</w:t>
            </w:r>
          </w:p>
        </w:tc>
        <w:tc>
          <w:tcPr>
            <w:tcW w:w="1417" w:type="dxa"/>
            <w:shd w:val="clear" w:color="auto" w:fill="1E3A8A"/>
          </w:tcPr>
          <w:p w14:paraId="0665D35C">
            <w:pPr>
              <w:jc w:val="center"/>
              <w:rPr>
                <w:rFonts w:hint="eastAsia" w:ascii="微软雅黑" w:hAnsi="微软雅黑" w:eastAsia="微软雅黑" w:cs="微软雅黑"/>
                <w:color w:val="376092" w:themeColor="accent1" w:themeShade="BF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</w:rPr>
              <w:t>平均人数</w:t>
            </w:r>
          </w:p>
        </w:tc>
      </w:tr>
      <w:tr w14:paraId="7D34A0E8">
        <w:tblPrEx>
          <w:tblBorders>
            <w:top w:val="single" w:color="4F81BD" w:themeColor="accent1" w:sz="8" w:space="0"/>
            <w:left w:val="none" w:color="auto" w:sz="0" w:space="0"/>
            <w:bottom w:val="single" w:color="4F81BD" w:themeColor="accent1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045F9D06">
            <w:pPr>
              <w:jc w:val="center"/>
              <w:rPr>
                <w:rFonts w:hint="eastAsia" w:ascii="微软雅黑" w:hAnsi="微软雅黑" w:eastAsia="微软雅黑" w:cs="微软雅黑"/>
                <w:color w:val="376092" w:themeColor="accent1" w:themeShade="BF"/>
              </w:rPr>
            </w:pPr>
            <w:r>
              <w:rPr>
                <w:rFonts w:hint="eastAsia" w:ascii="微软雅黑" w:hAnsi="微软雅黑" w:eastAsia="微软雅黑" w:cs="微软雅黑"/>
                <w:color w:val="376092" w:themeColor="accent1" w:themeShade="BF"/>
                <w:sz w:val="18"/>
              </w:rPr>
              <w:t>本周</w:t>
            </w:r>
          </w:p>
        </w:tc>
        <w:tc>
          <w:tcPr>
            <w:tcW w:w="1984" w:type="dxa"/>
          </w:tcPr>
          <w:p w14:paraId="73AA9DC3">
            <w:pPr>
              <w:jc w:val="center"/>
              <w:rPr>
                <w:rFonts w:hint="eastAsia" w:ascii="微软雅黑" w:hAnsi="微软雅黑" w:eastAsia="微软雅黑" w:cs="微软雅黑"/>
                <w:color w:val="376092" w:themeColor="accent1" w:themeShade="BF"/>
              </w:rPr>
            </w:pPr>
            <w:r>
              <w:rPr>
                <w:rFonts w:hint="eastAsia" w:ascii="微软雅黑" w:hAnsi="微软雅黑" w:eastAsia="微软雅黑" w:cs="微软雅黑"/>
                <w:color w:val="376092" w:themeColor="accent1" w:themeShade="BF"/>
                <w:sz w:val="18"/>
              </w:rPr>
              <w:t>2026-06-17~2026-06-17</w:t>
            </w:r>
          </w:p>
        </w:tc>
        <w:tc>
          <w:tcPr>
            <w:tcW w:w="1134" w:type="dxa"/>
          </w:tcPr>
          <w:p w14:paraId="17794E58">
            <w:pPr>
              <w:jc w:val="center"/>
              <w:rPr>
                <w:rFonts w:hint="eastAsia" w:ascii="微软雅黑" w:hAnsi="微软雅黑" w:eastAsia="微软雅黑" w:cs="微软雅黑"/>
                <w:color w:val="376092" w:themeColor="accent1" w:themeShade="BF"/>
              </w:rPr>
            </w:pPr>
            <w:r>
              <w:rPr>
                <w:rFonts w:hint="eastAsia" w:ascii="微软雅黑" w:hAnsi="微软雅黑" w:eastAsia="微软雅黑" w:cs="微软雅黑"/>
                <w:color w:val="376092" w:themeColor="accent1" w:themeShade="BF"/>
                <w:sz w:val="18"/>
              </w:rPr>
              <w:t>0人</w:t>
            </w:r>
          </w:p>
        </w:tc>
        <w:tc>
          <w:tcPr>
            <w:tcW w:w="1134" w:type="dxa"/>
          </w:tcPr>
          <w:p w14:paraId="54A2C5DD">
            <w:pPr>
              <w:jc w:val="center"/>
              <w:rPr>
                <w:rFonts w:hint="eastAsia" w:ascii="微软雅黑" w:hAnsi="微软雅黑" w:eastAsia="微软雅黑" w:cs="微软雅黑"/>
                <w:color w:val="376092" w:themeColor="accent1" w:themeShade="BF"/>
              </w:rPr>
            </w:pPr>
            <w:r>
              <w:rPr>
                <w:rFonts w:hint="eastAsia" w:ascii="微软雅黑" w:hAnsi="微软雅黑" w:eastAsia="微软雅黑" w:cs="微软雅黑"/>
                <w:color w:val="376092" w:themeColor="accent1" w:themeShade="BF"/>
                <w:sz w:val="18"/>
              </w:rPr>
              <w:t>0人</w:t>
            </w:r>
          </w:p>
        </w:tc>
        <w:tc>
          <w:tcPr>
            <w:tcW w:w="1417" w:type="dxa"/>
          </w:tcPr>
          <w:p w14:paraId="4CFAF2B1">
            <w:pPr>
              <w:jc w:val="center"/>
              <w:rPr>
                <w:rFonts w:hint="eastAsia" w:ascii="微软雅黑" w:hAnsi="微软雅黑" w:eastAsia="微软雅黑" w:cs="微软雅黑"/>
                <w:color w:val="376092" w:themeColor="accent1" w:themeShade="BF"/>
              </w:rPr>
            </w:pPr>
            <w:r>
              <w:rPr>
                <w:rFonts w:hint="eastAsia" w:ascii="微软雅黑" w:hAnsi="微软雅黑" w:eastAsia="微软雅黑" w:cs="微软雅黑"/>
                <w:color w:val="376092" w:themeColor="accent1" w:themeShade="BF"/>
                <w:sz w:val="18"/>
              </w:rPr>
              <w:t>0.0</w:t>
            </w:r>
          </w:p>
        </w:tc>
      </w:tr>
    </w:tbl>
    <w:p w14:paraId="2A99EBD1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重点时段照片记录</w:t>
      </w:r>
    </w:p>
    <w:p w14:paraId="1266443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0"/>
        </w:rPr>
        <w:t>点位 1 - 国家管网集团西南管道有限责任公司重庆输油气分公司/办公室（16:00）</w:t>
      </w:r>
    </w:p>
    <w:p w14:paraId="38E29129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2879725" cy="16198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B5F3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666666"/>
          <w:sz w:val="18"/>
        </w:rPr>
        <w:t xml:space="preserve">描述：画面显示该区域正常，识别人数 17 人。 备注：AI检测17人 </w:t>
      </w:r>
    </w:p>
    <w:p w14:paraId="2B5ADF9D">
      <w:pPr>
        <w:rPr>
          <w:rFonts w:hint="eastAsia" w:ascii="微软雅黑" w:hAnsi="微软雅黑" w:eastAsia="微软雅黑" w:cs="微软雅黑"/>
        </w:rPr>
      </w:pPr>
    </w:p>
    <w:p w14:paraId="361BACF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0"/>
        </w:rPr>
        <w:t>点位 2 - 国家管网集团西南管道有限责任公司重庆输油气分公司/门口（16:22）</w:t>
      </w:r>
    </w:p>
    <w:p w14:paraId="0CD45DA5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2879725" cy="16198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E579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666666"/>
          <w:sz w:val="18"/>
        </w:rPr>
        <w:t>描述：画面显示该区域正常，识别人数 18 人。 备注：AI检测18人</w:t>
      </w:r>
    </w:p>
    <w:p w14:paraId="3AE3E8F8">
      <w:pPr>
        <w:rPr>
          <w:rFonts w:hint="eastAsia" w:ascii="微软雅黑" w:hAnsi="微软雅黑" w:eastAsia="微软雅黑" w:cs="微软雅黑"/>
        </w:rPr>
      </w:pPr>
    </w:p>
    <w:p w14:paraId="69D1758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0"/>
        </w:rPr>
        <w:t>点位 3 - 中铁建物业管理有限公司成都分公司/大门口（16:24）</w:t>
      </w:r>
    </w:p>
    <w:p w14:paraId="390E0D81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2879725" cy="16198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1035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666666"/>
          <w:sz w:val="18"/>
        </w:rPr>
        <w:t>描述：画面显示该区域正常，识别人数 2 人。 备注：AI检测2人</w:t>
      </w:r>
    </w:p>
    <w:p w14:paraId="41F04DF6">
      <w:pPr>
        <w:rPr>
          <w:rFonts w:hint="eastAsia" w:ascii="微软雅黑" w:hAnsi="微软雅黑" w:eastAsia="微软雅黑" w:cs="微软雅黑"/>
        </w:rPr>
      </w:pPr>
    </w:p>
    <w:p w14:paraId="05F1825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0"/>
        </w:rPr>
        <w:t>点位 4 - 中铁建物业管理有限公司成都分公司/小办公室（16:24）</w:t>
      </w:r>
    </w:p>
    <w:p w14:paraId="01FA83FD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2879725" cy="16198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BABE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666666"/>
          <w:sz w:val="18"/>
        </w:rPr>
        <w:t>描述：画面显示该区域正常，识别人数 7 人。 备注：AI检测7人</w:t>
      </w:r>
    </w:p>
    <w:p w14:paraId="4738F8F0">
      <w:pPr>
        <w:rPr>
          <w:rFonts w:hint="eastAsia" w:ascii="微软雅黑" w:hAnsi="微软雅黑" w:eastAsia="微软雅黑" w:cs="微软雅黑"/>
        </w:rPr>
      </w:pPr>
    </w:p>
    <w:p w14:paraId="68FF7383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五、综合结论与建议</w:t>
      </w:r>
    </w:p>
    <w:p w14:paraId="7EB0E776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风险评级</w:t>
      </w:r>
    </w:p>
    <w:p w14:paraId="33083EE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F53F3F"/>
          <w:sz w:val="24"/>
        </w:rPr>
        <w:t>🔴 红色  （预警统计：红色 2 项 | 黄色 15 项 | 合计 101 项）</w:t>
      </w:r>
    </w:p>
    <w:p w14:paraId="1E232B5D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关键发现</w:t>
      </w:r>
    </w:p>
    <w:p w14:paraId="44CDDD26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[🔴 红色] 连续跌停警示：四川振海保安服务有限公司连续3个交易日跌停</w:t>
      </w:r>
      <w:r>
        <w:rPr>
          <w:rFonts w:hint="eastAsia" w:ascii="微软雅黑" w:hAnsi="微软雅黑" w:eastAsia="微软雅黑" w:cs="微软雅黑"/>
          <w:color w:val="666666"/>
          <w:sz w:val="18"/>
        </w:rPr>
        <w:br w:type="textWrapping"/>
      </w:r>
      <w:r>
        <w:rPr>
          <w:rFonts w:hint="eastAsia" w:ascii="微软雅黑" w:hAnsi="微软雅黑" w:eastAsia="微软雅黑" w:cs="微软雅黑"/>
          <w:color w:val="666666"/>
          <w:sz w:val="18"/>
        </w:rPr>
        <w:t>　详情：四川振海保安服务有限公司股票已连续3个交易日收盘跌停，累计跌幅达29.43%。公司已发布股价异动公告，但未披露重大未公开信息。</w:t>
      </w:r>
    </w:p>
    <w:p w14:paraId="47213AAD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[🔴 红色] 债券违约公告：四川振海保安服务有限公司未能按期兑付到期债券本息</w:t>
      </w:r>
      <w:r>
        <w:rPr>
          <w:rFonts w:hint="eastAsia" w:ascii="微软雅黑" w:hAnsi="微软雅黑" w:eastAsia="微软雅黑" w:cs="微软雅黑"/>
          <w:color w:val="666666"/>
          <w:sz w:val="18"/>
        </w:rPr>
        <w:br w:type="textWrapping"/>
      </w:r>
      <w:r>
        <w:rPr>
          <w:rFonts w:hint="eastAsia" w:ascii="微软雅黑" w:hAnsi="微软雅黑" w:eastAsia="微软雅黑" w:cs="微软雅黑"/>
          <w:color w:val="666666"/>
          <w:sz w:val="18"/>
        </w:rPr>
        <w:t>　详情：四川振海保安服务有限公司公告称，因流动性紧张，未能按期兑付"2年期中期票据"到期本息，涉及金额约18亿元。</w:t>
      </w:r>
    </w:p>
    <w:p w14:paraId="6B430B05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[🟠 橙色] 信用评级下调：四川振海保安服务有限公司承兑人评级由AA-下调至A</w:t>
      </w:r>
      <w:r>
        <w:rPr>
          <w:rFonts w:hint="eastAsia" w:ascii="微软雅黑" w:hAnsi="微软雅黑" w:eastAsia="微软雅黑" w:cs="微软雅黑"/>
          <w:color w:val="666666"/>
          <w:sz w:val="18"/>
        </w:rPr>
        <w:br w:type="textWrapping"/>
      </w:r>
      <w:r>
        <w:rPr>
          <w:rFonts w:hint="eastAsia" w:ascii="微软雅黑" w:hAnsi="微软雅黑" w:eastAsia="微软雅黑" w:cs="微软雅黑"/>
          <w:color w:val="666666"/>
          <w:sz w:val="18"/>
        </w:rPr>
        <w:t>　详情：联合资信发布评级调整公告，将四川振海保安服务有限公司主体信用评级由AA-下调至A，评级展望为负面。下调原因包括流动性压力加大、经营业绩下滑等。</w:t>
      </w:r>
    </w:p>
    <w:p w14:paraId="1C9E8A28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[🟢 绿色] 【企查查】四川振海保安服务有限公司 工商信息</w:t>
      </w:r>
      <w:r>
        <w:rPr>
          <w:rFonts w:hint="eastAsia" w:ascii="微软雅黑" w:hAnsi="微软雅黑" w:eastAsia="微软雅黑" w:cs="微软雅黑"/>
          <w:color w:val="666666"/>
          <w:sz w:val="18"/>
        </w:rPr>
        <w:br w:type="textWrapping"/>
      </w:r>
      <w:r>
        <w:rPr>
          <w:rFonts w:hint="eastAsia" w:ascii="微软雅黑" w:hAnsi="微软雅黑" w:eastAsia="微软雅黑" w:cs="微软雅黑"/>
          <w:color w:val="666666"/>
          <w:sz w:val="18"/>
        </w:rPr>
        <w:t>　详情：企业名称：四川振海保安服务有限公司</w:t>
      </w:r>
      <w:r>
        <w:rPr>
          <w:rFonts w:hint="eastAsia" w:ascii="微软雅黑" w:hAnsi="微软雅黑" w:eastAsia="微软雅黑" w:cs="微软雅黑"/>
          <w:color w:val="666666"/>
          <w:sz w:val="18"/>
        </w:rPr>
        <w:br w:type="textWrapping"/>
      </w:r>
      <w:r>
        <w:rPr>
          <w:rFonts w:hint="eastAsia" w:ascii="微软雅黑" w:hAnsi="微软雅黑" w:eastAsia="微软雅黑" w:cs="微软雅黑"/>
          <w:color w:val="666666"/>
          <w:sz w:val="18"/>
        </w:rPr>
        <w:t>法定代表人：马振朋</w:t>
      </w:r>
      <w:r>
        <w:rPr>
          <w:rFonts w:hint="eastAsia" w:ascii="微软雅黑" w:hAnsi="微软雅黑" w:eastAsia="微软雅黑" w:cs="微软雅黑"/>
          <w:color w:val="666666"/>
          <w:sz w:val="18"/>
        </w:rPr>
        <w:br w:type="textWrapping"/>
      </w:r>
      <w:r>
        <w:rPr>
          <w:rFonts w:hint="eastAsia" w:ascii="微软雅黑" w:hAnsi="微软雅黑" w:eastAsia="微软雅黑" w:cs="微软雅黑"/>
          <w:color w:val="666666"/>
          <w:sz w:val="18"/>
        </w:rPr>
        <w:t>统一社会信用代码：91510107MA61RUWM1T</w:t>
      </w:r>
      <w:r>
        <w:rPr>
          <w:rFonts w:hint="eastAsia" w:ascii="微软雅黑" w:hAnsi="微软雅黑" w:eastAsia="微软雅黑" w:cs="微软雅黑"/>
          <w:color w:val="666666"/>
          <w:sz w:val="18"/>
        </w:rPr>
        <w:br w:type="textWrapping"/>
      </w:r>
      <w:r>
        <w:rPr>
          <w:rFonts w:hint="eastAsia" w:ascii="微软雅黑" w:hAnsi="微软雅黑" w:eastAsia="微软雅黑" w:cs="微软雅黑"/>
          <w:color w:val="666666"/>
          <w:sz w:val="18"/>
        </w:rPr>
        <w:t>注册资本：1200万元</w:t>
      </w:r>
      <w:r>
        <w:rPr>
          <w:rFonts w:hint="eastAsia" w:ascii="微软雅黑" w:hAnsi="微软雅黑" w:eastAsia="微软雅黑" w:cs="微软雅黑"/>
          <w:color w:val="666666"/>
          <w:sz w:val="18"/>
        </w:rPr>
        <w:br w:type="textWrapping"/>
      </w:r>
      <w:r>
        <w:rPr>
          <w:rFonts w:hint="eastAsia" w:ascii="微软雅黑" w:hAnsi="微软雅黑" w:eastAsia="微软雅黑" w:cs="微软雅黑"/>
          <w:color w:val="666666"/>
          <w:sz w:val="18"/>
        </w:rPr>
        <w:t>成立日期：2015-12-10</w:t>
      </w:r>
      <w:r>
        <w:rPr>
          <w:rFonts w:hint="eastAsia" w:ascii="微软雅黑" w:hAnsi="微软雅黑" w:eastAsia="微软雅黑" w:cs="微软雅黑"/>
          <w:color w:val="666666"/>
          <w:sz w:val="18"/>
        </w:rPr>
        <w:br w:type="textWrapping"/>
      </w:r>
      <w:r>
        <w:rPr>
          <w:rFonts w:hint="eastAsia" w:ascii="微软雅黑" w:hAnsi="微软雅黑" w:eastAsia="微软雅黑" w:cs="微软雅黑"/>
          <w:color w:val="666666"/>
          <w:sz w:val="18"/>
        </w:rPr>
        <w:t>所属行业：商务服务业</w:t>
      </w:r>
      <w:r>
        <w:rPr>
          <w:rFonts w:hint="eastAsia" w:ascii="微软雅黑" w:hAnsi="微软雅黑" w:eastAsia="微软雅黑" w:cs="微软雅黑"/>
          <w:color w:val="666666"/>
          <w:sz w:val="18"/>
        </w:rPr>
        <w:br w:type="textWrapping"/>
      </w:r>
      <w:r>
        <w:rPr>
          <w:rFonts w:hint="eastAsia" w:ascii="微软雅黑" w:hAnsi="微软雅黑" w:eastAsia="微软雅黑" w:cs="微软雅黑"/>
          <w:color w:val="666666"/>
          <w:sz w:val="18"/>
        </w:rPr>
        <w:t>经营状态：存续</w:t>
      </w:r>
      <w:r>
        <w:rPr>
          <w:rFonts w:hint="eastAsia" w:ascii="微软雅黑" w:hAnsi="微软雅黑" w:eastAsia="微软雅黑" w:cs="微软雅黑"/>
          <w:color w:val="666666"/>
          <w:sz w:val="18"/>
        </w:rPr>
        <w:br w:type="textWrapping"/>
      </w:r>
      <w:r>
        <w:rPr>
          <w:rFonts w:hint="eastAsia" w:ascii="微软雅黑" w:hAnsi="微软雅黑" w:eastAsia="微软雅黑" w:cs="微软雅黑"/>
          <w:color w:val="666666"/>
          <w:sz w:val="18"/>
        </w:rPr>
        <w:t>注册地址：于四川省成都市龙泉驿区大面街道柳树南街211号4楼</w:t>
      </w:r>
      <w:r>
        <w:rPr>
          <w:rFonts w:hint="eastAsia" w:ascii="微软雅黑" w:hAnsi="微软雅黑" w:eastAsia="微软雅黑" w:cs="微软雅黑"/>
          <w:color w:val="666666"/>
          <w:sz w:val="18"/>
        </w:rPr>
        <w:br w:type="textWrapping"/>
      </w:r>
      <w:r>
        <w:rPr>
          <w:rFonts w:hint="eastAsia" w:ascii="微软雅黑" w:hAnsi="微软雅黑" w:eastAsia="微软雅黑" w:cs="微软雅黑"/>
          <w:color w:val="666666"/>
          <w:sz w:val="18"/>
        </w:rPr>
        <w:t>经营范围：许可项目：保安服务；各</w:t>
      </w:r>
    </w:p>
    <w:p w14:paraId="3F6DADBC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[🟢 绿色] 相关搜索</w:t>
      </w:r>
      <w:r>
        <w:rPr>
          <w:rFonts w:hint="eastAsia" w:ascii="微软雅黑" w:hAnsi="微软雅黑" w:eastAsia="微软雅黑" w:cs="微软雅黑"/>
          <w:color w:val="666666"/>
          <w:sz w:val="18"/>
        </w:rPr>
        <w:br w:type="textWrapping"/>
      </w:r>
      <w:r>
        <w:rPr>
          <w:rFonts w:hint="eastAsia" w:ascii="微软雅黑" w:hAnsi="微软雅黑" w:eastAsia="微软雅黑" w:cs="微软雅黑"/>
          <w:color w:val="666666"/>
          <w:sz w:val="18"/>
        </w:rPr>
        <w:t>　详情：相关搜索</w:t>
      </w:r>
      <w:r>
        <w:rPr>
          <w:rFonts w:hint="eastAsia" w:ascii="微软雅黑" w:hAnsi="微软雅黑" w:eastAsia="微软雅黑" w:cs="微软雅黑"/>
          <w:color w:val="666666"/>
          <w:sz w:val="18"/>
        </w:rPr>
        <w:br w:type="textWrapping"/>
      </w:r>
      <w:r>
        <w:rPr>
          <w:rFonts w:hint="eastAsia" w:ascii="微软雅黑" w:hAnsi="微软雅黑" w:eastAsia="微软雅黑" w:cs="微软雅黑"/>
          <w:color w:val="666666"/>
          <w:sz w:val="18"/>
        </w:rPr>
        <w:t>四川金盾保安公司</w:t>
      </w:r>
      <w:r>
        <w:rPr>
          <w:rFonts w:hint="eastAsia" w:ascii="微软雅黑" w:hAnsi="微软雅黑" w:eastAsia="微软雅黑" w:cs="微软雅黑"/>
          <w:color w:val="666666"/>
          <w:sz w:val="18"/>
        </w:rPr>
        <w:br w:type="textWrapping"/>
      </w:r>
      <w:r>
        <w:rPr>
          <w:rFonts w:hint="eastAsia" w:ascii="微软雅黑" w:hAnsi="微软雅黑" w:eastAsia="微软雅黑" w:cs="微软雅黑"/>
          <w:color w:val="666666"/>
          <w:sz w:val="18"/>
        </w:rPr>
        <w:t>四川振海保安服务有限公司logo</w:t>
      </w:r>
      <w:r>
        <w:rPr>
          <w:rFonts w:hint="eastAsia" w:ascii="微软雅黑" w:hAnsi="微软雅黑" w:eastAsia="微软雅黑" w:cs="微软雅黑"/>
          <w:color w:val="666666"/>
          <w:sz w:val="18"/>
        </w:rPr>
        <w:br w:type="textWrapping"/>
      </w:r>
      <w:r>
        <w:rPr>
          <w:rFonts w:hint="eastAsia" w:ascii="微软雅黑" w:hAnsi="微软雅黑" w:eastAsia="微软雅黑" w:cs="微软雅黑"/>
          <w:color w:val="666666"/>
          <w:sz w:val="18"/>
        </w:rPr>
        <w:t>成都保安公司排名前十</w:t>
      </w:r>
      <w:r>
        <w:rPr>
          <w:rFonts w:hint="eastAsia" w:ascii="微软雅黑" w:hAnsi="微软雅黑" w:eastAsia="微软雅黑" w:cs="微软雅黑"/>
          <w:color w:val="666666"/>
          <w:sz w:val="18"/>
        </w:rPr>
        <w:br w:type="textWrapping"/>
      </w:r>
      <w:r>
        <w:rPr>
          <w:rFonts w:hint="eastAsia" w:ascii="微软雅黑" w:hAnsi="微软雅黑" w:eastAsia="微软雅黑" w:cs="微软雅黑"/>
          <w:color w:val="666666"/>
          <w:sz w:val="18"/>
        </w:rPr>
        <w:t>四川金盾保安服务有限公司</w:t>
      </w:r>
      <w:r>
        <w:rPr>
          <w:rFonts w:hint="eastAsia" w:ascii="微软雅黑" w:hAnsi="微软雅黑" w:eastAsia="微软雅黑" w:cs="微软雅黑"/>
          <w:color w:val="666666"/>
          <w:sz w:val="18"/>
        </w:rPr>
        <w:br w:type="textWrapping"/>
      </w:r>
      <w:r>
        <w:rPr>
          <w:rFonts w:hint="eastAsia" w:ascii="微软雅黑" w:hAnsi="微软雅黑" w:eastAsia="微软雅黑" w:cs="微软雅黑"/>
          <w:color w:val="666666"/>
          <w:sz w:val="18"/>
        </w:rPr>
        <w:t>保安公司报名电话</w:t>
      </w:r>
      <w:r>
        <w:rPr>
          <w:rFonts w:hint="eastAsia" w:ascii="微软雅黑" w:hAnsi="微软雅黑" w:eastAsia="微软雅黑" w:cs="微软雅黑"/>
          <w:color w:val="666666"/>
          <w:sz w:val="18"/>
        </w:rPr>
        <w:br w:type="textWrapping"/>
      </w:r>
      <w:r>
        <w:rPr>
          <w:rFonts w:hint="eastAsia" w:ascii="微软雅黑" w:hAnsi="微软雅黑" w:eastAsia="微软雅黑" w:cs="微软雅黑"/>
          <w:color w:val="666666"/>
          <w:sz w:val="18"/>
        </w:rPr>
        <w:t>四川精诚卫士保安服务有限公司</w:t>
      </w:r>
      <w:r>
        <w:rPr>
          <w:rFonts w:hint="eastAsia" w:ascii="微软雅黑" w:hAnsi="微软雅黑" w:eastAsia="微软雅黑" w:cs="微软雅黑"/>
          <w:color w:val="666666"/>
          <w:sz w:val="18"/>
        </w:rPr>
        <w:br w:type="textWrapping"/>
      </w:r>
      <w:r>
        <w:rPr>
          <w:rFonts w:hint="eastAsia" w:ascii="微软雅黑" w:hAnsi="微软雅黑" w:eastAsia="微软雅黑" w:cs="微软雅黑"/>
          <w:color w:val="666666"/>
          <w:sz w:val="18"/>
        </w:rPr>
        <w:t>四川最大的保安公司</w:t>
      </w:r>
      <w:r>
        <w:rPr>
          <w:rFonts w:hint="eastAsia" w:ascii="微软雅黑" w:hAnsi="微软雅黑" w:eastAsia="微软雅黑" w:cs="微软雅黑"/>
          <w:color w:val="666666"/>
          <w:sz w:val="18"/>
        </w:rPr>
        <w:br w:type="textWrapping"/>
      </w:r>
      <w:r>
        <w:rPr>
          <w:rFonts w:hint="eastAsia" w:ascii="微软雅黑" w:hAnsi="微软雅黑" w:eastAsia="微软雅黑" w:cs="微软雅黑"/>
          <w:color w:val="666666"/>
          <w:sz w:val="18"/>
        </w:rPr>
        <w:t>成都双流保安公司</w:t>
      </w:r>
      <w:r>
        <w:rPr>
          <w:rFonts w:hint="eastAsia" w:ascii="微软雅黑" w:hAnsi="微软雅黑" w:eastAsia="微软雅黑" w:cs="微软雅黑"/>
          <w:color w:val="666666"/>
          <w:sz w:val="18"/>
        </w:rPr>
        <w:br w:type="textWrapping"/>
      </w:r>
      <w:r>
        <w:rPr>
          <w:rFonts w:hint="eastAsia" w:ascii="微软雅黑" w:hAnsi="微软雅黑" w:eastAsia="微软雅黑" w:cs="微软雅黑"/>
          <w:color w:val="666666"/>
          <w:sz w:val="18"/>
        </w:rPr>
        <w:t>振海保安服务公司</w:t>
      </w:r>
      <w:r>
        <w:rPr>
          <w:rFonts w:hint="eastAsia" w:ascii="微软雅黑" w:hAnsi="微软雅黑" w:eastAsia="微软雅黑" w:cs="微软雅黑"/>
          <w:color w:val="666666"/>
          <w:sz w:val="18"/>
        </w:rPr>
        <w:br w:type="textWrapping"/>
      </w:r>
      <w:r>
        <w:rPr>
          <w:rFonts w:hint="eastAsia" w:ascii="微软雅黑" w:hAnsi="微软雅黑" w:eastAsia="微软雅黑" w:cs="微软雅黑"/>
          <w:color w:val="666666"/>
          <w:sz w:val="18"/>
        </w:rPr>
        <w:t>四川雷霆保安服务有限公司</w:t>
      </w:r>
    </w:p>
    <w:p w14:paraId="7F3C61D4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[🟢 绿色] 双流包吃住保安(厂区) - 成都家政保洁/安保招聘 – 成都58同城招聘</w:t>
      </w:r>
      <w:r>
        <w:rPr>
          <w:rFonts w:hint="eastAsia" w:ascii="微软雅黑" w:hAnsi="微软雅黑" w:eastAsia="微软雅黑" w:cs="微软雅黑"/>
          <w:color w:val="666666"/>
          <w:sz w:val="18"/>
        </w:rPr>
        <w:br w:type="textWrapping"/>
      </w:r>
      <w:r>
        <w:rPr>
          <w:rFonts w:hint="eastAsia" w:ascii="微软雅黑" w:hAnsi="微软雅黑" w:eastAsia="微软雅黑" w:cs="微软雅黑"/>
          <w:color w:val="666666"/>
          <w:sz w:val="18"/>
        </w:rPr>
        <w:t>　详情：双流包吃住保安(厂区) - 成都家政保洁/安保招聘 – 成都58同城招聘</w:t>
      </w:r>
      <w:r>
        <w:rPr>
          <w:rFonts w:hint="eastAsia" w:ascii="微软雅黑" w:hAnsi="微软雅黑" w:eastAsia="微软雅黑" w:cs="微软雅黑"/>
          <w:color w:val="666666"/>
          <w:sz w:val="18"/>
        </w:rPr>
        <w:br w:type="textWrapping"/>
      </w:r>
      <w:r>
        <w:rPr>
          <w:rFonts w:hint="eastAsia" w:ascii="微软雅黑" w:hAnsi="微软雅黑" w:eastAsia="微软雅黑" w:cs="微软雅黑"/>
          <w:color w:val="666666"/>
          <w:sz w:val="18"/>
        </w:rPr>
        <w:t>双流包吃住保安（厂区）3200-3400 学历不限 · 经验不限 · 招2人 包吃·包住·饭补 职位详情 此岗位工厂上班，条件优越，包住（有工作餐）任职资格：</w:t>
      </w:r>
      <w:r>
        <w:rPr>
          <w:rFonts w:hint="eastAsia" w:ascii="微软雅黑" w:hAnsi="微软雅黑" w:eastAsia="微软雅黑" w:cs="微软雅黑"/>
          <w:color w:val="666666"/>
          <w:sz w:val="18"/>
        </w:rPr>
        <w:br w:type="textWrapping"/>
      </w:r>
      <w:r>
        <w:rPr>
          <w:rFonts w:hint="eastAsia" w:ascii="微软雅黑" w:hAnsi="微软雅黑" w:eastAsia="微软雅黑" w:cs="微软雅黑"/>
          <w:color w:val="666666"/>
          <w:sz w:val="18"/>
        </w:rPr>
        <w:t>58同城</w:t>
      </w:r>
    </w:p>
    <w:p w14:paraId="38CCF93C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[🟢 绿色] 保安包吃住3000 - 成都家政保洁/安保招聘 – 成都58同城招聘</w:t>
      </w:r>
      <w:r>
        <w:rPr>
          <w:rFonts w:hint="eastAsia" w:ascii="微软雅黑" w:hAnsi="微软雅黑" w:eastAsia="微软雅黑" w:cs="微软雅黑"/>
          <w:color w:val="666666"/>
          <w:sz w:val="18"/>
        </w:rPr>
        <w:br w:type="textWrapping"/>
      </w:r>
      <w:r>
        <w:rPr>
          <w:rFonts w:hint="eastAsia" w:ascii="微软雅黑" w:hAnsi="微软雅黑" w:eastAsia="微软雅黑" w:cs="微软雅黑"/>
          <w:color w:val="666666"/>
          <w:sz w:val="18"/>
        </w:rPr>
        <w:t>　详情：保安包吃住3000 - 成都家政保洁/安保招聘 – 成都58同城招聘</w:t>
      </w:r>
      <w:r>
        <w:rPr>
          <w:rFonts w:hint="eastAsia" w:ascii="微软雅黑" w:hAnsi="微软雅黑" w:eastAsia="微软雅黑" w:cs="微软雅黑"/>
          <w:color w:val="666666"/>
          <w:sz w:val="18"/>
        </w:rPr>
        <w:br w:type="textWrapping"/>
      </w:r>
      <w:r>
        <w:rPr>
          <w:rFonts w:hint="eastAsia" w:ascii="微软雅黑" w:hAnsi="微软雅黑" w:eastAsia="微软雅黑" w:cs="微软雅黑"/>
          <w:color w:val="666666"/>
          <w:sz w:val="18"/>
        </w:rPr>
        <w:t>保安包吃住3000 2700-3000 学历不限 · 经验不限 · 招10人 包住·包吃 职位详情 工作内容：1、熟悉本岗位的任务与要求，认真贯彻执行工地安全保卫的岗位职责，做好本职...</w:t>
      </w:r>
      <w:r>
        <w:rPr>
          <w:rFonts w:hint="eastAsia" w:ascii="微软雅黑" w:hAnsi="微软雅黑" w:eastAsia="微软雅黑" w:cs="微软雅黑"/>
          <w:color w:val="666666"/>
          <w:sz w:val="18"/>
        </w:rPr>
        <w:br w:type="textWrapping"/>
      </w:r>
      <w:r>
        <w:rPr>
          <w:rFonts w:hint="eastAsia" w:ascii="微软雅黑" w:hAnsi="微软雅黑" w:eastAsia="微软雅黑" w:cs="微软雅黑"/>
          <w:color w:val="666666"/>
          <w:sz w:val="18"/>
        </w:rPr>
        <w:t>58同城</w:t>
      </w:r>
    </w:p>
    <w:p w14:paraId="080FC62A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[🟢 绿色] 保安员170+4000 - 成都家政保洁/安保招聘 – 成都58同城招聘</w:t>
      </w:r>
      <w:r>
        <w:rPr>
          <w:rFonts w:hint="eastAsia" w:ascii="微软雅黑" w:hAnsi="微软雅黑" w:eastAsia="微软雅黑" w:cs="微软雅黑"/>
          <w:color w:val="666666"/>
          <w:sz w:val="18"/>
        </w:rPr>
        <w:br w:type="textWrapping"/>
      </w:r>
      <w:r>
        <w:rPr>
          <w:rFonts w:hint="eastAsia" w:ascii="微软雅黑" w:hAnsi="微软雅黑" w:eastAsia="微软雅黑" w:cs="微软雅黑"/>
          <w:color w:val="666666"/>
          <w:sz w:val="18"/>
        </w:rPr>
        <w:t>　详情：保安员170+4000 - 成都家政保洁/安保招聘 – 成都58同城招聘</w:t>
      </w:r>
      <w:r>
        <w:rPr>
          <w:rFonts w:hint="eastAsia" w:ascii="微软雅黑" w:hAnsi="微软雅黑" w:eastAsia="微软雅黑" w:cs="微软雅黑"/>
          <w:color w:val="666666"/>
          <w:sz w:val="18"/>
        </w:rPr>
        <w:br w:type="textWrapping"/>
      </w:r>
      <w:r>
        <w:rPr>
          <w:rFonts w:hint="eastAsia" w:ascii="微软雅黑" w:hAnsi="微软雅黑" w:eastAsia="微软雅黑" w:cs="微软雅黑"/>
          <w:color w:val="666666"/>
          <w:sz w:val="18"/>
        </w:rPr>
        <w:t>保安员170+4000 3800-4000 学历不限 · 经验不限 · 招10人 包吃·社保 职位详情 有高度责任心和工作和工作热情，项目筹建期工作时间为每日12小时，筹开期工作时间将调...</w:t>
      </w:r>
      <w:r>
        <w:rPr>
          <w:rFonts w:hint="eastAsia" w:ascii="微软雅黑" w:hAnsi="微软雅黑" w:eastAsia="微软雅黑" w:cs="微软雅黑"/>
          <w:color w:val="666666"/>
          <w:sz w:val="18"/>
        </w:rPr>
        <w:br w:type="textWrapping"/>
      </w:r>
      <w:r>
        <w:rPr>
          <w:rFonts w:hint="eastAsia" w:ascii="微软雅黑" w:hAnsi="微软雅黑" w:eastAsia="微软雅黑" w:cs="微软雅黑"/>
          <w:color w:val="666666"/>
          <w:sz w:val="18"/>
        </w:rPr>
        <w:t>58同城</w:t>
      </w:r>
    </w:p>
    <w:p w14:paraId="284BF53D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[🟢 绿色] 监控操作员 - 成都物业管理招聘 – 成都58同城招聘</w:t>
      </w:r>
      <w:r>
        <w:rPr>
          <w:rFonts w:hint="eastAsia" w:ascii="微软雅黑" w:hAnsi="微软雅黑" w:eastAsia="微软雅黑" w:cs="微软雅黑"/>
          <w:color w:val="666666"/>
          <w:sz w:val="18"/>
        </w:rPr>
        <w:br w:type="textWrapping"/>
      </w:r>
      <w:r>
        <w:rPr>
          <w:rFonts w:hint="eastAsia" w:ascii="微软雅黑" w:hAnsi="微软雅黑" w:eastAsia="微软雅黑" w:cs="微软雅黑"/>
          <w:color w:val="666666"/>
          <w:sz w:val="18"/>
        </w:rPr>
        <w:t>　详情：监控操作员 - 成都物业管理招聘 – 成都58同城招聘</w:t>
      </w:r>
      <w:r>
        <w:rPr>
          <w:rFonts w:hint="eastAsia" w:ascii="微软雅黑" w:hAnsi="微软雅黑" w:eastAsia="微软雅黑" w:cs="微软雅黑"/>
          <w:color w:val="666666"/>
          <w:sz w:val="18"/>
        </w:rPr>
        <w:br w:type="textWrapping"/>
      </w:r>
      <w:r>
        <w:rPr>
          <w:rFonts w:hint="eastAsia" w:ascii="微软雅黑" w:hAnsi="微软雅黑" w:eastAsia="微软雅黑" w:cs="微软雅黑"/>
          <w:color w:val="666666"/>
          <w:sz w:val="18"/>
        </w:rPr>
        <w:t>监控操作员 4100-4600 学历不限 · 经验不限 · 招3人 包住·年底双薪·五险 职位详情 工作内容：根据班长安排，负责辖区内的电视监控和消防监控等工作。</w:t>
      </w:r>
      <w:r>
        <w:rPr>
          <w:rFonts w:hint="eastAsia" w:ascii="微软雅黑" w:hAnsi="微软雅黑" w:eastAsia="微软雅黑" w:cs="微软雅黑"/>
          <w:color w:val="666666"/>
          <w:sz w:val="18"/>
        </w:rPr>
        <w:br w:type="textWrapping"/>
      </w:r>
      <w:r>
        <w:rPr>
          <w:rFonts w:hint="eastAsia" w:ascii="微软雅黑" w:hAnsi="微软雅黑" w:eastAsia="微软雅黑" w:cs="微软雅黑"/>
          <w:color w:val="666666"/>
          <w:sz w:val="18"/>
        </w:rPr>
        <w:t>58同城</w:t>
      </w:r>
    </w:p>
    <w:p w14:paraId="44438BD2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[🟢 绿色] 大家都在搜</w:t>
      </w:r>
      <w:r>
        <w:rPr>
          <w:rFonts w:hint="eastAsia" w:ascii="微软雅黑" w:hAnsi="微软雅黑" w:eastAsia="微软雅黑" w:cs="微软雅黑"/>
          <w:color w:val="666666"/>
          <w:sz w:val="18"/>
        </w:rPr>
        <w:br w:type="textWrapping"/>
      </w:r>
      <w:r>
        <w:rPr>
          <w:rFonts w:hint="eastAsia" w:ascii="微软雅黑" w:hAnsi="微软雅黑" w:eastAsia="微软雅黑" w:cs="微软雅黑"/>
          <w:color w:val="666666"/>
          <w:sz w:val="18"/>
        </w:rPr>
        <w:t>　详情：大家都在搜</w:t>
      </w:r>
      <w:r>
        <w:rPr>
          <w:rFonts w:hint="eastAsia" w:ascii="微软雅黑" w:hAnsi="微软雅黑" w:eastAsia="微软雅黑" w:cs="微软雅黑"/>
          <w:color w:val="666666"/>
          <w:sz w:val="18"/>
        </w:rPr>
        <w:br w:type="textWrapping"/>
      </w:r>
      <w:r>
        <w:rPr>
          <w:rFonts w:hint="eastAsia" w:ascii="微软雅黑" w:hAnsi="微软雅黑" w:eastAsia="微软雅黑" w:cs="微软雅黑"/>
          <w:color w:val="666666"/>
          <w:sz w:val="18"/>
        </w:rPr>
        <w:t>四川振海保安服务有限公司怎么样</w:t>
      </w:r>
      <w:r>
        <w:rPr>
          <w:rFonts w:hint="eastAsia" w:ascii="微软雅黑" w:hAnsi="微软雅黑" w:eastAsia="微软雅黑" w:cs="微软雅黑"/>
          <w:color w:val="666666"/>
          <w:sz w:val="18"/>
        </w:rPr>
        <w:br w:type="textWrapping"/>
      </w:r>
      <w:r>
        <w:rPr>
          <w:rFonts w:hint="eastAsia" w:ascii="微软雅黑" w:hAnsi="微软雅黑" w:eastAsia="微软雅黑" w:cs="微软雅黑"/>
          <w:color w:val="666666"/>
          <w:sz w:val="18"/>
        </w:rPr>
        <w:t>四川保安服务公司</w:t>
      </w:r>
      <w:r>
        <w:rPr>
          <w:rFonts w:hint="eastAsia" w:ascii="微软雅黑" w:hAnsi="微软雅黑" w:eastAsia="微软雅黑" w:cs="微软雅黑"/>
          <w:color w:val="666666"/>
          <w:sz w:val="18"/>
        </w:rPr>
        <w:br w:type="textWrapping"/>
      </w:r>
      <w:r>
        <w:rPr>
          <w:rFonts w:hint="eastAsia" w:ascii="微软雅黑" w:hAnsi="微软雅黑" w:eastAsia="微软雅黑" w:cs="微软雅黑"/>
          <w:color w:val="666666"/>
          <w:sz w:val="18"/>
        </w:rPr>
        <w:t>四川振海物业管理有限公司</w:t>
      </w:r>
      <w:r>
        <w:rPr>
          <w:rFonts w:hint="eastAsia" w:ascii="微软雅黑" w:hAnsi="微软雅黑" w:eastAsia="微软雅黑" w:cs="微软雅黑"/>
          <w:color w:val="666666"/>
          <w:sz w:val="18"/>
        </w:rPr>
        <w:br w:type="textWrapping"/>
      </w:r>
      <w:r>
        <w:rPr>
          <w:rFonts w:hint="eastAsia" w:ascii="微软雅黑" w:hAnsi="微软雅黑" w:eastAsia="微软雅黑" w:cs="微软雅黑"/>
          <w:color w:val="666666"/>
          <w:sz w:val="18"/>
        </w:rPr>
        <w:t>四川华盾保安服务有限公司</w:t>
      </w:r>
      <w:r>
        <w:rPr>
          <w:rFonts w:hint="eastAsia" w:ascii="微软雅黑" w:hAnsi="微软雅黑" w:eastAsia="微软雅黑" w:cs="微软雅黑"/>
          <w:color w:val="666666"/>
          <w:sz w:val="18"/>
        </w:rPr>
        <w:br w:type="textWrapping"/>
      </w:r>
      <w:r>
        <w:rPr>
          <w:rFonts w:hint="eastAsia" w:ascii="微软雅黑" w:hAnsi="微软雅黑" w:eastAsia="微软雅黑" w:cs="微软雅黑"/>
          <w:color w:val="666666"/>
          <w:sz w:val="18"/>
        </w:rPr>
        <w:t>振海保安服务有限公司</w:t>
      </w:r>
      <w:r>
        <w:rPr>
          <w:rFonts w:hint="eastAsia" w:ascii="微软雅黑" w:hAnsi="微软雅黑" w:eastAsia="微软雅黑" w:cs="微软雅黑"/>
          <w:color w:val="666666"/>
          <w:sz w:val="18"/>
        </w:rPr>
        <w:br w:type="textWrapping"/>
      </w:r>
      <w:r>
        <w:rPr>
          <w:rFonts w:hint="eastAsia" w:ascii="微软雅黑" w:hAnsi="微软雅黑" w:eastAsia="微软雅黑" w:cs="微软雅黑"/>
          <w:color w:val="666666"/>
          <w:sz w:val="18"/>
        </w:rPr>
        <w:t>四川世纪卫士保安服务有限公司</w:t>
      </w:r>
      <w:r>
        <w:rPr>
          <w:rFonts w:hint="eastAsia" w:ascii="微软雅黑" w:hAnsi="微软雅黑" w:eastAsia="微软雅黑" w:cs="微软雅黑"/>
          <w:color w:val="666666"/>
          <w:sz w:val="18"/>
        </w:rPr>
        <w:br w:type="textWrapping"/>
      </w:r>
      <w:r>
        <w:rPr>
          <w:rFonts w:hint="eastAsia" w:ascii="微软雅黑" w:hAnsi="微软雅黑" w:eastAsia="微软雅黑" w:cs="微软雅黑"/>
          <w:color w:val="666666"/>
          <w:sz w:val="18"/>
        </w:rPr>
        <w:t>四川的保安公司有哪些</w:t>
      </w:r>
      <w:r>
        <w:rPr>
          <w:rFonts w:hint="eastAsia" w:ascii="微软雅黑" w:hAnsi="微软雅黑" w:eastAsia="微软雅黑" w:cs="微软雅黑"/>
          <w:color w:val="666666"/>
          <w:sz w:val="18"/>
        </w:rPr>
        <w:br w:type="textWrapping"/>
      </w:r>
      <w:r>
        <w:rPr>
          <w:rFonts w:hint="eastAsia" w:ascii="微软雅黑" w:hAnsi="微软雅黑" w:eastAsia="微软雅黑" w:cs="微软雅黑"/>
          <w:color w:val="666666"/>
          <w:sz w:val="18"/>
        </w:rPr>
        <w:t>成都金牛区保安服务公司</w:t>
      </w:r>
    </w:p>
    <w:p w14:paraId="42D8E532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后续建议</w:t>
      </w:r>
    </w:p>
    <w:p w14:paraId="6A709DE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企业存在重大风险，建议立即启动风险应对流程，加强与企业的沟通，必要时启动提前收贷程序。</w:t>
      </w:r>
    </w:p>
    <w:p w14:paraId="2D43A18E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🚨 立即组织风险应对会议，制定处置方案</w:t>
      </w:r>
    </w:p>
    <w:p w14:paraId="4F1CFE03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📞 安排尽调团队赴企业现场核实情况</w:t>
      </w:r>
    </w:p>
    <w:p w14:paraId="4CC8133B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🔍 加强监控频率，关注事态发展</w:t>
      </w:r>
    </w:p>
    <w:p w14:paraId="64725D9D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💰 核查企业票据规模和到期分布，评估流动性压力</w:t>
      </w:r>
    </w:p>
    <w:p w14:paraId="3CD44BEB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📊 更新贷后监管档案，记录本周风险事项</w:t>
      </w:r>
    </w:p>
    <w:p w14:paraId="6D18A758">
      <w:pPr>
        <w:rPr>
          <w:rFonts w:hint="eastAsia" w:ascii="微软雅黑" w:hAnsi="微软雅黑" w:eastAsia="微软雅黑" w:cs="微软雅黑"/>
        </w:rPr>
      </w:pPr>
    </w:p>
    <w:p w14:paraId="185A6128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999999"/>
          <w:sz w:val="18"/>
        </w:rPr>
        <w:t>— 本报告由贷后监管系统自动生成，需经人工确认后方可作为正式依据 —</w:t>
      </w:r>
    </w:p>
    <w:p w14:paraId="37A8D822">
      <w:pPr>
        <w:jc w:val="righ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666666"/>
          <w:sz w:val="18"/>
        </w:rPr>
        <w:t>报告出具方：贷后监管综合报告系统　|　生成时间：2026-06-17 17:33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D684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00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887</Words>
  <Characters>942</Characters>
  <Lines>0</Lines>
  <Paragraphs>0</Paragraphs>
  <TotalTime>0</TotalTime>
  <ScaleCrop>false</ScaleCrop>
  <LinksUpToDate>false</LinksUpToDate>
  <CharactersWithSpaces>975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茜茜xixi✨</cp:lastModifiedBy>
  <dcterms:modified xsi:type="dcterms:W3CDTF">2026-06-17T09:36:16Z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eyJoZGlkIjoiMmRlYTM1ZDgxZTE4YTZkMjNkM2ViNGY2NzFkZjJhZTgiLCJ1c2VySWQiOiIyNjA0MjI2OTYifQ==</vt:lpwstr>
  </property>
  <property fmtid="{D5CDD505-2E9C-101B-9397-08002B2CF9AE}" pid="3" name="KSOProductBuildVer">
    <vt:lpwstr>2052-12.1.0.26895</vt:lpwstr>
  </property>
  <property fmtid="{D5CDD505-2E9C-101B-9397-08002B2CF9AE}" pid="4" name="ICV">
    <vt:lpwstr>DC1C9684594F4975B8F0E4189ADB12CD_12</vt:lpwstr>
  </property>
</Properties>
</file>