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51 秒梦境二维动画</w:t>
      </w:r>
    </w:p>
    <w:p>
      <w:r>
        <w:t>Codex 项目交接说明  /  Mac 使用版</w:t>
      </w:r>
    </w:p>
    <w:p>
      <w:r>
        <w:t>版本：2026-10-26   ·   状态：已整理需求，尚未开始代码或视频渲染</w:t>
      </w:r>
    </w:p>
    <w:p>
      <w:r>
        <w:t>这份文档用于核对创作方向；真正移交给 Codex 时，请使用配套 ZIP 包中的 AGENTS.md、原始分镜和其他 .md 文件，而不是只上传本 Word。</w:t>
      </w:r>
    </w:p>
    <w:p>
      <w:pPr>
        <w:pStyle w:val="Heading1"/>
      </w:pPr>
      <w:r>
        <w:t>01  你在 Mac 上如何交给 Codex</w:t>
      </w:r>
    </w:p>
    <w:p>
      <w:pPr>
        <w:pStyle w:val="ListBullet"/>
      </w:pPr>
      <w:r>
        <w:t>下载 ZIP 并解压，获得 dream-animation-51s 文件夹。请不要删除 source 里的两份原始附件。</w:t>
      </w:r>
    </w:p>
    <w:p>
      <w:pPr>
        <w:pStyle w:val="ListBullet"/>
      </w:pPr>
      <w:r>
        <w:t>打开 Mac 上的 ChatGPT 桌面版／Codex，选择 Codex 并将该文件夹作为项目工作目录。</w:t>
      </w:r>
    </w:p>
    <w:p>
      <w:pPr>
        <w:pStyle w:val="ListBullet"/>
      </w:pPr>
      <w:r>
        <w:t>创建新对话，复制粘贴 CODEX_START_PROMPT.txt 的全部文字。</w:t>
      </w:r>
    </w:p>
    <w:p>
      <w:pPr>
        <w:pStyle w:val="ListBullet"/>
      </w:pPr>
      <w:r>
        <w:t>让 Codex 先复述需求并给出执行计划，不要立刻生成代码或视频。等你再决定何时发送“开始代码制作”。</w:t>
      </w:r>
    </w:p>
    <w:p>
      <w:pPr>
        <w:pStyle w:val="ListBullet"/>
      </w:pPr>
      <w:r>
        <w:t>如果使用 Codex Cloud，则需先把整个文件夹存入云端可访问的私人代码仓库并连接云端环境；本地文件不会自动同步到云端。</w:t>
      </w:r>
    </w:p>
    <w:p>
      <w:r>
        <w:t>提示：如果有权限限制，或者界面显示的菜单名称不同，可先在本地项目里完成需求核对；GitHub / Cloud 是推荐的长期续做方案，不是阅读资料的唯一方法。</w:t>
      </w:r>
    </w:p>
    <w:p>
      <w:pPr>
        <w:pStyle w:val="Heading1"/>
      </w:pPr>
      <w:r>
        <w:t>02  总体方向与硬性要求</w:t>
      </w:r>
    </w:p>
    <w:p>
      <w:pPr>
        <w:pStyle w:val="ListBullet"/>
      </w:pPr>
      <w:r>
        <w:t>51 秒 / 1920×1080 / 30 fps / 16:9；七个固定镜头，总 1530 帧。</w:t>
      </w:r>
    </w:p>
    <w:p>
      <w:pPr>
        <w:pStyle w:val="ListBullet"/>
      </w:pPr>
      <w:r>
        <w:t>源于梦：梦幻、略抽象、意识流；二维手绘动画优先，多条平行曲线塑造人物和城市笔触。</w:t>
      </w:r>
    </w:p>
    <w:p>
      <w:pPr>
        <w:pStyle w:val="ListBullet"/>
      </w:pPr>
      <w:r>
        <w:t>画面忧郁、低饱和、整体偏暗但清晰。男主暗部用发丝遮蔽、衣褶、交叠线条表达，不改变肤色定位。</w:t>
      </w:r>
    </w:p>
    <w:p>
      <w:pPr>
        <w:pStyle w:val="ListBullet"/>
      </w:pPr>
      <w:r>
        <w:t>红绿灯和树冠允许小范围相对亮色，但不能喧宾夺主。耳机视觉不强求明显；声音逻辑仍应完整。</w:t>
      </w:r>
    </w:p>
    <w:p>
      <w:pPr>
        <w:pStyle w:val="ListBullet"/>
      </w:pPr>
      <w:r>
        <w:t>严格保持人物身份、服装、手表、眼镜、场景路线、手机交互和电话时序。</w:t>
      </w:r>
    </w:p>
    <w:p>
      <w:pPr>
        <w:pStyle w:val="ListBullet"/>
      </w:pPr>
      <w:r>
        <w:t>不加贯穿式配乐也可以；必须具备车流人声、电话、台词、声强变化；第 4 镜原有耳机音乐暂作为剧情音保留。</w:t>
      </w:r>
    </w:p>
    <w:p>
      <w:pPr>
        <w:pStyle w:val="Heading1"/>
      </w:pPr>
      <w:r>
        <w:t>03  角色设定</w:t>
      </w:r>
    </w:p>
    <w:tbl>
      <w:tblPr>
        <w:tblStyle w:val="LightShading-Accent1"/>
        <w:tblW w:type="auto" w:w="0"/>
        <w:jc w:val="center"/>
        <w:tblLook w:firstColumn="1" w:firstRow="1" w:lastColumn="0" w:lastRow="0" w:noHBand="0" w:noVBand="1" w:val="04A0"/>
      </w:tblPr>
      <w:tblGrid>
        <w:gridCol w:w="4621"/>
        <w:gridCol w:w="4621"/>
      </w:tblGrid>
      <w:tr>
        <w:tc>
          <w:tcPr>
            <w:tcW w:type="dxa" w:w="4621"/>
            <w:shd w:fill="233B4A"/>
            <w:vAlign w:val="center"/>
          </w:tcPr>
          <w:p>
            <w:pPr>
              <w:spacing w:after="20"/>
            </w:pPr>
            <w:r>
              <w:rPr>
                <w:b/>
                <w:color w:val="FFFFFF"/>
                <w:sz w:val="16"/>
              </w:rPr>
              <w:t>角色</w:t>
            </w:r>
          </w:p>
        </w:tc>
        <w:tc>
          <w:tcPr>
            <w:tcW w:type="dxa" w:w="4621"/>
            <w:shd w:fill="233B4A"/>
            <w:vAlign w:val="center"/>
          </w:tcPr>
          <w:p>
            <w:pPr>
              <w:spacing w:after="20"/>
            </w:pPr>
            <w:r>
              <w:rPr>
                <w:b/>
                <w:color w:val="FFFFFF"/>
                <w:sz w:val="16"/>
              </w:rPr>
              <w:t>必须保持的特点</w:t>
            </w:r>
          </w:p>
        </w:tc>
      </w:tr>
      <w:tr>
        <w:tc>
          <w:tcPr>
            <w:tcW w:type="dxa" w:w="4621"/>
            <w:vAlign w:val="center"/>
          </w:tcPr>
          <w:p>
            <w:pPr>
              <w:spacing w:after="20"/>
            </w:pPr>
            <w:r>
              <w:rPr>
                <w:sz w:val="16"/>
              </w:rPr>
              <w:t>男主（18 岁）</w:t>
            </w:r>
          </w:p>
        </w:tc>
        <w:tc>
          <w:tcPr>
            <w:tcW w:type="dxa" w:w="4621"/>
            <w:vAlign w:val="center"/>
          </w:tcPr>
          <w:p>
            <w:pPr>
              <w:spacing w:after="20"/>
            </w:pPr>
            <w:r>
              <w:rPr>
                <w:sz w:val="16"/>
              </w:rPr>
              <w:t>约 190 cm、略瘦、四肢与手指修长、指节明显；长脸小眼睛、高颧骨、普通长相；眼镜、左手手表、运动鞋、长裤、假两件 Polo 衫、不戴帽子。情绪克制，避免夸张脸部表现。</w:t>
            </w:r>
          </w:p>
        </w:tc>
      </w:tr>
      <w:tr>
        <w:tc>
          <w:tcPr>
            <w:tcW w:type="dxa" w:w="4621"/>
            <w:vAlign w:val="center"/>
          </w:tcPr>
          <w:p>
            <w:pPr>
              <w:spacing w:after="20"/>
            </w:pPr>
            <w:r>
              <w:rPr>
                <w:sz w:val="16"/>
              </w:rPr>
              <w:t>女主（19 岁，仅声音）</w:t>
            </w:r>
          </w:p>
        </w:tc>
        <w:tc>
          <w:tcPr>
            <w:tcW w:type="dxa" w:w="4621"/>
            <w:vAlign w:val="center"/>
          </w:tcPr>
          <w:p>
            <w:pPr>
              <w:spacing w:after="20"/>
            </w:pPr>
            <w:r>
              <w:rPr>
                <w:sz w:val="16"/>
              </w:rPr>
              <w:t>空灵、语速略快；失落悲伤但努力保持正常语调。</w:t>
            </w:r>
          </w:p>
        </w:tc>
      </w:tr>
      <w:tr>
        <w:tc>
          <w:tcPr>
            <w:tcW w:type="dxa" w:w="4621"/>
            <w:vAlign w:val="center"/>
          </w:tcPr>
          <w:p>
            <w:pPr>
              <w:spacing w:after="20"/>
            </w:pPr>
            <w:r>
              <w:rPr>
                <w:sz w:val="16"/>
              </w:rPr>
              <w:t>女二（19 岁，仅声音）</w:t>
            </w:r>
          </w:p>
        </w:tc>
        <w:tc>
          <w:tcPr>
            <w:tcW w:type="dxa" w:w="4621"/>
            <w:vAlign w:val="center"/>
          </w:tcPr>
          <w:p>
            <w:pPr>
              <w:spacing w:after="20"/>
            </w:pPr>
            <w:r>
              <w:rPr>
                <w:sz w:val="16"/>
              </w:rPr>
              <w:t>普通自然、略沉稳；按原台词含约 1 秒停顿。</w:t>
            </w:r>
          </w:p>
        </w:tc>
      </w:tr>
      <w:tr>
        <w:tc>
          <w:tcPr>
            <w:tcW w:type="dxa" w:w="4621"/>
            <w:vAlign w:val="center"/>
          </w:tcPr>
          <w:p>
            <w:pPr>
              <w:spacing w:after="20"/>
            </w:pPr>
            <w:r>
              <w:rPr>
                <w:sz w:val="16"/>
              </w:rPr>
              <w:t>路人</w:t>
            </w:r>
          </w:p>
        </w:tc>
        <w:tc>
          <w:tcPr>
            <w:tcW w:type="dxa" w:w="4621"/>
            <w:vAlign w:val="center"/>
          </w:tcPr>
          <w:p>
            <w:pPr>
              <w:spacing w:after="20"/>
            </w:pPr>
            <w:r>
              <w:rPr>
                <w:sz w:val="16"/>
              </w:rPr>
              <w:t>年龄职业身形多样，维护空间和出镜连贯，不作精致漫画化。</w:t>
            </w:r>
          </w:p>
        </w:tc>
      </w:tr>
    </w:tbl>
    <w:p>
      <w:pPr>
        <w:pStyle w:val="Heading1"/>
      </w:pPr>
      <w:r>
        <w:t>04  场景与镜头的空间约束</w:t>
      </w:r>
    </w:p>
    <w:p>
      <w:r>
        <w:t>十字路口参考原 Word 中两张俯视示意图：横向与纵向大道交叉，男主由地图右下侧穿过下方人行横道到左下侧，随后在蓝框附近的长椅坐下；长椅面朝马路，沿东西方向放置。</w:t>
      </w:r>
    </w:p>
    <w:p>
      <w:r>
        <w:t>原场景说明“写实情景剧风格”已被后来确认的“梦幻二维曲线”更新；但普通人形象、城市可辨识与叙事连续性仍然有效。</w:t>
      </w:r>
    </w:p>
    <w:p>
      <w:pPr>
        <w:pStyle w:val="Heading1"/>
      </w:pPr>
      <w:r>
        <w:t>05  七镜头时间与声音锚点</w:t>
      </w:r>
    </w:p>
    <w:tbl>
      <w:tblPr>
        <w:tblStyle w:val="LightShading-Accent1"/>
        <w:tblW w:type="auto" w:w="0"/>
        <w:jc w:val="center"/>
        <w:tblLook w:firstColumn="1" w:firstRow="1" w:lastColumn="0" w:lastRow="0" w:noHBand="0" w:noVBand="1" w:val="04A0"/>
      </w:tblPr>
      <w:tblGrid>
        <w:gridCol w:w="3081"/>
        <w:gridCol w:w="3081"/>
        <w:gridCol w:w="3081"/>
      </w:tblGrid>
      <w:tr>
        <w:tc>
          <w:tcPr>
            <w:tcW w:type="dxa" w:w="3081"/>
            <w:shd w:fill="233B4A"/>
            <w:vAlign w:val="center"/>
          </w:tcPr>
          <w:p>
            <w:pPr>
              <w:spacing w:after="20"/>
            </w:pPr>
            <w:r>
              <w:rPr>
                <w:b/>
                <w:color w:val="FFFFFF"/>
                <w:sz w:val="16"/>
              </w:rPr>
              <w:t>镜头 / 时间</w:t>
            </w:r>
          </w:p>
        </w:tc>
        <w:tc>
          <w:tcPr>
            <w:tcW w:type="dxa" w:w="3081"/>
            <w:shd w:fill="233B4A"/>
            <w:vAlign w:val="center"/>
          </w:tcPr>
          <w:p>
            <w:pPr>
              <w:spacing w:after="20"/>
            </w:pPr>
            <w:r>
              <w:rPr>
                <w:b/>
                <w:color w:val="FFFFFF"/>
                <w:sz w:val="16"/>
              </w:rPr>
              <w:t>画面核心</w:t>
            </w:r>
          </w:p>
        </w:tc>
        <w:tc>
          <w:tcPr>
            <w:tcW w:type="dxa" w:w="3081"/>
            <w:shd w:fill="233B4A"/>
            <w:vAlign w:val="center"/>
          </w:tcPr>
          <w:p>
            <w:pPr>
              <w:spacing w:after="20"/>
            </w:pPr>
            <w:r>
              <w:rPr>
                <w:b/>
                <w:color w:val="FFFFFF"/>
                <w:sz w:val="16"/>
              </w:rPr>
              <w:t>声音关键</w:t>
            </w:r>
          </w:p>
        </w:tc>
      </w:tr>
      <w:tr>
        <w:tc>
          <w:tcPr>
            <w:tcW w:type="dxa" w:w="3081"/>
            <w:vAlign w:val="center"/>
          </w:tcPr>
          <w:p>
            <w:pPr>
              <w:spacing w:after="20"/>
            </w:pPr>
            <w:r>
              <w:rPr>
                <w:sz w:val="16"/>
              </w:rPr>
              <w:t>01 / 00:00–00:10</w:t>
            </w:r>
          </w:p>
        </w:tc>
        <w:tc>
          <w:tcPr>
            <w:tcW w:type="dxa" w:w="3081"/>
            <w:vAlign w:val="center"/>
          </w:tcPr>
          <w:p>
            <w:pPr>
              <w:spacing w:after="20"/>
            </w:pPr>
            <w:r>
              <w:rPr>
                <w:sz w:val="16"/>
              </w:rPr>
              <w:t>十字路口俯视下降、转平视并推向男主背影</w:t>
            </w:r>
          </w:p>
        </w:tc>
        <w:tc>
          <w:tcPr>
            <w:tcW w:type="dxa" w:w="3081"/>
            <w:vAlign w:val="center"/>
          </w:tcPr>
          <w:p>
            <w:pPr>
              <w:spacing w:after="20"/>
            </w:pPr>
            <w:r>
              <w:rPr>
                <w:sz w:val="16"/>
              </w:rPr>
              <w:t>车流人声：下降增强，靠近男主渐弱（末端仍高于起点）</w:t>
            </w:r>
          </w:p>
        </w:tc>
      </w:tr>
      <w:tr>
        <w:tc>
          <w:tcPr>
            <w:tcW w:type="dxa" w:w="3081"/>
            <w:vAlign w:val="center"/>
          </w:tcPr>
          <w:p>
            <w:pPr>
              <w:spacing w:after="20"/>
            </w:pPr>
            <w:r>
              <w:rPr>
                <w:sz w:val="16"/>
              </w:rPr>
              <w:t>02 / 00:10–00:16</w:t>
            </w:r>
          </w:p>
        </w:tc>
        <w:tc>
          <w:tcPr>
            <w:tcW w:type="dxa" w:w="3081"/>
            <w:vAlign w:val="center"/>
          </w:tcPr>
          <w:p>
            <w:pPr>
              <w:spacing w:after="20"/>
            </w:pPr>
            <w:r>
              <w:rPr>
                <w:sz w:val="16"/>
              </w:rPr>
              <w:t>正面中景穿过人群，男主查看手机又收起</w:t>
            </w:r>
          </w:p>
        </w:tc>
        <w:tc>
          <w:tcPr>
            <w:tcW w:type="dxa" w:w="3081"/>
            <w:vAlign w:val="center"/>
          </w:tcPr>
          <w:p>
            <w:pPr>
              <w:spacing w:after="20"/>
            </w:pPr>
            <w:r>
              <w:rPr>
                <w:sz w:val="16"/>
              </w:rPr>
              <w:t>与上一镜末尾强度连续的车流人声</w:t>
            </w:r>
          </w:p>
        </w:tc>
      </w:tr>
      <w:tr>
        <w:tc>
          <w:tcPr>
            <w:tcW w:type="dxa" w:w="3081"/>
            <w:vAlign w:val="center"/>
          </w:tcPr>
          <w:p>
            <w:pPr>
              <w:spacing w:after="20"/>
            </w:pPr>
            <w:r>
              <w:rPr>
                <w:sz w:val="16"/>
              </w:rPr>
              <w:t>03 / 00:16–00:24</w:t>
            </w:r>
          </w:p>
        </w:tc>
        <w:tc>
          <w:tcPr>
            <w:tcW w:type="dxa" w:w="3081"/>
            <w:vAlign w:val="center"/>
          </w:tcPr>
          <w:p>
            <w:pPr>
              <w:spacing w:after="20"/>
            </w:pPr>
            <w:r>
              <w:rPr>
                <w:sz w:val="16"/>
              </w:rPr>
              <w:t>左侧跟拍，走到灯旁长椅并坐下</w:t>
            </w:r>
          </w:p>
        </w:tc>
        <w:tc>
          <w:tcPr>
            <w:tcW w:type="dxa" w:w="3081"/>
            <w:vAlign w:val="center"/>
          </w:tcPr>
          <w:p>
            <w:pPr>
              <w:spacing w:after="20"/>
            </w:pPr>
            <w:r>
              <w:rPr>
                <w:sz w:val="16"/>
              </w:rPr>
              <w:t>街道人车声与上一镜基本一致</w:t>
            </w:r>
          </w:p>
        </w:tc>
      </w:tr>
      <w:tr>
        <w:tc>
          <w:tcPr>
            <w:tcW w:type="dxa" w:w="3081"/>
            <w:vAlign w:val="center"/>
          </w:tcPr>
          <w:p>
            <w:pPr>
              <w:spacing w:after="20"/>
            </w:pPr>
            <w:r>
              <w:rPr>
                <w:sz w:val="16"/>
              </w:rPr>
              <w:t>04 / 00:24–00:28</w:t>
            </w:r>
          </w:p>
        </w:tc>
        <w:tc>
          <w:tcPr>
            <w:tcW w:type="dxa" w:w="3081"/>
            <w:vAlign w:val="center"/>
          </w:tcPr>
          <w:p>
            <w:pPr>
              <w:spacing w:after="20"/>
            </w:pPr>
            <w:r>
              <w:rPr>
                <w:sz w:val="16"/>
              </w:rPr>
              <w:t>男主第一视角，低头看手机音乐播放器</w:t>
            </w:r>
          </w:p>
        </w:tc>
        <w:tc>
          <w:tcPr>
            <w:tcW w:type="dxa" w:w="3081"/>
            <w:vAlign w:val="center"/>
          </w:tcPr>
          <w:p>
            <w:pPr>
              <w:spacing w:after="20"/>
            </w:pPr>
            <w:r>
              <w:rPr>
                <w:sz w:val="16"/>
              </w:rPr>
              <w:t>降噪耳机轻音乐为主，微弱外界声</w:t>
            </w:r>
          </w:p>
        </w:tc>
      </w:tr>
      <w:tr>
        <w:tc>
          <w:tcPr>
            <w:tcW w:type="dxa" w:w="3081"/>
            <w:vAlign w:val="center"/>
          </w:tcPr>
          <w:p>
            <w:pPr>
              <w:spacing w:after="20"/>
            </w:pPr>
            <w:r>
              <w:rPr>
                <w:sz w:val="16"/>
              </w:rPr>
              <w:t>05 / 00:28–00:38</w:t>
            </w:r>
          </w:p>
        </w:tc>
        <w:tc>
          <w:tcPr>
            <w:tcW w:type="dxa" w:w="3081"/>
            <w:vAlign w:val="center"/>
          </w:tcPr>
          <w:p>
            <w:pPr>
              <w:spacing w:after="20"/>
            </w:pPr>
            <w:r>
              <w:rPr>
                <w:sz w:val="16"/>
              </w:rPr>
              <w:t>来电显示号码、右手食指颤抖、拒接</w:t>
            </w:r>
          </w:p>
        </w:tc>
        <w:tc>
          <w:tcPr>
            <w:tcW w:type="dxa" w:w="3081"/>
            <w:vAlign w:val="center"/>
          </w:tcPr>
          <w:p>
            <w:pPr>
              <w:spacing w:after="20"/>
            </w:pPr>
            <w:r>
              <w:rPr>
                <w:sz w:val="16"/>
              </w:rPr>
              <w:t>音乐暂停；女主问、女二停顿一秒后回答；来电声</w:t>
            </w:r>
          </w:p>
        </w:tc>
      </w:tr>
      <w:tr>
        <w:tc>
          <w:tcPr>
            <w:tcW w:type="dxa" w:w="3081"/>
            <w:vAlign w:val="center"/>
          </w:tcPr>
          <w:p>
            <w:pPr>
              <w:spacing w:after="20"/>
            </w:pPr>
            <w:r>
              <w:rPr>
                <w:sz w:val="16"/>
              </w:rPr>
              <w:t>06 / 00:38–00:46</w:t>
            </w:r>
          </w:p>
        </w:tc>
        <w:tc>
          <w:tcPr>
            <w:tcW w:type="dxa" w:w="3081"/>
            <w:vAlign w:val="center"/>
          </w:tcPr>
          <w:p>
            <w:pPr>
              <w:spacing w:after="20"/>
            </w:pPr>
            <w:r>
              <w:rPr>
                <w:sz w:val="16"/>
              </w:rPr>
              <w:t>仍是第一视角，低头捂胸，呼吸同步微动</w:t>
            </w:r>
          </w:p>
        </w:tc>
        <w:tc>
          <w:tcPr>
            <w:tcW w:type="dxa" w:w="3081"/>
            <w:vAlign w:val="center"/>
          </w:tcPr>
          <w:p>
            <w:pPr>
              <w:spacing w:after="20"/>
            </w:pPr>
            <w:r>
              <w:rPr>
                <w:sz w:val="16"/>
              </w:rPr>
              <w:t>已拒接但女主的话继续；音乐静默、人声清晰</w:t>
            </w:r>
          </w:p>
        </w:tc>
      </w:tr>
      <w:tr>
        <w:tc>
          <w:tcPr>
            <w:tcW w:type="dxa" w:w="3081"/>
            <w:vAlign w:val="center"/>
          </w:tcPr>
          <w:p>
            <w:pPr>
              <w:spacing w:after="20"/>
            </w:pPr>
            <w:r>
              <w:rPr>
                <w:sz w:val="16"/>
              </w:rPr>
              <w:t>07 / 00:46–00:51</w:t>
            </w:r>
          </w:p>
        </w:tc>
        <w:tc>
          <w:tcPr>
            <w:tcW w:type="dxa" w:w="3081"/>
            <w:vAlign w:val="center"/>
          </w:tcPr>
          <w:p>
            <w:pPr>
              <w:spacing w:after="20"/>
            </w:pPr>
            <w:r>
              <w:rPr>
                <w:sz w:val="16"/>
              </w:rPr>
              <w:t>画面灰化淡化直至纯白</w:t>
            </w:r>
          </w:p>
        </w:tc>
        <w:tc>
          <w:tcPr>
            <w:tcW w:type="dxa" w:w="3081"/>
            <w:vAlign w:val="center"/>
          </w:tcPr>
          <w:p>
            <w:pPr>
              <w:spacing w:after="20"/>
            </w:pPr>
            <w:r>
              <w:rPr>
                <w:sz w:val="16"/>
              </w:rPr>
              <w:t>所有声音同步渐弱直至无声</w:t>
            </w:r>
          </w:p>
        </w:tc>
      </w:tr>
    </w:tbl>
    <w:p>
      <w:pPr>
        <w:pStyle w:val="Heading1"/>
      </w:pPr>
      <w:r>
        <w:t>06  不得擅自改变的原始台词</w:t>
      </w:r>
    </w:p>
    <w:p>
      <w:pPr>
        <w:pStyle w:val="ListBullet"/>
      </w:pPr>
      <w:r>
        <w:t>电话响起时，女主：“你觉得他能接吗？”</w:t>
      </w:r>
    </w:p>
    <w:p>
      <w:pPr>
        <w:pStyle w:val="ListBullet"/>
      </w:pPr>
      <w:r>
        <w:t>女二（停顿约一秒）：“可能会吧。”</w:t>
      </w:r>
    </w:p>
    <w:p>
      <w:pPr>
        <w:pStyle w:val="ListBullet"/>
      </w:pPr>
      <w:r>
        <w:t>拒接之后，女主：“唉，看来还是不想见我。”</w:t>
      </w:r>
    </w:p>
    <w:p>
      <w:r>
        <w:t>特别说明：在电话未接通、甚至已拒接之后，仍能听见女声是原分镜中梦境般的叙事设置，不是需要修正的通讯逻辑错误。</w:t>
      </w:r>
    </w:p>
    <w:p>
      <w:pPr>
        <w:pStyle w:val="Heading1"/>
      </w:pPr>
      <w:r>
        <w:t>07  推荐的制作路线（尚非已实现工程）</w:t>
      </w:r>
    </w:p>
    <w:p>
      <w:pPr>
        <w:pStyle w:val="ListBullet"/>
      </w:pPr>
      <w:r>
        <w:t>技术候选：Remotion + React/TypeScript + SVG 曲线角色；第一镜必要时用 Three.js / 2.5D 辅助摄影机；FFmpeg 合成视频和音轨。</w:t>
      </w:r>
    </w:p>
    <w:p>
      <w:pPr>
        <w:pStyle w:val="ListBullet"/>
      </w:pPr>
      <w:r>
        <w:t>先做男主/路口/手机视觉风格测试，再验证复杂的第 1 镜与第 5–6 镜声音和手机动作。</w:t>
      </w:r>
    </w:p>
    <w:p>
      <w:pPr>
        <w:pStyle w:val="ListBullet"/>
      </w:pPr>
      <w:r>
        <w:t>通过测试后才分镜制作、输出片段、混音，并渲染完整 1080p30 H.264 MP4。</w:t>
      </w:r>
    </w:p>
    <w:p>
      <w:pPr>
        <w:pStyle w:val="ListBullet"/>
      </w:pPr>
      <w:r>
        <w:t>每阶段写 PROGRESS.md，标明实际文件和可重用渲染片段；有需要时提交私有 Git 仓库以便掉线、休眠或限额后续做。</w:t>
      </w:r>
    </w:p>
    <w:p>
      <w:pPr>
        <w:pStyle w:val="Heading1"/>
      </w:pPr>
      <w:r>
        <w:t>08  已明确的冲突处理 / 未定事项</w:t>
      </w:r>
    </w:p>
    <w:p>
      <w:pPr>
        <w:pStyle w:val="ListBullet"/>
      </w:pPr>
      <w:r>
        <w:t>第 6 镜的轻微呼吸同步镜头运动允许；禁止的是无意的随机抖动和画面闪烁。</w:t>
      </w:r>
    </w:p>
    <w:p>
      <w:pPr>
        <w:pStyle w:val="ListBullet"/>
      </w:pPr>
      <w:r>
        <w:t>第 2 镜原分镜“用过手”疑似笔误，暂不指定那只手；第 4–6 镜则明确规定左手持手机、右手食指拒接。</w:t>
      </w:r>
    </w:p>
    <w:p>
      <w:pPr>
        <w:pStyle w:val="ListBullet"/>
      </w:pPr>
      <w:r>
        <w:t>第 6 镜说明称女主女二对话继续，但台词表只给出女主一句；不能自行添加女二对白。</w:t>
      </w:r>
    </w:p>
    <w:p>
      <w:pPr>
        <w:pStyle w:val="ListBullet"/>
      </w:pPr>
      <w:r>
        <w:t>配音来源、耳机剧情音乐素材、精确调色参数仍待视觉/声音小样验证。</w:t>
      </w:r>
    </w:p>
    <w:p>
      <w:pPr>
        <w:pStyle w:val="Heading1"/>
      </w:pPr>
      <w:r>
        <w:t>09  ZIP 包内容与下次交付指令</w:t>
      </w:r>
    </w:p>
    <w:p>
      <w:r>
        <w:t>ZIP 内含：AGENTS.md（持续约束）、PROJECT_SPEC.md（创作要求）、SHOTLIST.md（七镜原文）、AUDIO_PLAN.md（声音时序）、PROGRESS.md（续做状态）、CODEX_START_PROMPT.txt（首次对话）以及 source/ 中的原始 Excel 和 Word。先读资料、复述核对；等用户明确同意才开始代码与小样制作。</w:t>
      </w:r>
    </w:p>
    <w:sectPr w:rsidR="00FC693F" w:rsidRPr="0006063C" w:rsidSect="00034616">
      <w:headerReference w:type="default" r:id="rId9"/>
      <w:footerReference w:type="default" r:id="rId10"/>
      <w:pgSz w:w="11906" w:h="16838"/>
      <w:pgMar w:top="1162" w:right="1332" w:bottom="1106"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828B"/>
        <w:sz w:val="14"/>
      </w:rPr>
      <w:t xml:space="preserve">创作需求交接文档  |  2026-10-26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78593"/>
        <w:sz w:val="14"/>
      </w:rPr>
      <w:t>DREAM ANIMATION  /  51-SECOND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Noto Sans CJK SC" w:hAnsi="Noto Sans CJK SC" w:eastAsia="Noto Sans CJK SC"/>
      <w:color w:val="232F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Noto Sans CJK SC" w:hAnsi="Noto Sans CJK SC" w:eastAsia="Noto Sans CJK SC"/>
      <w:b/>
      <w:bCs/>
      <w:color w:val="233A4D"/>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Noto Sans CJK SC" w:hAnsi="Noto Sans CJK SC" w:eastAsia="Noto Sans CJK SC"/>
      <w:b/>
      <w:bCs/>
      <w:color w:val="364B5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80"/>
      <w:contextualSpacing/>
    </w:pPr>
    <w:rPr>
      <w:rFonts w:asciiTheme="majorHAnsi" w:eastAsiaTheme="majorEastAsia" w:hAnsiTheme="majorHAnsi" w:cstheme="majorBidi" w:ascii="Noto Sans CJK SC" w:hAnsi="Noto Sans CJK SC" w:eastAsia="Noto Sans CJK SC"/>
      <w:b/>
      <w:color w:val="1727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