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540888A3"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Pr="00307C4E">
        <w:rPr>
          <w:rFonts w:cs="Times New Roman"/>
          <w:bCs/>
          <w:sz w:val="24"/>
          <w:szCs w:val="24"/>
          <w:lang w:eastAsia="en-US"/>
        </w:rPr>
        <w:t>, Zhengjia Chen</w:t>
      </w:r>
      <w:r w:rsidRPr="00D265FB">
        <w:rPr>
          <w:sz w:val="24"/>
          <w:szCs w:val="24"/>
          <w:vertAlign w:val="superscript"/>
        </w:rPr>
        <w:t>1</w:t>
      </w:r>
    </w:p>
    <w:p w14:paraId="017C8941" w14:textId="666EAE01" w:rsidR="00FC22EA" w:rsidRDefault="00937097"/>
    <w:p w14:paraId="3F163F92" w14:textId="53918A65" w:rsidR="00307C4E" w:rsidRDefault="00307C4E"/>
    <w:p w14:paraId="1177340A" w14:textId="251413F7" w:rsidR="00307C4E" w:rsidRDefault="00307C4E"/>
    <w:p w14:paraId="0E4EA447" w14:textId="7A00FE72" w:rsidR="00307C4E" w:rsidRPr="00493CE7" w:rsidRDefault="00307C4E">
      <w:pPr>
        <w:rPr>
          <w:sz w:val="24"/>
          <w:szCs w:val="24"/>
        </w:rPr>
      </w:pP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02349AF6" w14:textId="77777777" w:rsidR="00493CE7" w:rsidRPr="00D720BD" w:rsidRDefault="00493CE7" w:rsidP="00493CE7">
      <w:pPr>
        <w:spacing w:after="0" w:line="360" w:lineRule="auto"/>
        <w:rPr>
          <w:rFonts w:eastAsia="Times New Roman"/>
          <w:b/>
          <w:bCs/>
          <w:color w:val="000000"/>
          <w:sz w:val="24"/>
          <w:szCs w:val="24"/>
        </w:rPr>
      </w:pPr>
      <w:r w:rsidRPr="00D720BD">
        <w:rPr>
          <w:sz w:val="24"/>
          <w:szCs w:val="24"/>
        </w:rPr>
        <w:t>Running Title: EWOUC-NETS design</w:t>
      </w:r>
    </w:p>
    <w:p w14:paraId="6234AF98" w14:textId="1A41576D" w:rsidR="00307C4E" w:rsidRDefault="00307C4E"/>
    <w:p w14:paraId="57C3B814" w14:textId="0A79BC0C" w:rsidR="00307C4E" w:rsidRDefault="00307C4E"/>
    <w:p w14:paraId="7B2FD798" w14:textId="756EEE1B" w:rsidR="00307C4E" w:rsidRDefault="00307C4E"/>
    <w:p w14:paraId="3BB186CF" w14:textId="248D7690" w:rsidR="00307C4E" w:rsidRDefault="00307C4E"/>
    <w:p w14:paraId="620A311A" w14:textId="3C0A9487" w:rsidR="00307C4E" w:rsidRDefault="00307C4E"/>
    <w:p w14:paraId="7CF0CFF6" w14:textId="3D67172A" w:rsidR="00307C4E" w:rsidRDefault="00307C4E"/>
    <w:p w14:paraId="36F07768" w14:textId="42219FC2" w:rsidR="00307C4E" w:rsidRDefault="00307C4E"/>
    <w:p w14:paraId="1EFA9A30" w14:textId="0EF9EC92" w:rsidR="00307C4E" w:rsidRDefault="00307C4E"/>
    <w:p w14:paraId="6CFC2B78" w14:textId="211C7BA1" w:rsidR="00307C4E" w:rsidRDefault="00307C4E"/>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353CED32"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5E4EC0">
        <w:rPr>
          <w:rFonts w:eastAsia="Times New Roman"/>
          <w:color w:val="000000"/>
          <w:sz w:val="24"/>
          <w:szCs w:val="24"/>
        </w:rPr>
        <w:t xml:space="preserve">Chen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we developed EWOUC-NETS based on these two methods to combine their advantages. Additionally,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five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the </w:t>
      </w:r>
      <w:r w:rsidR="00314467">
        <w:rPr>
          <w:rFonts w:eastAsia="Times New Roman"/>
          <w:color w:val="000000"/>
          <w:sz w:val="24"/>
          <w:szCs w:val="24"/>
        </w:rPr>
        <w:t>efficacy</w:t>
      </w:r>
      <w:r w:rsidR="00455157">
        <w:rPr>
          <w:rFonts w:eastAsia="Times New Roman"/>
          <w:color w:val="000000"/>
          <w:sz w:val="24"/>
          <w:szCs w:val="24"/>
        </w:rPr>
        <w:t xml:space="preserve"> reduced the probability of excess doses in almost all scenarios</w:t>
      </w:r>
      <w:r w:rsidR="00314467">
        <w:rPr>
          <w:rFonts w:eastAsia="Times New Roman"/>
          <w:color w:val="000000"/>
          <w:sz w:val="24"/>
          <w:szCs w:val="24"/>
        </w:rPr>
        <w:t>.</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439F2771" w:rsidR="001F0114" w:rsidRDefault="004F4502" w:rsidP="006849AA">
      <w:pPr>
        <w:ind w:firstLine="720"/>
        <w:rPr>
          <w:rFonts w:eastAsia="Times New Roman"/>
          <w:color w:val="000000"/>
          <w:sz w:val="24"/>
          <w:szCs w:val="24"/>
        </w:rPr>
      </w:pPr>
      <w:r>
        <w:rPr>
          <w:rFonts w:eastAsia="Times New Roman"/>
          <w:color w:val="000000"/>
          <w:sz w:val="24"/>
          <w:szCs w:val="24"/>
        </w:rPr>
        <w:t>One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to MTD estimation under safe </w:t>
      </w:r>
      <w:r w:rsidR="00EA2AA7">
        <w:rPr>
          <w:rFonts w:eastAsia="Times New Roman"/>
          <w:color w:val="000000"/>
          <w:sz w:val="24"/>
          <w:szCs w:val="24"/>
        </w:rPr>
        <w:lastRenderedPageBreak/>
        <w:t>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Among a variety of existing Phase I clinical trial designs, escalation with overdose control </w:t>
      </w:r>
      <w:r w:rsidR="005964D9">
        <w:rPr>
          <w:rFonts w:eastAsia="Times New Roman"/>
          <w:color w:val="000000"/>
          <w:sz w:val="24"/>
          <w:szCs w:val="24"/>
        </w:rPr>
        <w:t>(EWOC)</w:t>
      </w:r>
      <w:r w:rsidR="00D23B7F">
        <w:rPr>
          <w:rFonts w:eastAsia="Times New Roman"/>
          <w:color w:val="000000"/>
          <w:sz w:val="24"/>
          <w:szCs w:val="24"/>
        </w:rPr>
        <w:t>, proposed by [1], 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For instance, [2] have developed a method utilizing varying feasibility bound </w:t>
      </w:r>
      <w:r w:rsidR="00EB47FA">
        <w:rPr>
          <w:rFonts w:eastAsia="Times New Roman"/>
          <w:color w:val="000000"/>
          <w:sz w:val="24"/>
          <w:szCs w:val="24"/>
        </w:rPr>
        <w:t xml:space="preserve">in the EWOUC design. </w:t>
      </w:r>
      <w:r w:rsidR="00561B04">
        <w:rPr>
          <w:rFonts w:eastAsia="Times New Roman"/>
          <w:color w:val="000000"/>
          <w:sz w:val="24"/>
          <w:szCs w:val="24"/>
        </w:rPr>
        <w:t xml:space="preserve">In addition, </w:t>
      </w:r>
      <w:r w:rsidR="00A47101">
        <w:rPr>
          <w:rFonts w:eastAsia="Times New Roman"/>
          <w:color w:val="000000"/>
          <w:sz w:val="24"/>
          <w:szCs w:val="24"/>
        </w:rPr>
        <w:t xml:space="preserve">[3] proposed a novel normalized equivalent toxicity </w:t>
      </w:r>
      <w:r w:rsidR="00F4543A">
        <w:rPr>
          <w:rFonts w:eastAsia="Times New Roman"/>
          <w:color w:val="000000"/>
          <w:sz w:val="24"/>
          <w:szCs w:val="24"/>
        </w:rPr>
        <w:t xml:space="preserve">score (NETS) system to fully utilize the toxicity information of patients and </w:t>
      </w:r>
      <w:r w:rsidR="00F749B0">
        <w:rPr>
          <w:rFonts w:eastAsia="Times New Roman"/>
          <w:color w:val="000000"/>
          <w:sz w:val="24"/>
          <w:szCs w:val="24"/>
        </w:rPr>
        <w:t>integrated NETS with EWOC</w:t>
      </w:r>
      <w:r w:rsidR="001F6BA4">
        <w:rPr>
          <w:rFonts w:eastAsia="Times New Roman"/>
          <w:color w:val="000000"/>
          <w:sz w:val="24"/>
          <w:szCs w:val="24"/>
        </w:rPr>
        <w:t>, called EWOC-NETS, which can increase the accuracy of the EWOC estimation.</w:t>
      </w:r>
      <w:r w:rsidR="00F22549">
        <w:rPr>
          <w:rFonts w:eastAsia="Times New Roman"/>
          <w:color w:val="000000"/>
          <w:sz w:val="24"/>
          <w:szCs w:val="24"/>
        </w:rPr>
        <w:t xml:space="preserve"> [4] proposed </w:t>
      </w:r>
      <w:r w:rsidR="00ED168A">
        <w:rPr>
          <w:rFonts w:eastAsia="Times New Roman"/>
          <w:color w:val="000000"/>
          <w:sz w:val="24"/>
          <w:szCs w:val="24"/>
        </w:rPr>
        <w:t xml:space="preserve">another extended version of EWOC – dose escalation with overdose and underdose 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This method provides patients with at least minimum drug efficacy.</w:t>
      </w:r>
      <w:r w:rsidR="006E78DA">
        <w:rPr>
          <w:rFonts w:eastAsia="Times New Roman"/>
          <w:color w:val="000000"/>
          <w:sz w:val="24"/>
          <w:szCs w:val="24"/>
        </w:rPr>
        <w:t xml:space="preserve"> </w:t>
      </w:r>
    </w:p>
    <w:p w14:paraId="221608F5" w14:textId="2CBEBABF" w:rsidR="006E78DA" w:rsidRDefault="006E78DA" w:rsidP="006849AA">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p>
    <w:p w14:paraId="5457E050" w14:textId="47F19274" w:rsidR="006C296F" w:rsidRDefault="00CA38CC" w:rsidP="006849AA">
      <w:pPr>
        <w:ind w:firstLine="720"/>
        <w:rPr>
          <w:sz w:val="24"/>
          <w:szCs w:val="24"/>
        </w:rPr>
      </w:pPr>
      <w:r w:rsidRPr="00C05D3D">
        <w:rPr>
          <w:sz w:val="24"/>
          <w:szCs w:val="24"/>
        </w:rPr>
        <w:lastRenderedPageBreak/>
        <w:t xml:space="preserve">[5] </w:t>
      </w:r>
      <w:r w:rsidR="00360C41" w:rsidRPr="00C05D3D">
        <w:rPr>
          <w:sz w:val="24"/>
          <w:szCs w:val="24"/>
        </w:rPr>
        <w:t>proposed an adaptive dose-finding approach for treating correlated bivariate binary toxicity and continuous efficacy outcomes</w:t>
      </w:r>
      <w:r w:rsidR="00A1613D" w:rsidRPr="00C05D3D">
        <w:rPr>
          <w:sz w:val="24"/>
          <w:szCs w:val="24"/>
        </w:rPr>
        <w:t xml:space="preserve">. Incorporating this method and NETS, we propose a new </w:t>
      </w:r>
      <w:r w:rsidR="00AE2471" w:rsidRPr="00C05D3D">
        <w:rPr>
          <w:sz w:val="24"/>
          <w:szCs w:val="24"/>
        </w:rPr>
        <w:t>Bayesian dose-finding method 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7541BB" w:rsidRPr="00C05D3D">
        <w:rPr>
          <w:sz w:val="24"/>
          <w:szCs w:val="24"/>
        </w:rPr>
        <w:t xml:space="preserve"> </w:t>
      </w:r>
      <w:r w:rsidR="004A1FCD">
        <w:rPr>
          <w:sz w:val="24"/>
          <w:szCs w:val="24"/>
        </w:rPr>
        <w:t xml:space="preserve">Our design treats </w:t>
      </w:r>
      <w:r w:rsidR="003A47F9">
        <w:rPr>
          <w:sz w:val="24"/>
          <w:szCs w:val="24"/>
        </w:rPr>
        <w:t>toxicity and efficacy as dual endpoin</w:t>
      </w:r>
      <w:r w:rsidR="00A92013">
        <w:rPr>
          <w:sz w:val="24"/>
          <w:szCs w:val="24"/>
        </w:rPr>
        <w:t>t</w:t>
      </w:r>
      <w:r w:rsidR="003A47F9">
        <w:rPr>
          <w:rFonts w:hint="eastAsia"/>
          <w:sz w:val="24"/>
          <w:szCs w:val="24"/>
        </w:rPr>
        <w:t>s</w:t>
      </w:r>
      <w:r w:rsidR="003A47F9">
        <w:rPr>
          <w:sz w:val="24"/>
          <w:szCs w:val="24"/>
        </w:rPr>
        <w:t>.</w:t>
      </w:r>
    </w:p>
    <w:p w14:paraId="198C453C" w14:textId="12032A9F" w:rsidR="00E67FB8" w:rsidRDefault="00E67FB8">
      <w:pPr>
        <w:rPr>
          <w:sz w:val="24"/>
          <w:szCs w:val="24"/>
        </w:rPr>
      </w:pPr>
      <w:r>
        <w:rPr>
          <w:sz w:val="24"/>
          <w:szCs w:val="24"/>
        </w:rPr>
        <w:tab/>
      </w:r>
      <w:r w:rsidR="00E60159">
        <w:rPr>
          <w:sz w:val="24"/>
          <w:szCs w:val="24"/>
        </w:rPr>
        <w:t xml:space="preserve">Although toxicity outcomes can be observed in time, efficacy outcomes usually take longer time to estimated. This means that the efficacy outcomes cannot be observed quickly enough to apply the adaptive decision rule to determine the recommended dose for new </w:t>
      </w:r>
      <w:r w:rsidR="00210B75">
        <w:rPr>
          <w:sz w:val="24"/>
          <w:szCs w:val="24"/>
        </w:rPr>
        <w:t>patients.</w:t>
      </w:r>
      <w:r w:rsidR="00C73D99">
        <w:rPr>
          <w:sz w:val="24"/>
          <w:szCs w:val="24"/>
        </w:rPr>
        <w:t xml:space="preserve"> In order to solve the problem of delay in efficacy estimation, we extended our methodology using data augmentation (DA), proposed by [6]. We refer to the </w:t>
      </w:r>
      <w:r w:rsidR="00314BAF">
        <w:rPr>
          <w:sz w:val="24"/>
          <w:szCs w:val="24"/>
        </w:rPr>
        <w:t>new design as the EWOUC-NETS-DA. It contains EWOUC-NETS as a special case with efficacy outcomes immediately observable.</w:t>
      </w:r>
      <w:r w:rsidR="00344014">
        <w:rPr>
          <w:sz w:val="24"/>
          <w:szCs w:val="24"/>
        </w:rPr>
        <w:t xml:space="preserve"> We only consider efficacy outcomes to be delayed because in most cases </w:t>
      </w:r>
      <w:r w:rsidR="007D15C3">
        <w:rPr>
          <w:sz w:val="24"/>
          <w:szCs w:val="24"/>
        </w:rPr>
        <w:t xml:space="preserve">toxicity of cytotoxic agents is acute. Nevertheless, this data-augmentation method can be also applied on delayed toxicity </w:t>
      </w:r>
      <w:r w:rsidR="0079778D">
        <w:rPr>
          <w:sz w:val="24"/>
          <w:szCs w:val="24"/>
        </w:rPr>
        <w:t>as well [6].</w:t>
      </w:r>
    </w:p>
    <w:p w14:paraId="1E86C532" w14:textId="305A2600" w:rsidR="00060F60" w:rsidRDefault="00060F60">
      <w:pPr>
        <w:rPr>
          <w:sz w:val="24"/>
          <w:szCs w:val="24"/>
        </w:rPr>
      </w:pPr>
      <w:r>
        <w:rPr>
          <w:sz w:val="24"/>
          <w:szCs w:val="24"/>
        </w:rPr>
        <w:tab/>
        <w:t xml:space="preserve">Our methodology is established based on the EWOUC 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minimal efficacy at the same time. However, it </w:t>
      </w:r>
      <w:r w:rsidR="008F0917">
        <w:rPr>
          <w:sz w:val="24"/>
          <w:szCs w:val="24"/>
        </w:rPr>
        <w:t>does not incorporate NETS and still treats efficacy as binary indicator.</w:t>
      </w:r>
      <w:r w:rsidR="00930E03">
        <w:rPr>
          <w:sz w:val="24"/>
          <w:szCs w:val="24"/>
        </w:rPr>
        <w:t xml:space="preserve"> This motivated us to develop new designs with aims: (1) </w:t>
      </w:r>
      <w:r w:rsidR="00B3766E">
        <w:rPr>
          <w:sz w:val="24"/>
          <w:szCs w:val="24"/>
        </w:rPr>
        <w:t>Use NETS to estimate toxicity outcome</w:t>
      </w:r>
      <w:r w:rsidR="00B42088">
        <w:rPr>
          <w:sz w:val="24"/>
          <w:szCs w:val="24"/>
        </w:rPr>
        <w:t>; (2) Use continuous efficacy outcome; (3) accommodate delayed efficacy to support continual patient enrollment.</w:t>
      </w:r>
    </w:p>
    <w:p w14:paraId="0D709FC0" w14:textId="0613A90C" w:rsidR="00D57BEB" w:rsidRDefault="00D57BEB">
      <w:pPr>
        <w:rPr>
          <w:sz w:val="24"/>
          <w:szCs w:val="24"/>
        </w:rPr>
      </w:pPr>
      <w:r>
        <w:rPr>
          <w:sz w:val="24"/>
          <w:szCs w:val="24"/>
        </w:rPr>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the probability models, dose finding algorithm and DA method</w:t>
      </w:r>
      <w:r w:rsidR="00391A1C">
        <w:rPr>
          <w:sz w:val="24"/>
          <w:szCs w:val="24"/>
        </w:rPr>
        <w:t xml:space="preserve"> to deal with delayed efficacy </w:t>
      </w:r>
      <w:r w:rsidR="00391A1C">
        <w:rPr>
          <w:sz w:val="24"/>
          <w:szCs w:val="24"/>
        </w:rPr>
        <w:lastRenderedPageBreak/>
        <w:t xml:space="preserve">outcome. In Section 3, extensive simulations are presented to evaluate the performance of </w:t>
      </w:r>
      <w:r w:rsidR="006849AA">
        <w:rPr>
          <w:sz w:val="24"/>
          <w:szCs w:val="24"/>
        </w:rPr>
        <w:t>the EWOUC-NETS and the EWOUC-NETS-DA. In Section 4, we summarized the operating characteristics of our new design.</w:t>
      </w:r>
    </w:p>
    <w:p w14:paraId="3B48DCD2" w14:textId="754C2540" w:rsidR="001E2559" w:rsidRDefault="001E2559">
      <w:pPr>
        <w:rPr>
          <w:sz w:val="24"/>
          <w:szCs w:val="24"/>
        </w:rPr>
      </w:pPr>
    </w:p>
    <w:p w14:paraId="25BB1824" w14:textId="58585299" w:rsidR="00D12E99" w:rsidRPr="002E0B28" w:rsidRDefault="001E2559" w:rsidP="00D12E99">
      <w:pPr>
        <w:pStyle w:val="ListParagraph"/>
        <w:numPr>
          <w:ilvl w:val="0"/>
          <w:numId w:val="1"/>
        </w:numPr>
        <w:rPr>
          <w:b/>
          <w:bCs/>
          <w:sz w:val="24"/>
          <w:szCs w:val="24"/>
        </w:rPr>
      </w:pPr>
      <w:r w:rsidRPr="002E0B28">
        <w:rPr>
          <w:b/>
          <w:bCs/>
          <w:sz w:val="24"/>
          <w:szCs w:val="24"/>
        </w:rPr>
        <w:t>Methods</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7A27D9EE" w14:textId="1A588F19" w:rsidR="00D12E99"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 but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 which lost a lot of information. So,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937097"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339B93B9"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 jth toxicity level of the ith patient,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Pr="00D265FB">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jth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w:t>
      </w:r>
      <w:proofErr w:type="gramStart"/>
      <w:r w:rsidRPr="00D265FB">
        <w:rPr>
          <w:sz w:val="24"/>
          <w:szCs w:val="24"/>
        </w:rPr>
        <w:t>0.5.</w:t>
      </w:r>
      <w:proofErr w:type="gramEnd"/>
      <w:r w:rsidRPr="00D265FB">
        <w:rPr>
          <w:sz w:val="24"/>
          <w:szCs w:val="24"/>
        </w:rPr>
        <w:t xml:space="preserve">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t>
      </w:r>
      <w:r w:rsidR="0017107F">
        <w:rPr>
          <w:sz w:val="24"/>
          <w:szCs w:val="24"/>
        </w:rPr>
        <w:lastRenderedPageBreak/>
        <w:t xml:space="preserve">with range 0 to 1 since the maximum possible value. </w:t>
      </w:r>
      <w:r w:rsidRPr="00D265FB">
        <w:rPr>
          <w:sz w:val="24"/>
          <w:szCs w:val="24"/>
        </w:rPr>
        <w:t>See Table 1 for specific numerical correspondence</w:t>
      </w:r>
      <w:r w:rsidR="0017107F">
        <w:rPr>
          <w:sz w:val="24"/>
          <w:szCs w:val="24"/>
        </w:rPr>
        <w:t>.</w:t>
      </w:r>
    </w:p>
    <w:p w14:paraId="727EDE9F" w14:textId="0B4A59E0" w:rsidR="00110F97" w:rsidRDefault="00110F97" w:rsidP="00D12E99">
      <w:pPr>
        <w:spacing w:after="0"/>
        <w:rPr>
          <w:iCs/>
        </w:rPr>
      </w:pPr>
      <w:r>
        <w:rPr>
          <w:sz w:val="24"/>
          <w:szCs w:val="24"/>
        </w:rPr>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937097"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937097"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6C48E215"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[7] proposed a novel adaptive dose-finding approach to handle correlated continuous efficacy outcome and binary toxicity outcome.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15E69120" w:rsidR="0097121B" w:rsidRPr="0097121B" w:rsidRDefault="00703B37" w:rsidP="0097121B">
      <w:pPr>
        <w:rPr>
          <w:sz w:val="24"/>
          <w:szCs w:val="24"/>
        </w:rPr>
      </w:pPr>
      <w:r w:rsidRPr="0097121B">
        <w:rPr>
          <w:sz w:val="24"/>
          <w:szCs w:val="24"/>
        </w:rPr>
        <w:t>Where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41B93FAA" w:rsidR="00703B37" w:rsidRPr="00B94347" w:rsidRDefault="00C06D86" w:rsidP="00725C9D">
      <w:pPr>
        <w:rPr>
          <w:sz w:val="24"/>
          <w:szCs w:val="24"/>
        </w:rPr>
      </w:pPr>
      <w:r>
        <w:t xml:space="preserve">Where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rFonts w:hint="eastAsia"/>
          <w:sz w:val="24"/>
          <w:szCs w:val="24"/>
        </w:rPr>
        <w:t>T</w:t>
      </w:r>
      <w:r w:rsidR="00725C9D" w:rsidRPr="00B94347">
        <w:rPr>
          <w:sz w:val="24"/>
          <w:szCs w:val="24"/>
        </w:rPr>
        <w:t>his is the multiplicative heteroscedasticity proposed by Harvey [8].</w:t>
      </w:r>
      <w:r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6AD699A5"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09788BF4" w:rsidR="003010A5" w:rsidRPr="003010A5" w:rsidRDefault="003010A5" w:rsidP="003010A5">
      <w:pPr>
        <w:rPr>
          <w:sz w:val="24"/>
          <w:szCs w:val="24"/>
        </w:rPr>
      </w:pPr>
      <w:r w:rsidRPr="003010A5">
        <w:rPr>
          <w:iCs/>
          <w:sz w:val="24"/>
          <w:szCs w:val="24"/>
        </w:rPr>
        <w:t xml:space="preserve">Where </w:t>
      </w:r>
      <m:oMath>
        <m:r>
          <w:rPr>
            <w:rFonts w:ascii="Cambria Math" w:hAnsi="Cambria Math"/>
            <w:sz w:val="24"/>
            <w:szCs w:val="24"/>
          </w:rPr>
          <m:t>τ</m:t>
        </m:r>
      </m:oMath>
      <w:r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3010A5">
        <w:rPr>
          <w:sz w:val="24"/>
          <w:szCs w:val="24"/>
        </w:rPr>
        <w:t xml:space="preserve"> on S. Large absolute values of </w:t>
      </w:r>
      <m:oMath>
        <m:r>
          <w:rPr>
            <w:rFonts w:ascii="Cambria Math" w:hAnsi="Cambria Math"/>
            <w:sz w:val="24"/>
            <w:szCs w:val="24"/>
          </w:rPr>
          <m:t>τ</m:t>
        </m:r>
      </m:oMath>
      <w:r w:rsidRPr="003010A5">
        <w:rPr>
          <w:sz w:val="24"/>
          <w:szCs w:val="24"/>
        </w:rPr>
        <w:t xml:space="preserve"> indicate a strong correlation between the two </w:t>
      </w:r>
      <w:proofErr w:type="gramStart"/>
      <w:r w:rsidRPr="003010A5">
        <w:rPr>
          <w:sz w:val="24"/>
          <w:szCs w:val="24"/>
        </w:rPr>
        <w:t>outcomes.</w:t>
      </w:r>
      <w:proofErr w:type="gramEnd"/>
      <w:r w:rsidRPr="003010A5">
        <w:rPr>
          <w:sz w:val="24"/>
          <w:szCs w:val="24"/>
        </w:rPr>
        <w:t xml:space="preserve"> When </w:t>
      </w:r>
      <m:oMath>
        <m:r>
          <w:rPr>
            <w:rFonts w:ascii="Cambria Math" w:hAnsi="Cambria Math"/>
            <w:sz w:val="24"/>
            <w:szCs w:val="24"/>
          </w:rPr>
          <m:t>τ</m:t>
        </m:r>
      </m:oMath>
      <w:r w:rsidRPr="003010A5">
        <w:rPr>
          <w:sz w:val="24"/>
          <w:szCs w:val="24"/>
        </w:rPr>
        <w:t xml:space="preserve"> = 0, the two outcomes are independent given the dose level of </w:t>
      </w:r>
      <w:r w:rsidR="005A4089">
        <w:rPr>
          <w:sz w:val="24"/>
          <w:szCs w:val="24"/>
        </w:rPr>
        <w:t xml:space="preserve">the </w:t>
      </w:r>
      <w:r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lastRenderedPageBreak/>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937097"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937097"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937097"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937097"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937097"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937097"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lastRenderedPageBreak/>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937097"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937097"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1E3ACF02"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62B64F84" w:rsidR="00733222" w:rsidRDefault="00733222" w:rsidP="00733222">
      <w:pPr>
        <w:rPr>
          <w:iCs/>
          <w:sz w:val="24"/>
          <w:szCs w:val="24"/>
        </w:rPr>
      </w:pPr>
      <w:r>
        <w:rPr>
          <w:iCs/>
          <w:sz w:val="24"/>
          <w:szCs w:val="24"/>
        </w:rPr>
        <w:t xml:space="preserve">Where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17DD204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be terminated early without a dose level being recommended, or new higher dose levels need to </w:t>
      </w:r>
      <w:r w:rsidR="005D503C" w:rsidRPr="00D265FB">
        <w:rPr>
          <w:color w:val="343434"/>
          <w:kern w:val="0"/>
          <w:sz w:val="24"/>
          <w:szCs w:val="24"/>
        </w:rPr>
        <w:lastRenderedPageBreak/>
        <w:t>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43BFC378" w:rsidR="007A2863" w:rsidRDefault="00C93B43" w:rsidP="00A55C25">
      <w:pPr>
        <w:spacing w:after="0"/>
        <w:ind w:firstLine="720"/>
        <w:rPr>
          <w:sz w:val="24"/>
          <w:szCs w:val="24"/>
        </w:rPr>
      </w:pPr>
      <w:r>
        <w:rPr>
          <w:color w:val="343434"/>
          <w:kern w:val="0"/>
          <w:sz w:val="24"/>
          <w:szCs w:val="24"/>
        </w:rPr>
        <w:t>As [4] proposed for the EWOUC method,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24744CD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761283">
        <w:rPr>
          <w:color w:val="343434"/>
          <w:kern w:val="0"/>
          <w:sz w:val="24"/>
          <w:szCs w:val="24"/>
        </w:rPr>
        <w:t>4</w:t>
      </w:r>
      <w:r w:rsidR="00845EEF">
        <w:rPr>
          <w:color w:val="343434"/>
          <w:kern w:val="0"/>
          <w:sz w:val="24"/>
          <w:szCs w:val="24"/>
        </w:rPr>
        <w:t>]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This under-dose control method has also been proved to be efficient in [4].</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77777777"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B43D36">
        <w:rPr>
          <w:iCs/>
          <w:color w:val="343434"/>
          <w:kern w:val="0"/>
          <w:sz w:val="24"/>
          <w:szCs w:val="24"/>
        </w:rPr>
        <w:t>,</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323EC095" w14:textId="77777777" w:rsidR="00A55C25" w:rsidRPr="00A55C25" w:rsidRDefault="00A55C25" w:rsidP="00A55C25">
      <w:pPr>
        <w:pStyle w:val="ListParagraph"/>
        <w:spacing w:after="0"/>
        <w:ind w:left="1080"/>
        <w:rPr>
          <w:iCs/>
          <w:color w:val="343434"/>
          <w:kern w:val="0"/>
          <w:sz w:val="24"/>
          <w:szCs w:val="24"/>
        </w:rPr>
      </w:pPr>
    </w:p>
    <w:p w14:paraId="00E63FE3" w14:textId="59D2A10A" w:rsidR="00A55C25" w:rsidRPr="0052437D" w:rsidRDefault="00A55C25" w:rsidP="0052437D">
      <w:pPr>
        <w:pStyle w:val="ListParagraph"/>
        <w:numPr>
          <w:ilvl w:val="1"/>
          <w:numId w:val="1"/>
        </w:numPr>
        <w:spacing w:after="0"/>
        <w:rPr>
          <w:b/>
          <w:bCs/>
          <w:i/>
          <w:color w:val="343434"/>
          <w:kern w:val="0"/>
          <w:sz w:val="24"/>
          <w:szCs w:val="24"/>
        </w:rPr>
      </w:pPr>
      <w:r w:rsidRPr="0052437D">
        <w:rPr>
          <w:b/>
          <w:bCs/>
          <w:i/>
          <w:color w:val="343434"/>
          <w:kern w:val="0"/>
          <w:sz w:val="24"/>
          <w:szCs w:val="24"/>
        </w:rPr>
        <w:t>Delayed efficacy</w:t>
      </w:r>
    </w:p>
    <w:p w14:paraId="446C71FD" w14:textId="30D2616B" w:rsidR="00A55C25" w:rsidRDefault="00A55C25" w:rsidP="00A55C25">
      <w:pPr>
        <w:spacing w:after="0"/>
        <w:ind w:firstLine="720"/>
        <w:rPr>
          <w:iCs/>
          <w:color w:val="343434"/>
          <w:kern w:val="0"/>
          <w:sz w:val="24"/>
          <w:szCs w:val="24"/>
        </w:rPr>
      </w:pPr>
      <w:r w:rsidRPr="00A55C25">
        <w:rPr>
          <w:iCs/>
          <w:color w:val="343434"/>
          <w:kern w:val="0"/>
          <w:sz w:val="24"/>
          <w:szCs w:val="24"/>
        </w:rPr>
        <w:t xml:space="preserve">In many cases, efficacy outcome is not immediately observable while the toxicity outcome </w:t>
      </w:r>
      <w:r>
        <w:rPr>
          <w:iCs/>
          <w:color w:val="343434"/>
          <w:kern w:val="0"/>
          <w:sz w:val="24"/>
          <w:szCs w:val="24"/>
        </w:rPr>
        <w:t xml:space="preserve">can be quickly ascertainable, resulting in so-called delayed efficacy. Hence, </w:t>
      </w:r>
      <w:r w:rsidR="00EE6640">
        <w:rPr>
          <w:iCs/>
          <w:color w:val="343434"/>
          <w:kern w:val="0"/>
          <w:sz w:val="24"/>
          <w:szCs w:val="24"/>
        </w:rPr>
        <w:t xml:space="preserve">at the moment of deciding the dose assignment, efficacy outcomes of some patients still remain unobserved. These efficacy outcomes are therefore considered missing. </w:t>
      </w:r>
      <w:r w:rsidR="001B7968">
        <w:rPr>
          <w:iCs/>
          <w:color w:val="343434"/>
          <w:kern w:val="0"/>
          <w:sz w:val="24"/>
          <w:szCs w:val="24"/>
        </w:rPr>
        <w:t xml:space="preserve">However, these missing efficacy outcomes cannot be ignored according to [9]. </w:t>
      </w:r>
      <w:r w:rsidR="00090CE3">
        <w:rPr>
          <w:iCs/>
          <w:color w:val="343434"/>
          <w:kern w:val="0"/>
          <w:sz w:val="24"/>
          <w:szCs w:val="24"/>
        </w:rPr>
        <w:t>Hence,</w:t>
      </w:r>
      <w:r w:rsidR="001B7968">
        <w:rPr>
          <w:iCs/>
          <w:color w:val="343434"/>
          <w:kern w:val="0"/>
          <w:sz w:val="24"/>
          <w:szCs w:val="24"/>
        </w:rPr>
        <w:t xml:space="preserve"> we use </w:t>
      </w:r>
      <w:r w:rsidR="00B00D68">
        <w:rPr>
          <w:iCs/>
          <w:color w:val="343434"/>
          <w:kern w:val="0"/>
          <w:sz w:val="24"/>
          <w:szCs w:val="24"/>
        </w:rPr>
        <w:t xml:space="preserve">a Bayesian data augmentation </w:t>
      </w:r>
      <w:r w:rsidR="001B7968">
        <w:rPr>
          <w:iCs/>
          <w:color w:val="343434"/>
          <w:kern w:val="0"/>
          <w:sz w:val="24"/>
          <w:szCs w:val="24"/>
        </w:rPr>
        <w:t>method</w:t>
      </w:r>
      <w:r w:rsidR="00B00D68">
        <w:rPr>
          <w:iCs/>
          <w:color w:val="343434"/>
          <w:kern w:val="0"/>
          <w:sz w:val="24"/>
          <w:szCs w:val="24"/>
        </w:rPr>
        <w:t xml:space="preserve"> proposed</w:t>
      </w:r>
      <w:r w:rsidR="001B7968">
        <w:rPr>
          <w:iCs/>
          <w:color w:val="343434"/>
          <w:kern w:val="0"/>
          <w:sz w:val="24"/>
          <w:szCs w:val="24"/>
        </w:rPr>
        <w:t xml:space="preserve"> in [4] to handle delayed efficacy.</w:t>
      </w:r>
    </w:p>
    <w:p w14:paraId="3848E1F2" w14:textId="426B023F" w:rsidR="008D67A2" w:rsidRDefault="00A51A6C" w:rsidP="00A51A6C">
      <w:pPr>
        <w:spacing w:after="0"/>
        <w:ind w:firstLine="720"/>
        <w:rPr>
          <w:iCs/>
          <w:color w:val="343434"/>
          <w:kern w:val="0"/>
          <w:sz w:val="24"/>
          <w:szCs w:val="24"/>
        </w:rPr>
      </w:pPr>
      <w:r>
        <w:rPr>
          <w:iCs/>
          <w:color w:val="343434"/>
          <w:kern w:val="0"/>
          <w:sz w:val="24"/>
          <w:szCs w:val="24"/>
        </w:rPr>
        <w:t xml:space="preserve">Let </w:t>
      </w:r>
      <m:oMath>
        <m:r>
          <w:rPr>
            <w:rFonts w:ascii="Cambria Math" w:hAnsi="Cambria Math"/>
            <w:color w:val="343434"/>
            <w:kern w:val="0"/>
            <w:sz w:val="24"/>
            <w:szCs w:val="24"/>
          </w:rPr>
          <m:t>T</m:t>
        </m:r>
      </m:oMath>
      <w:r>
        <w:rPr>
          <w:iCs/>
          <w:color w:val="343434"/>
          <w:kern w:val="0"/>
          <w:sz w:val="24"/>
          <w:szCs w:val="24"/>
        </w:rPr>
        <w:t xml:space="preserve"> denote </w:t>
      </w:r>
      <w:r w:rsidR="00090CE3">
        <w:rPr>
          <w:iCs/>
          <w:color w:val="343434"/>
          <w:kern w:val="0"/>
          <w:sz w:val="24"/>
          <w:szCs w:val="24"/>
        </w:rPr>
        <w:t>a follow-up time window for efficacy evaluation.</w:t>
      </w:r>
      <w:r w:rsidR="00DB54E8">
        <w:rPr>
          <w:iCs/>
          <w:color w:val="343434"/>
          <w:kern w:val="0"/>
          <w:sz w:val="24"/>
          <w:szCs w:val="24"/>
        </w:rPr>
        <w:t xml:space="preserve"> If the </w:t>
      </w:r>
      <m:oMath>
        <m:r>
          <w:rPr>
            <w:rFonts w:ascii="Cambria Math" w:hAnsi="Cambria Math"/>
            <w:color w:val="343434"/>
            <w:kern w:val="0"/>
            <w:sz w:val="24"/>
            <w:szCs w:val="24"/>
          </w:rPr>
          <m:t>i</m:t>
        </m:r>
      </m:oMath>
      <w:r w:rsidR="00DB54E8">
        <w:rPr>
          <w:iCs/>
          <w:color w:val="343434"/>
          <w:kern w:val="0"/>
          <w:sz w:val="24"/>
          <w:szCs w:val="24"/>
        </w:rPr>
        <w:t xml:space="preserve">th patient does not experience any efficacy event within </w:t>
      </w:r>
      <m:oMath>
        <m:r>
          <w:rPr>
            <w:rFonts w:ascii="Cambria Math" w:hAnsi="Cambria Math"/>
            <w:color w:val="343434"/>
            <w:kern w:val="0"/>
            <w:sz w:val="24"/>
            <w:szCs w:val="24"/>
          </w:rPr>
          <m:t>(0,T)</m:t>
        </m:r>
      </m:oMath>
      <w:r w:rsidR="00DB54E8">
        <w:rPr>
          <w:iCs/>
          <w:color w:val="343434"/>
          <w:kern w:val="0"/>
          <w:sz w:val="24"/>
          <w:szCs w:val="24"/>
        </w:rPr>
        <w:t xml:space="preserv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y</m:t>
            </m:r>
          </m:e>
          <m:sub>
            <m:r>
              <w:rPr>
                <w:rFonts w:ascii="Cambria Math" w:hAnsi="Cambria Math"/>
                <w:color w:val="343434"/>
                <w:kern w:val="0"/>
                <w:sz w:val="24"/>
                <w:szCs w:val="24"/>
              </w:rPr>
              <m:t>e,i</m:t>
            </m:r>
          </m:sub>
        </m:sSub>
        <m:r>
          <w:rPr>
            <w:rFonts w:ascii="Cambria Math" w:hAnsi="Cambria Math"/>
            <w:color w:val="343434"/>
            <w:kern w:val="0"/>
            <w:sz w:val="24"/>
            <w:szCs w:val="24"/>
          </w:rPr>
          <m:t>=0</m:t>
        </m:r>
      </m:oMath>
      <w:r w:rsidR="00DB54E8">
        <w:rPr>
          <w:iCs/>
          <w:color w:val="343434"/>
          <w:kern w:val="0"/>
          <w:sz w:val="24"/>
          <w:szCs w:val="24"/>
        </w:rPr>
        <w:t xml:space="preserve">. Let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r</m:t>
            </m:r>
          </m:e>
          <m:sub>
            <m:r>
              <w:rPr>
                <w:rFonts w:ascii="Cambria Math" w:hAnsi="Cambria Math"/>
                <w:color w:val="343434"/>
                <w:kern w:val="0"/>
                <w:sz w:val="24"/>
                <w:szCs w:val="24"/>
              </w:rPr>
              <m:t>i</m:t>
            </m:r>
          </m:sub>
        </m:sSub>
      </m:oMath>
      <w:r w:rsidR="00DB54E8">
        <w:rPr>
          <w:iCs/>
          <w:color w:val="343434"/>
          <w:kern w:val="0"/>
          <w:sz w:val="24"/>
          <w:szCs w:val="24"/>
        </w:rPr>
        <w:t xml:space="preserve"> denote</w:t>
      </w:r>
      <w:r w:rsidR="00EB5BDB">
        <w:rPr>
          <w:iCs/>
          <w:color w:val="343434"/>
          <w:kern w:val="0"/>
          <w:sz w:val="24"/>
          <w:szCs w:val="24"/>
        </w:rPr>
        <w:t xml:space="preserve"> the time to efficacy and let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u</m:t>
            </m:r>
          </m:e>
          <m:sub>
            <m:r>
              <w:rPr>
                <w:rFonts w:ascii="Cambria Math" w:hAnsi="Cambria Math"/>
                <w:color w:val="343434"/>
                <w:kern w:val="0"/>
                <w:sz w:val="24"/>
                <w:szCs w:val="24"/>
              </w:rPr>
              <m:t>i</m:t>
            </m:r>
          </m:sub>
        </m:sSub>
      </m:oMath>
      <w:r w:rsidR="00EB5BDB">
        <w:rPr>
          <w:iCs/>
          <w:color w:val="343434"/>
          <w:kern w:val="0"/>
          <w:sz w:val="24"/>
          <w:szCs w:val="24"/>
        </w:rPr>
        <w:t xml:space="preserve"> denote the </w:t>
      </w:r>
      <w:r w:rsidR="00BB2F3F">
        <w:rPr>
          <w:iCs/>
          <w:color w:val="343434"/>
          <w:kern w:val="0"/>
          <w:sz w:val="24"/>
          <w:szCs w:val="24"/>
        </w:rPr>
        <w:t>actual time that clinical researchers need to make the decision of dose assignment for the next patient.</w:t>
      </w:r>
      <w:r w:rsidR="0010346B">
        <w:rPr>
          <w:iCs/>
          <w:color w:val="343434"/>
          <w:kern w:val="0"/>
          <w:sz w:val="24"/>
          <w:szCs w:val="24"/>
        </w:rPr>
        <w:t xml:space="preserve"> When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u</m:t>
            </m:r>
          </m:e>
          <m:sub>
            <m:r>
              <w:rPr>
                <w:rFonts w:ascii="Cambria Math" w:hAnsi="Cambria Math"/>
                <w:color w:val="343434"/>
                <w:kern w:val="0"/>
                <w:sz w:val="24"/>
                <w:szCs w:val="24"/>
              </w:rPr>
              <m:t>i</m:t>
            </m:r>
          </m:sub>
        </m:sSub>
        <m:r>
          <w:rPr>
            <w:rFonts w:ascii="Cambria Math" w:hAnsi="Cambria Math"/>
            <w:color w:val="343434"/>
            <w:kern w:val="0"/>
            <w:sz w:val="24"/>
            <w:szCs w:val="24"/>
          </w:rPr>
          <m:t>&lt;T</m:t>
        </m:r>
      </m:oMath>
      <w:r w:rsidR="0010346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u</m:t>
            </m:r>
          </m:e>
          <m:sub>
            <m:r>
              <w:rPr>
                <w:rFonts w:ascii="Cambria Math" w:hAnsi="Cambria Math"/>
                <w:color w:val="343434"/>
                <w:kern w:val="0"/>
                <w:sz w:val="24"/>
                <w:szCs w:val="24"/>
              </w:rPr>
              <m:t>i</m:t>
            </m:r>
          </m:sub>
        </m:sSub>
        <m:r>
          <w:rPr>
            <w:rFonts w:ascii="Cambria Math" w:hAnsi="Cambria Math"/>
            <w:color w:val="343434"/>
            <w:kern w:val="0"/>
            <w:sz w:val="24"/>
            <w:szCs w:val="24"/>
          </w:rPr>
          <m:t>&lt;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r</m:t>
            </m:r>
          </m:e>
          <m:sub>
            <m:r>
              <w:rPr>
                <w:rFonts w:ascii="Cambria Math" w:hAnsi="Cambria Math"/>
                <w:color w:val="343434"/>
                <w:kern w:val="0"/>
                <w:sz w:val="24"/>
                <w:szCs w:val="24"/>
              </w:rPr>
              <m:t>i</m:t>
            </m:r>
          </m:sub>
        </m:sSub>
      </m:oMath>
      <w:r w:rsidR="00092D25">
        <w:rPr>
          <w:iCs/>
          <w:color w:val="343434"/>
          <w:kern w:val="0"/>
          <w:sz w:val="24"/>
          <w:szCs w:val="24"/>
        </w:rPr>
        <w:t xml:space="preserve"> (i.e., the patient has not completed the follow-up time and the actual time to make decision is shorter than the </w:t>
      </w:r>
      <w:r w:rsidR="009905E5">
        <w:rPr>
          <w:iCs/>
          <w:color w:val="343434"/>
          <w:kern w:val="0"/>
          <w:sz w:val="24"/>
          <w:szCs w:val="24"/>
        </w:rPr>
        <w:t>time to efficacy</w:t>
      </w:r>
      <w:r w:rsidR="00092D25">
        <w:rPr>
          <w:iCs/>
          <w:color w:val="343434"/>
          <w:kern w:val="0"/>
          <w:sz w:val="24"/>
          <w:szCs w:val="24"/>
        </w:rPr>
        <w:t>)</w:t>
      </w:r>
      <w:r w:rsidR="00784BF4">
        <w:rPr>
          <w:iCs/>
          <w:color w:val="343434"/>
          <w:kern w:val="0"/>
          <w:sz w:val="24"/>
          <w:szCs w:val="24"/>
        </w:rPr>
        <w:t xml:space="preserv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y</m:t>
            </m:r>
          </m:e>
          <m:sub>
            <m:r>
              <w:rPr>
                <w:rFonts w:ascii="Cambria Math" w:hAnsi="Cambria Math"/>
                <w:color w:val="343434"/>
                <w:kern w:val="0"/>
                <w:sz w:val="24"/>
                <w:szCs w:val="24"/>
              </w:rPr>
              <m:t>e,i</m:t>
            </m:r>
          </m:sub>
        </m:sSub>
      </m:oMath>
      <w:r w:rsidR="00784BF4">
        <w:rPr>
          <w:iCs/>
          <w:color w:val="343434"/>
          <w:kern w:val="0"/>
          <w:sz w:val="24"/>
          <w:szCs w:val="24"/>
        </w:rPr>
        <w:t xml:space="preserve"> is missing. Let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M</m:t>
            </m:r>
          </m:e>
          <m:sub>
            <m:r>
              <w:rPr>
                <w:rFonts w:ascii="Cambria Math" w:hAnsi="Cambria Math"/>
                <w:color w:val="343434"/>
                <w:kern w:val="0"/>
                <w:sz w:val="24"/>
                <w:szCs w:val="24"/>
              </w:rPr>
              <m:t>i</m:t>
            </m:r>
          </m:sub>
        </m:sSub>
      </m:oMath>
      <w:r w:rsidR="00784BF4">
        <w:rPr>
          <w:iCs/>
          <w:color w:val="343434"/>
          <w:kern w:val="0"/>
          <w:sz w:val="24"/>
          <w:szCs w:val="24"/>
        </w:rPr>
        <w:t xml:space="preserve"> be a missing indicator with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M</m:t>
            </m:r>
          </m:e>
          <m:sub>
            <m:r>
              <w:rPr>
                <w:rFonts w:ascii="Cambria Math" w:hAnsi="Cambria Math"/>
                <w:color w:val="343434"/>
                <w:kern w:val="0"/>
                <w:sz w:val="24"/>
                <w:szCs w:val="24"/>
              </w:rPr>
              <m:t>i</m:t>
            </m:r>
          </m:sub>
        </m:sSub>
        <m:r>
          <w:rPr>
            <w:rFonts w:ascii="Cambria Math" w:hAnsi="Cambria Math"/>
            <w:color w:val="343434"/>
            <w:kern w:val="0"/>
            <w:sz w:val="24"/>
            <w:szCs w:val="24"/>
          </w:rPr>
          <m:t>=1</m:t>
        </m:r>
      </m:oMath>
      <w:r w:rsidR="00784BF4">
        <w:rPr>
          <w:iCs/>
          <w:color w:val="343434"/>
          <w:kern w:val="0"/>
          <w:sz w:val="24"/>
          <w:szCs w:val="24"/>
        </w:rPr>
        <w:t xml:space="preserve"> when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y</m:t>
            </m:r>
          </m:e>
          <m:sub>
            <m:r>
              <w:rPr>
                <w:rFonts w:ascii="Cambria Math" w:hAnsi="Cambria Math"/>
                <w:color w:val="343434"/>
                <w:kern w:val="0"/>
                <w:sz w:val="24"/>
                <w:szCs w:val="24"/>
              </w:rPr>
              <m:t>e,i</m:t>
            </m:r>
          </m:sub>
        </m:sSub>
      </m:oMath>
      <w:r w:rsidR="00784BF4">
        <w:rPr>
          <w:iCs/>
          <w:color w:val="343434"/>
          <w:kern w:val="0"/>
          <w:sz w:val="24"/>
          <w:szCs w:val="24"/>
        </w:rPr>
        <w:t xml:space="preserve"> is missing.</w:t>
      </w:r>
      <w:r w:rsidR="00C26B24">
        <w:rPr>
          <w:iCs/>
          <w:color w:val="343434"/>
          <w:kern w:val="0"/>
          <w:sz w:val="24"/>
          <w:szCs w:val="24"/>
        </w:rPr>
        <w:t xml:space="preserve"> [4] proposed a specified piecewise</w:t>
      </w:r>
      <w:r w:rsidR="002E5085">
        <w:rPr>
          <w:iCs/>
          <w:color w:val="343434"/>
          <w:kern w:val="0"/>
          <w:sz w:val="24"/>
          <w:szCs w:val="24"/>
        </w:rPr>
        <w:t xml:space="preserve"> </w:t>
      </w:r>
      <w:r w:rsidR="00C26B24">
        <w:rPr>
          <w:iCs/>
          <w:color w:val="343434"/>
          <w:kern w:val="0"/>
          <w:sz w:val="24"/>
          <w:szCs w:val="24"/>
        </w:rPr>
        <w:t xml:space="preserve">exponential </w:t>
      </w:r>
      <w:r w:rsidR="002E5085">
        <w:rPr>
          <w:iCs/>
          <w:color w:val="343434"/>
          <w:kern w:val="0"/>
          <w:sz w:val="24"/>
          <w:szCs w:val="24"/>
        </w:rPr>
        <w:t xml:space="preserve">model for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r</m:t>
            </m:r>
          </m:e>
          <m:sub>
            <m:r>
              <w:rPr>
                <w:rFonts w:ascii="Cambria Math" w:hAnsi="Cambria Math"/>
                <w:color w:val="343434"/>
                <w:kern w:val="0"/>
                <w:sz w:val="24"/>
                <w:szCs w:val="24"/>
              </w:rPr>
              <m:t>i</m:t>
            </m:r>
          </m:sub>
        </m:sSub>
      </m:oMath>
      <w:r w:rsidR="002E5085">
        <w:rPr>
          <w:iCs/>
          <w:color w:val="343434"/>
          <w:kern w:val="0"/>
          <w:sz w:val="24"/>
          <w:szCs w:val="24"/>
        </w:rPr>
        <w:t>.</w:t>
      </w:r>
      <w:r w:rsidR="00E571F0">
        <w:rPr>
          <w:iCs/>
          <w:color w:val="343434"/>
          <w:kern w:val="0"/>
          <w:sz w:val="24"/>
          <w:szCs w:val="24"/>
        </w:rPr>
        <w:t xml:space="preserve"> We partition the follow-up time window </w:t>
      </w:r>
      <m:oMath>
        <m:r>
          <w:rPr>
            <w:rFonts w:ascii="Cambria Math" w:hAnsi="Cambria Math"/>
            <w:color w:val="343434"/>
            <w:kern w:val="0"/>
            <w:sz w:val="24"/>
            <w:szCs w:val="24"/>
          </w:rPr>
          <m:t>(0, T)</m:t>
        </m:r>
      </m:oMath>
      <w:r w:rsidR="00E571F0">
        <w:rPr>
          <w:iCs/>
          <w:color w:val="343434"/>
          <w:kern w:val="0"/>
          <w:sz w:val="24"/>
          <w:szCs w:val="24"/>
        </w:rPr>
        <w:t xml:space="preserve"> into K intervals </w:t>
      </w:r>
      <m:oMath>
        <m:d>
          <m:dPr>
            <m:begChr m:val="["/>
            <m:ctrlPr>
              <w:rPr>
                <w:rFonts w:ascii="Cambria Math" w:hAnsi="Cambria Math"/>
                <w:i/>
                <w:iCs/>
                <w:color w:val="343434"/>
                <w:kern w:val="0"/>
                <w:sz w:val="24"/>
                <w:szCs w:val="24"/>
              </w:rPr>
            </m:ctrlPr>
          </m:dPr>
          <m:e>
            <m:r>
              <w:rPr>
                <w:rFonts w:ascii="Cambria Math" w:hAnsi="Cambria Math"/>
                <w:color w:val="343434"/>
                <w:kern w:val="0"/>
                <w:sz w:val="24"/>
                <w:szCs w:val="24"/>
              </w:rPr>
              <m:t>0,</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1</m:t>
                </m:r>
              </m:sub>
            </m:sSub>
          </m:e>
        </m:d>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m:t>
            </m:r>
          </m:sub>
        </m:sSub>
        <m:r>
          <w:rPr>
            <w:rFonts w:ascii="Cambria Math" w:hAnsi="Cambria Math"/>
            <w:color w:val="343434"/>
            <w:kern w:val="0"/>
            <w:sz w:val="24"/>
            <w:szCs w:val="24"/>
          </w:rPr>
          <m:t>]</m:t>
        </m:r>
      </m:oMath>
      <w:r w:rsidR="00E571F0">
        <w:rPr>
          <w:iCs/>
          <w:color w:val="343434"/>
          <w:kern w:val="0"/>
          <w:sz w:val="24"/>
          <w:szCs w:val="24"/>
        </w:rPr>
        <w:t xml:space="preserve"> where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m:t>
            </m:r>
          </m:sub>
        </m:sSub>
        <m:r>
          <w:rPr>
            <w:rFonts w:ascii="Cambria Math" w:hAnsi="Cambria Math"/>
            <w:color w:val="343434"/>
            <w:kern w:val="0"/>
            <w:sz w:val="24"/>
            <w:szCs w:val="24"/>
          </w:rPr>
          <m:t>=T</m:t>
        </m:r>
      </m:oMath>
      <w:r w:rsidR="00E571F0">
        <w:rPr>
          <w:iCs/>
          <w:color w:val="343434"/>
          <w:kern w:val="0"/>
          <w:sz w:val="24"/>
          <w:szCs w:val="24"/>
        </w:rPr>
        <w:t xml:space="preserve">. It is also assumed that each interval has a constant hazard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λ</m:t>
            </m:r>
          </m:e>
          <m:sub>
            <m:r>
              <w:rPr>
                <w:rFonts w:ascii="Cambria Math" w:hAnsi="Cambria Math"/>
                <w:color w:val="343434"/>
                <w:kern w:val="0"/>
                <w:sz w:val="24"/>
                <w:szCs w:val="24"/>
              </w:rPr>
              <m:t>k</m:t>
            </m:r>
          </m:sub>
        </m:sSub>
        <m:r>
          <w:rPr>
            <w:rFonts w:ascii="Cambria Math" w:hAnsi="Cambria Math"/>
            <w:color w:val="343434"/>
            <w:kern w:val="0"/>
            <w:sz w:val="24"/>
            <w:szCs w:val="24"/>
          </w:rPr>
          <m:t>,k=1,2,⋯,K</m:t>
        </m:r>
      </m:oMath>
      <w:r w:rsidR="00E571F0">
        <w:rPr>
          <w:iCs/>
          <w:color w:val="343434"/>
          <w:kern w:val="0"/>
          <w:sz w:val="24"/>
          <w:szCs w:val="24"/>
        </w:rPr>
        <w:t>.</w:t>
      </w:r>
      <w:r w:rsidR="00174BDC">
        <w:rPr>
          <w:iCs/>
          <w:color w:val="343434"/>
          <w:kern w:val="0"/>
          <w:sz w:val="24"/>
          <w:szCs w:val="24"/>
        </w:rPr>
        <w:t xml:space="preserve"> The value of K affects the smoothness of the model.</w:t>
      </w:r>
      <w:r w:rsidR="001C3B64">
        <w:rPr>
          <w:iCs/>
          <w:color w:val="343434"/>
          <w:kern w:val="0"/>
          <w:sz w:val="24"/>
          <w:szCs w:val="24"/>
        </w:rPr>
        <w:t xml:space="preserve"> For example, the fitted curve would be smoother when K is larger.</w:t>
      </w:r>
      <w:r w:rsidR="003909E0">
        <w:rPr>
          <w:rFonts w:hint="eastAsia"/>
          <w:iCs/>
          <w:color w:val="343434"/>
          <w:kern w:val="0"/>
          <w:sz w:val="24"/>
          <w:szCs w:val="24"/>
        </w:rPr>
        <w:t xml:space="preserve"> </w:t>
      </w:r>
      <w:r w:rsidR="003909E0">
        <w:rPr>
          <w:iCs/>
          <w:color w:val="343434"/>
          <w:kern w:val="0"/>
          <w:sz w:val="24"/>
          <w:szCs w:val="24"/>
        </w:rPr>
        <w:t xml:space="preserve">The value of K </w:t>
      </w:r>
      <w:r w:rsidR="003909E0">
        <w:rPr>
          <w:rFonts w:hint="eastAsia"/>
          <w:iCs/>
          <w:color w:val="343434"/>
          <w:kern w:val="0"/>
          <w:sz w:val="24"/>
          <w:szCs w:val="24"/>
        </w:rPr>
        <w:t>i</w:t>
      </w:r>
      <w:r w:rsidR="003909E0">
        <w:rPr>
          <w:iCs/>
          <w:color w:val="343434"/>
          <w:kern w:val="0"/>
          <w:sz w:val="24"/>
          <w:szCs w:val="24"/>
        </w:rPr>
        <w:t xml:space="preserve">s decided using Deviance Information Criterion. Let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ctrlPr>
              <w:rPr>
                <w:rFonts w:ascii="Cambria Math" w:hAnsi="Cambria Math" w:hint="eastAsia"/>
                <w:i/>
                <w:iCs/>
                <w:color w:val="343434"/>
                <w:kern w:val="0"/>
                <w:sz w:val="24"/>
                <w:szCs w:val="24"/>
              </w:rPr>
            </m:ctrlPr>
          </m:e>
          <m:sub>
            <m:r>
              <w:rPr>
                <w:rFonts w:ascii="Cambria Math" w:hAnsi="Cambria Math"/>
                <w:color w:val="343434"/>
                <w:kern w:val="0"/>
                <w:sz w:val="24"/>
                <w:szCs w:val="24"/>
              </w:rPr>
              <m:t>i</m:t>
            </m:r>
          </m:sub>
        </m:sSub>
        <m:r>
          <w:rPr>
            <w:rFonts w:ascii="Cambria Math" w:hAnsi="Cambria Math"/>
            <w:color w:val="343434"/>
            <w:kern w:val="0"/>
            <w:sz w:val="24"/>
            <w:szCs w:val="24"/>
          </w:rPr>
          <m:t>=</m:t>
        </m:r>
        <m:r>
          <m:rPr>
            <m:sty m:val="p"/>
          </m:rPr>
          <w:rPr>
            <w:rFonts w:ascii="Cambria Math" w:hAnsi="Cambria Math"/>
            <w:color w:val="343434"/>
            <w:kern w:val="0"/>
            <w:sz w:val="24"/>
            <w:szCs w:val="24"/>
          </w:rPr>
          <m:t>min⁡</m:t>
        </m:r>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r</m:t>
            </m:r>
          </m:e>
          <m:sub>
            <m:r>
              <w:rPr>
                <w:rFonts w:ascii="Cambria Math" w:hAnsi="Cambria Math"/>
                <w:color w:val="343434"/>
                <w:kern w:val="0"/>
                <w:sz w:val="24"/>
                <w:szCs w:val="24"/>
              </w:rPr>
              <m:t>i</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u</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3909E0">
        <w:rPr>
          <w:iCs/>
          <w:color w:val="343434"/>
          <w:kern w:val="0"/>
          <w:sz w:val="24"/>
          <w:szCs w:val="24"/>
        </w:rPr>
        <w:t xml:space="preserve"> as the observed time-to-event. For </w:t>
      </w:r>
      <m:oMath>
        <m:r>
          <w:rPr>
            <w:rFonts w:ascii="Cambria Math" w:hAnsi="Cambria Math"/>
            <w:color w:val="343434"/>
            <w:kern w:val="0"/>
            <w:sz w:val="24"/>
            <w:szCs w:val="24"/>
          </w:rPr>
          <m:t>n</m:t>
        </m:r>
      </m:oMath>
      <w:r w:rsidR="003909E0">
        <w:rPr>
          <w:iCs/>
          <w:color w:val="343434"/>
          <w:kern w:val="0"/>
          <w:sz w:val="24"/>
          <w:szCs w:val="24"/>
        </w:rPr>
        <w:t xml:space="preserve"> patients, we have </w:t>
      </w:r>
      <m:oMath>
        <m:r>
          <m:rPr>
            <m:sty m:val="bi"/>
          </m:rPr>
          <w:rPr>
            <w:rFonts w:ascii="Cambria Math" w:hAnsi="Cambria Math"/>
            <w:color w:val="343434"/>
            <w:kern w:val="0"/>
            <w:sz w:val="24"/>
            <w:szCs w:val="24"/>
          </w:rPr>
          <m:t>t</m:t>
        </m:r>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e>
          <m:sub>
            <m:r>
              <w:rPr>
                <w:rFonts w:ascii="Cambria Math" w:hAnsi="Cambria Math"/>
                <w:color w:val="343434"/>
                <w:kern w:val="0"/>
                <w:sz w:val="24"/>
                <w:szCs w:val="24"/>
              </w:rPr>
              <m:t>2</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e>
          <m:sub>
            <m:r>
              <w:rPr>
                <w:rFonts w:ascii="Cambria Math" w:hAnsi="Cambria Math"/>
                <w:color w:val="343434"/>
                <w:kern w:val="0"/>
                <w:sz w:val="24"/>
                <w:szCs w:val="24"/>
              </w:rPr>
              <m:t>n</m:t>
            </m:r>
          </m:sub>
        </m:sSub>
        <m:r>
          <w:rPr>
            <w:rFonts w:ascii="Cambria Math" w:hAnsi="Cambria Math"/>
            <w:color w:val="343434"/>
            <w:kern w:val="0"/>
            <w:sz w:val="24"/>
            <w:szCs w:val="24"/>
          </w:rPr>
          <m:t>)</m:t>
        </m:r>
      </m:oMath>
      <w:r w:rsidR="00E95AA1">
        <w:rPr>
          <w:iCs/>
          <w:color w:val="343434"/>
          <w:kern w:val="0"/>
          <w:sz w:val="24"/>
          <w:szCs w:val="24"/>
        </w:rPr>
        <w:t>. Then the likelihood function of</w:t>
      </w:r>
      <w:r w:rsidR="00E95AA1" w:rsidRPr="00E95AA1">
        <w:rPr>
          <w:b/>
          <w:bCs/>
          <w:iCs/>
          <w:color w:val="343434"/>
          <w:kern w:val="0"/>
          <w:sz w:val="24"/>
          <w:szCs w:val="24"/>
        </w:rPr>
        <w:t xml:space="preserve"> </w:t>
      </w:r>
      <m:oMath>
        <m:r>
          <m:rPr>
            <m:sty m:val="bi"/>
          </m:rPr>
          <w:rPr>
            <w:rFonts w:ascii="Cambria Math" w:hAnsi="Cambria Math"/>
            <w:color w:val="343434"/>
            <w:kern w:val="0"/>
            <w:sz w:val="24"/>
            <w:szCs w:val="24"/>
          </w:rPr>
          <m:t>λ</m:t>
        </m:r>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λ</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λ</m:t>
            </m:r>
          </m:e>
          <m:sub>
            <m:r>
              <w:rPr>
                <w:rFonts w:ascii="Cambria Math" w:hAnsi="Cambria Math"/>
                <w:color w:val="343434"/>
                <w:kern w:val="0"/>
                <w:sz w:val="24"/>
                <w:szCs w:val="24"/>
              </w:rPr>
              <m:t>2</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λ</m:t>
            </m:r>
          </m:e>
          <m:sub>
            <m:r>
              <w:rPr>
                <w:rFonts w:ascii="Cambria Math" w:hAnsi="Cambria Math"/>
                <w:color w:val="343434"/>
                <w:kern w:val="0"/>
                <w:sz w:val="24"/>
                <w:szCs w:val="24"/>
              </w:rPr>
              <m:t>K</m:t>
            </m:r>
          </m:sub>
        </m:sSub>
        <m:r>
          <w:rPr>
            <w:rFonts w:ascii="Cambria Math" w:hAnsi="Cambria Math"/>
            <w:color w:val="343434"/>
            <w:kern w:val="0"/>
            <w:sz w:val="24"/>
            <w:szCs w:val="24"/>
          </w:rPr>
          <m:t>)</m:t>
        </m:r>
      </m:oMath>
      <w:r w:rsidR="00E95AA1">
        <w:rPr>
          <w:iCs/>
          <w:color w:val="343434"/>
          <w:kern w:val="0"/>
          <w:sz w:val="24"/>
          <w:szCs w:val="24"/>
        </w:rPr>
        <w:t xml:space="preserve"> can be written as:</w:t>
      </w:r>
    </w:p>
    <w:p w14:paraId="003C4E4B" w14:textId="1D629565" w:rsidR="00E95AA1" w:rsidRDefault="00E95AA1" w:rsidP="00E95AA1">
      <w:pPr>
        <w:spacing w:after="0"/>
        <w:rPr>
          <w:iCs/>
          <w:color w:val="343434"/>
          <w:kern w:val="0"/>
          <w:sz w:val="24"/>
          <w:szCs w:val="24"/>
        </w:rPr>
      </w:pPr>
      <m:oMath>
        <m:r>
          <w:rPr>
            <w:rFonts w:ascii="Cambria Math" w:hAnsi="Cambria Math"/>
            <w:color w:val="343434"/>
            <w:kern w:val="0"/>
            <w:sz w:val="24"/>
            <w:szCs w:val="24"/>
          </w:rPr>
          <w:lastRenderedPageBreak/>
          <m:t>L</m:t>
        </m:r>
        <m:d>
          <m:dPr>
            <m:ctrlPr>
              <w:rPr>
                <w:rFonts w:ascii="Cambria Math" w:hAnsi="Cambria Math"/>
                <w:i/>
                <w:iCs/>
                <w:color w:val="343434"/>
                <w:kern w:val="0"/>
                <w:sz w:val="24"/>
                <w:szCs w:val="24"/>
              </w:rPr>
            </m:ctrlPr>
          </m:dPr>
          <m:e>
            <m:r>
              <m:rPr>
                <m:sty m:val="bi"/>
              </m:rPr>
              <w:rPr>
                <w:rFonts w:ascii="Cambria Math" w:hAnsi="Cambria Math"/>
                <w:color w:val="343434"/>
                <w:kern w:val="0"/>
                <w:sz w:val="24"/>
                <w:szCs w:val="24"/>
              </w:rPr>
              <m:t>λ</m:t>
            </m:r>
          </m:e>
        </m:d>
        <m:r>
          <w:rPr>
            <w:rFonts w:ascii="Cambria Math" w:hAnsi="Cambria Math"/>
            <w:color w:val="343434"/>
            <w:kern w:val="0"/>
            <w:sz w:val="24"/>
            <w:szCs w:val="24"/>
          </w:rPr>
          <m:t>=P</m:t>
        </m:r>
        <m:d>
          <m:dPr>
            <m:ctrlPr>
              <w:rPr>
                <w:rFonts w:ascii="Cambria Math" w:hAnsi="Cambria Math"/>
                <w:i/>
                <w:iCs/>
                <w:color w:val="343434"/>
                <w:kern w:val="0"/>
                <w:sz w:val="24"/>
                <w:szCs w:val="24"/>
              </w:rPr>
            </m:ctrlPr>
          </m:dPr>
          <m:e>
            <m:r>
              <m:rPr>
                <m:sty m:val="bi"/>
              </m:rPr>
              <w:rPr>
                <w:rFonts w:ascii="Cambria Math" w:hAnsi="Cambria Math"/>
                <w:color w:val="343434"/>
                <w:kern w:val="0"/>
                <w:sz w:val="24"/>
                <w:szCs w:val="24"/>
              </w:rPr>
              <m:t>t</m:t>
            </m:r>
          </m:e>
          <m:e>
            <m:r>
              <m:rPr>
                <m:sty m:val="bi"/>
              </m:rPr>
              <w:rPr>
                <w:rFonts w:ascii="Cambria Math" w:hAnsi="Cambria Math"/>
                <w:color w:val="343434"/>
                <w:kern w:val="0"/>
                <w:sz w:val="24"/>
                <w:szCs w:val="24"/>
              </w:rPr>
              <m:t>λ</m:t>
            </m:r>
          </m:e>
        </m:d>
        <m:r>
          <w:rPr>
            <w:rFonts w:ascii="Cambria Math" w:hAnsi="Cambria Math"/>
            <w:color w:val="343434"/>
            <w:kern w:val="0"/>
            <w:sz w:val="24"/>
            <w:szCs w:val="24"/>
          </w:rPr>
          <m:t>=</m:t>
        </m:r>
        <m:nary>
          <m:naryPr>
            <m:chr m:val="∏"/>
            <m:limLoc m:val="subSup"/>
            <m:ctrlPr>
              <w:rPr>
                <w:rFonts w:ascii="Cambria Math" w:hAnsi="Cambria Math"/>
                <w:i/>
                <w:iCs/>
                <w:color w:val="343434"/>
                <w:kern w:val="0"/>
                <w:sz w:val="24"/>
                <w:szCs w:val="24"/>
              </w:rPr>
            </m:ctrlPr>
          </m:naryPr>
          <m:sub>
            <m:r>
              <w:rPr>
                <w:rFonts w:ascii="Cambria Math" w:hAnsi="Cambria Math"/>
                <w:color w:val="343434"/>
                <w:kern w:val="0"/>
                <w:sz w:val="24"/>
                <w:szCs w:val="24"/>
              </w:rPr>
              <m:t>i=1</m:t>
            </m:r>
          </m:sub>
          <m:sup>
            <m:r>
              <w:rPr>
                <w:rFonts w:ascii="Cambria Math" w:hAnsi="Cambria Math"/>
                <w:color w:val="343434"/>
                <w:kern w:val="0"/>
                <w:sz w:val="24"/>
                <w:szCs w:val="24"/>
              </w:rPr>
              <m:t>n</m:t>
            </m:r>
          </m:sup>
          <m:e>
            <m:nary>
              <m:naryPr>
                <m:chr m:val="∏"/>
                <m:limLoc m:val="subSup"/>
                <m:ctrlPr>
                  <w:rPr>
                    <w:rFonts w:ascii="Cambria Math" w:hAnsi="Cambria Math"/>
                    <w:i/>
                    <w:iCs/>
                    <w:color w:val="343434"/>
                    <w:kern w:val="0"/>
                    <w:sz w:val="24"/>
                    <w:szCs w:val="24"/>
                  </w:rPr>
                </m:ctrlPr>
              </m:naryPr>
              <m:sub>
                <m:r>
                  <w:rPr>
                    <w:rFonts w:ascii="Cambria Math" w:hAnsi="Cambria Math"/>
                    <w:color w:val="343434"/>
                    <w:kern w:val="0"/>
                    <w:sz w:val="24"/>
                    <w:szCs w:val="24"/>
                  </w:rPr>
                  <m:t>k=1</m:t>
                </m:r>
              </m:sub>
              <m:sup>
                <m:r>
                  <w:rPr>
                    <w:rFonts w:ascii="Cambria Math" w:hAnsi="Cambria Math"/>
                    <w:color w:val="343434"/>
                    <w:kern w:val="0"/>
                    <w:sz w:val="24"/>
                    <w:szCs w:val="24"/>
                  </w:rPr>
                  <m:t>K</m:t>
                </m:r>
              </m:sup>
              <m:e>
                <m:sSubSup>
                  <m:sSubSupPr>
                    <m:ctrlPr>
                      <w:rPr>
                        <w:rFonts w:ascii="Cambria Math" w:hAnsi="Cambria Math"/>
                        <w:i/>
                        <w:iCs/>
                        <w:color w:val="343434"/>
                        <w:kern w:val="0"/>
                        <w:sz w:val="24"/>
                        <w:szCs w:val="24"/>
                      </w:rPr>
                    </m:ctrlPr>
                  </m:sSubSupPr>
                  <m:e>
                    <m:r>
                      <w:rPr>
                        <w:rFonts w:ascii="Cambria Math" w:hAnsi="Cambria Math"/>
                        <w:color w:val="343434"/>
                        <w:kern w:val="0"/>
                        <w:sz w:val="24"/>
                        <w:szCs w:val="24"/>
                      </w:rPr>
                      <m:t>λ</m:t>
                    </m:r>
                  </m:e>
                  <m:sub>
                    <m:r>
                      <w:rPr>
                        <w:rFonts w:ascii="Cambria Math" w:hAnsi="Cambria Math"/>
                        <w:color w:val="343434"/>
                        <w:kern w:val="0"/>
                        <w:sz w:val="24"/>
                        <w:szCs w:val="24"/>
                      </w:rPr>
                      <m:t>k</m:t>
                    </m:r>
                  </m:sub>
                  <m:sup>
                    <m:sSub>
                      <m:sSubPr>
                        <m:ctrlPr>
                          <w:rPr>
                            <w:rFonts w:ascii="Cambria Math" w:hAnsi="Cambria Math"/>
                            <w:i/>
                            <w:iCs/>
                            <w:color w:val="343434"/>
                            <w:kern w:val="0"/>
                            <w:sz w:val="24"/>
                            <w:szCs w:val="24"/>
                          </w:rPr>
                        </m:ctrlPr>
                      </m:sSubPr>
                      <m:e>
                        <m:r>
                          <w:rPr>
                            <w:rFonts w:ascii="Cambria Math" w:hAnsi="Cambria Math"/>
                            <w:color w:val="343434"/>
                            <w:kern w:val="0"/>
                            <w:sz w:val="24"/>
                            <w:szCs w:val="24"/>
                          </w:rPr>
                          <m:t>δ</m:t>
                        </m:r>
                      </m:e>
                      <m:sub>
                        <m:r>
                          <w:rPr>
                            <w:rFonts w:ascii="Cambria Math" w:hAnsi="Cambria Math"/>
                            <w:color w:val="343434"/>
                            <w:kern w:val="0"/>
                            <w:sz w:val="24"/>
                            <w:szCs w:val="24"/>
                          </w:rPr>
                          <m:t>ik</m:t>
                        </m:r>
                      </m:sub>
                    </m:sSub>
                  </m:sup>
                </m:sSubSup>
                <m:sSup>
                  <m:sSupPr>
                    <m:ctrlPr>
                      <w:rPr>
                        <w:rFonts w:ascii="Cambria Math" w:hAnsi="Cambria Math"/>
                        <w:i/>
                        <w:iCs/>
                        <w:color w:val="343434"/>
                        <w:kern w:val="0"/>
                        <w:sz w:val="24"/>
                        <w:szCs w:val="24"/>
                      </w:rPr>
                    </m:ctrlPr>
                  </m:sSupPr>
                  <m:e>
                    <m:r>
                      <w:rPr>
                        <w:rFonts w:ascii="Cambria Math" w:hAnsi="Cambria Math"/>
                        <w:color w:val="343434"/>
                        <w:kern w:val="0"/>
                        <w:sz w:val="24"/>
                        <w:szCs w:val="24"/>
                      </w:rPr>
                      <m:t>e</m:t>
                    </m:r>
                  </m:e>
                  <m:sup>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y</m:t>
                        </m:r>
                        <m:ctrlPr>
                          <w:rPr>
                            <w:rFonts w:ascii="Cambria Math" w:hAnsi="Cambria Math" w:hint="eastAsia"/>
                            <w:i/>
                            <w:iCs/>
                            <w:color w:val="343434"/>
                            <w:kern w:val="0"/>
                            <w:sz w:val="24"/>
                            <w:szCs w:val="24"/>
                          </w:rPr>
                        </m:ctrlPr>
                      </m:e>
                      <m:sub>
                        <m:r>
                          <w:rPr>
                            <w:rFonts w:ascii="Cambria Math" w:hAnsi="Cambria Math"/>
                            <w:color w:val="343434"/>
                            <w:kern w:val="0"/>
                            <w:sz w:val="24"/>
                            <w:szCs w:val="24"/>
                          </w:rPr>
                          <m:t>e,i</m:t>
                        </m:r>
                      </m:sub>
                    </m:sSub>
                    <m:sSub>
                      <m:sSubPr>
                        <m:ctrlPr>
                          <w:rPr>
                            <w:rFonts w:ascii="Cambria Math" w:hAnsi="Cambria Math"/>
                            <w:i/>
                            <w:iCs/>
                            <w:color w:val="343434"/>
                            <w:kern w:val="0"/>
                            <w:sz w:val="24"/>
                            <w:szCs w:val="24"/>
                          </w:rPr>
                        </m:ctrlPr>
                      </m:sSubPr>
                      <m:e>
                        <m:r>
                          <w:rPr>
                            <w:rFonts w:ascii="Cambria Math" w:hAnsi="Cambria Math"/>
                            <w:color w:val="343434"/>
                            <w:kern w:val="0"/>
                            <w:sz w:val="24"/>
                            <w:szCs w:val="24"/>
                          </w:rPr>
                          <m:t>λ</m:t>
                        </m:r>
                      </m:e>
                      <m:sub>
                        <m:r>
                          <w:rPr>
                            <w:rFonts w:ascii="Cambria Math" w:hAnsi="Cambria Math"/>
                            <w:color w:val="343434"/>
                            <w:kern w:val="0"/>
                            <w:sz w:val="24"/>
                            <w:szCs w:val="24"/>
                          </w:rPr>
                          <m:t>k</m:t>
                        </m:r>
                      </m:sub>
                    </m:sSub>
                    <m:sSub>
                      <m:sSubPr>
                        <m:ctrlPr>
                          <w:rPr>
                            <w:rFonts w:ascii="Cambria Math" w:hAnsi="Cambria Math"/>
                            <w:i/>
                            <w:iCs/>
                            <w:color w:val="343434"/>
                            <w:kern w:val="0"/>
                            <w:sz w:val="24"/>
                            <w:szCs w:val="24"/>
                          </w:rPr>
                        </m:ctrlPr>
                      </m:sSubPr>
                      <m:e>
                        <m:r>
                          <w:rPr>
                            <w:rFonts w:ascii="Cambria Math" w:hAnsi="Cambria Math"/>
                            <w:color w:val="343434"/>
                            <w:kern w:val="0"/>
                            <w:sz w:val="24"/>
                            <w:szCs w:val="24"/>
                          </w:rPr>
                          <m:t>ϕ</m:t>
                        </m:r>
                      </m:e>
                      <m:sub>
                        <m:r>
                          <w:rPr>
                            <w:rFonts w:ascii="Cambria Math" w:hAnsi="Cambria Math"/>
                            <w:color w:val="343434"/>
                            <w:kern w:val="0"/>
                            <w:sz w:val="24"/>
                            <w:szCs w:val="24"/>
                          </w:rPr>
                          <m:t>ik</m:t>
                        </m:r>
                      </m:sub>
                    </m:sSub>
                  </m:sup>
                </m:sSup>
              </m:e>
            </m:nary>
          </m:e>
        </m:nary>
      </m:oMath>
      <w:r w:rsidR="00F9286A">
        <w:rPr>
          <w:iCs/>
          <w:color w:val="343434"/>
          <w:kern w:val="0"/>
          <w:sz w:val="24"/>
          <w:szCs w:val="24"/>
        </w:rPr>
        <w:tab/>
      </w:r>
      <w:r w:rsidR="00F9286A">
        <w:rPr>
          <w:iCs/>
          <w:color w:val="343434"/>
          <w:kern w:val="0"/>
          <w:sz w:val="24"/>
          <w:szCs w:val="24"/>
        </w:rPr>
        <w:tab/>
      </w:r>
      <w:r w:rsidR="00F9286A">
        <w:rPr>
          <w:iCs/>
          <w:color w:val="343434"/>
          <w:kern w:val="0"/>
          <w:sz w:val="24"/>
          <w:szCs w:val="24"/>
        </w:rPr>
        <w:tab/>
      </w:r>
      <w:r w:rsidR="00F9286A">
        <w:rPr>
          <w:iCs/>
          <w:color w:val="343434"/>
          <w:kern w:val="0"/>
          <w:sz w:val="24"/>
          <w:szCs w:val="24"/>
        </w:rPr>
        <w:tab/>
        <w:t xml:space="preserve">  (24)</w:t>
      </w:r>
    </w:p>
    <w:p w14:paraId="5106FA01" w14:textId="61A13DBB" w:rsidR="002A3C7B" w:rsidRDefault="00997FA8" w:rsidP="008C6729">
      <w:pPr>
        <w:spacing w:after="0"/>
        <w:rPr>
          <w:iCs/>
          <w:color w:val="343434"/>
          <w:kern w:val="0"/>
          <w:sz w:val="24"/>
          <w:szCs w:val="24"/>
        </w:rPr>
      </w:pPr>
      <w:r>
        <w:rPr>
          <w:iCs/>
          <w:color w:val="343434"/>
          <w:kern w:val="0"/>
          <w:sz w:val="24"/>
          <w:szCs w:val="24"/>
        </w:rPr>
        <w:t xml:space="preserve">where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ϕ</m:t>
            </m:r>
          </m:e>
          <m:sub>
            <m:r>
              <w:rPr>
                <w:rFonts w:ascii="Cambria Math" w:hAnsi="Cambria Math"/>
                <w:color w:val="343434"/>
                <w:kern w:val="0"/>
                <w:sz w:val="24"/>
                <w:szCs w:val="24"/>
              </w:rPr>
              <m:t>ik</m:t>
            </m:r>
          </m:sub>
        </m:sSub>
        <m:r>
          <w:rPr>
            <w:rFonts w:ascii="Cambria Math" w:hAnsi="Cambria Math"/>
            <w:color w:val="343434"/>
            <w:kern w:val="0"/>
            <w:sz w:val="24"/>
            <w:szCs w:val="24"/>
          </w:rPr>
          <m:t>=</m:t>
        </m:r>
        <m:d>
          <m:dPr>
            <m:begChr m:val="{"/>
            <m:endChr m:val=""/>
            <m:ctrlPr>
              <w:rPr>
                <w:rFonts w:ascii="Cambria Math" w:hAnsi="Cambria Math"/>
                <w:i/>
                <w:iCs/>
                <w:color w:val="343434"/>
                <w:kern w:val="0"/>
                <w:sz w:val="24"/>
                <w:szCs w:val="24"/>
              </w:rPr>
            </m:ctrlPr>
          </m:dPr>
          <m:e>
            <m:eqArr>
              <m:eqArrPr>
                <m:ctrlPr>
                  <w:rPr>
                    <w:rFonts w:ascii="Cambria Math" w:hAnsi="Cambria Math"/>
                    <w:i/>
                    <w:iCs/>
                    <w:color w:val="343434"/>
                    <w:kern w:val="0"/>
                    <w:sz w:val="24"/>
                    <w:szCs w:val="24"/>
                  </w:rPr>
                </m:ctrlPr>
              </m:eqArrPr>
              <m:e>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k-1</m:t>
                    </m:r>
                  </m:sub>
                </m:sSub>
                <m:r>
                  <w:rPr>
                    <w:rFonts w:ascii="Cambria Math" w:hAnsi="Cambria Math"/>
                    <w:color w:val="343434"/>
                    <w:kern w:val="0"/>
                    <w:sz w:val="24"/>
                    <w:szCs w:val="24"/>
                  </w:rPr>
                  <m:t xml:space="preserve">,  when </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e>
                  <m:sub>
                    <m:r>
                      <w:rPr>
                        <w:rFonts w:ascii="Cambria Math" w:hAnsi="Cambria Math"/>
                        <w:color w:val="343434"/>
                        <w:kern w:val="0"/>
                        <w:sz w:val="24"/>
                        <w:szCs w:val="24"/>
                      </w:rPr>
                      <m:t>i</m:t>
                    </m:r>
                  </m:sub>
                </m:sSub>
                <m:r>
                  <w:rPr>
                    <w:rFonts w:ascii="Cambria Math" w:hAnsi="Cambria Math"/>
                    <w:color w:val="343434"/>
                    <w:kern w:val="0"/>
                    <w:sz w:val="24"/>
                    <w:szCs w:val="24"/>
                  </w:rPr>
                  <m:t xml:space="preserve">&gt; </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m:t>
                    </m:r>
                  </m:sub>
                </m:sSub>
              </m:e>
              <m:e>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e>
                  <m:sub>
                    <m:r>
                      <w:rPr>
                        <w:rFonts w:ascii="Cambria Math" w:hAnsi="Cambria Math"/>
                        <w:color w:val="343434"/>
                        <w:kern w:val="0"/>
                        <w:sz w:val="24"/>
                        <w:szCs w:val="24"/>
                      </w:rPr>
                      <m:t>i</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k-1</m:t>
                    </m:r>
                  </m:sub>
                </m:sSub>
                <m:r>
                  <w:rPr>
                    <w:rFonts w:ascii="Cambria Math" w:hAnsi="Cambria Math"/>
                    <w:color w:val="343434"/>
                    <w:kern w:val="0"/>
                    <w:sz w:val="24"/>
                    <w:szCs w:val="24"/>
                  </w:rPr>
                  <m:t xml:space="preserve">,  when </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t</m:t>
                    </m:r>
                  </m:e>
                  <m:sub>
                    <m:r>
                      <w:rPr>
                        <w:rFonts w:ascii="Cambria Math" w:hAnsi="Cambria Math"/>
                        <w:color w:val="343434"/>
                        <w:kern w:val="0"/>
                        <w:sz w:val="24"/>
                        <w:szCs w:val="24"/>
                      </w:rPr>
                      <m:t>i</m:t>
                    </m:r>
                  </m:sub>
                </m:sSub>
                <m:r>
                  <w:rPr>
                    <w:rFonts w:ascii="Cambria Math" w:hAnsi="Cambria Math"/>
                    <w:color w:val="343434"/>
                    <w:kern w:val="0"/>
                    <w:sz w:val="24"/>
                    <w:szCs w:val="24"/>
                  </w:rPr>
                  <m:t>&lt;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h</m:t>
                    </m:r>
                  </m:e>
                  <m:sub>
                    <m:r>
                      <w:rPr>
                        <w:rFonts w:ascii="Cambria Math" w:hAnsi="Cambria Math"/>
                        <w:color w:val="343434"/>
                        <w:kern w:val="0"/>
                        <w:sz w:val="24"/>
                        <w:szCs w:val="24"/>
                      </w:rPr>
                      <m:t>k</m:t>
                    </m:r>
                  </m:sub>
                </m:sSub>
              </m:e>
            </m:eqArr>
          </m:e>
        </m:d>
      </m:oMath>
      <w:r w:rsidR="005512B4">
        <w:rPr>
          <w:iCs/>
          <w:color w:val="343434"/>
          <w:kern w:val="0"/>
          <w:sz w:val="24"/>
          <w:szCs w:val="24"/>
        </w:rPr>
        <w:t xml:space="preserve"> and 0 otherwise.</w:t>
      </w:r>
      <w:r w:rsidR="005F38D9">
        <w:rPr>
          <w:iCs/>
          <w:color w:val="343434"/>
          <w:kern w:val="0"/>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ik</m:t>
            </m:r>
          </m:sub>
        </m:sSub>
      </m:oMath>
      <w:r w:rsidR="00CD2EE5" w:rsidRPr="0056341A">
        <w:rPr>
          <w:rFonts w:cs="Times New Roman"/>
          <w:sz w:val="24"/>
          <w:szCs w:val="24"/>
        </w:rPr>
        <w:t xml:space="preserve"> is defined as 1 if the </w:t>
      </w:r>
      <w:proofErr w:type="spellStart"/>
      <w:r w:rsidR="00CD2EE5" w:rsidRPr="0056341A">
        <w:rPr>
          <w:rFonts w:cs="Times New Roman"/>
          <w:i/>
          <w:sz w:val="24"/>
          <w:szCs w:val="24"/>
        </w:rPr>
        <w:t>i</w:t>
      </w:r>
      <w:r w:rsidR="00CD2EE5" w:rsidRPr="0056341A">
        <w:rPr>
          <w:rFonts w:cs="Times New Roman"/>
          <w:i/>
          <w:sz w:val="24"/>
          <w:szCs w:val="24"/>
          <w:vertAlign w:val="superscript"/>
        </w:rPr>
        <w:t>th</w:t>
      </w:r>
      <w:proofErr w:type="spellEnd"/>
      <w:r w:rsidR="00CD2EE5" w:rsidRPr="0056341A">
        <w:rPr>
          <w:rFonts w:cs="Times New Roman"/>
          <w:sz w:val="24"/>
          <w:szCs w:val="24"/>
        </w:rPr>
        <w:t xml:space="preserve"> patient experienced an</w:t>
      </w:r>
      <w:r w:rsidR="00CD2EE5" w:rsidRPr="0056341A">
        <w:rPr>
          <w:rFonts w:cs="Times New Roman"/>
          <w:color w:val="FF0000"/>
          <w:sz w:val="24"/>
          <w:szCs w:val="24"/>
        </w:rPr>
        <w:t xml:space="preserve"> </w:t>
      </w:r>
      <w:r w:rsidR="00CD2EE5" w:rsidRPr="0056341A">
        <w:rPr>
          <w:rFonts w:cs="Times New Roman"/>
          <w:sz w:val="24"/>
          <w:szCs w:val="24"/>
        </w:rPr>
        <w:t>efficacy event in [</w:t>
      </w:r>
      <w:r w:rsidR="00CD2EE5" w:rsidRPr="0056341A">
        <w:rPr>
          <w:rFonts w:cs="Times New Roman"/>
          <w:i/>
          <w:sz w:val="24"/>
          <w:szCs w:val="24"/>
        </w:rPr>
        <w:t>h</w:t>
      </w:r>
      <w:r w:rsidR="00CD2EE5" w:rsidRPr="0056341A">
        <w:rPr>
          <w:rFonts w:cs="Times New Roman"/>
          <w:i/>
          <w:sz w:val="24"/>
          <w:szCs w:val="24"/>
          <w:vertAlign w:val="subscript"/>
        </w:rPr>
        <w:t>k-1</w:t>
      </w:r>
      <w:r w:rsidR="00CD2EE5" w:rsidRPr="0056341A">
        <w:rPr>
          <w:rFonts w:cs="Times New Roman"/>
          <w:i/>
          <w:sz w:val="24"/>
          <w:szCs w:val="24"/>
        </w:rPr>
        <w:t xml:space="preserve">, </w:t>
      </w:r>
      <w:proofErr w:type="spellStart"/>
      <w:r w:rsidR="00CD2EE5" w:rsidRPr="0056341A">
        <w:rPr>
          <w:rFonts w:cs="Times New Roman"/>
          <w:i/>
          <w:sz w:val="24"/>
          <w:szCs w:val="24"/>
        </w:rPr>
        <w:t>h</w:t>
      </w:r>
      <w:r w:rsidR="00CD2EE5" w:rsidRPr="0056341A">
        <w:rPr>
          <w:rFonts w:cs="Times New Roman"/>
          <w:i/>
          <w:sz w:val="24"/>
          <w:szCs w:val="24"/>
          <w:vertAlign w:val="subscript"/>
        </w:rPr>
        <w:t>k</w:t>
      </w:r>
      <w:proofErr w:type="spellEnd"/>
      <w:r w:rsidR="00CD2EE5" w:rsidRPr="0056341A">
        <w:rPr>
          <w:rFonts w:cs="Times New Roman"/>
          <w:sz w:val="24"/>
          <w:szCs w:val="24"/>
        </w:rPr>
        <w:t>) or 0 otherwise.</w:t>
      </w:r>
      <w:r w:rsidR="00CD2EE5">
        <w:rPr>
          <w:rFonts w:cs="Times New Roman"/>
          <w:sz w:val="24"/>
          <w:szCs w:val="24"/>
        </w:rPr>
        <w:t xml:space="preserve"> </w:t>
      </w:r>
      <w:r w:rsidR="005F38D9">
        <w:rPr>
          <w:iCs/>
          <w:color w:val="343434"/>
          <w:kern w:val="0"/>
          <w:sz w:val="24"/>
          <w:szCs w:val="24"/>
        </w:rPr>
        <w:t>Since the posterior of</w:t>
      </w:r>
      <w:r w:rsidR="005F38D9" w:rsidRPr="005F38D9">
        <w:rPr>
          <w:b/>
          <w:bCs/>
          <w:iCs/>
          <w:color w:val="343434"/>
          <w:kern w:val="0"/>
          <w:sz w:val="24"/>
          <w:szCs w:val="24"/>
        </w:rPr>
        <w:t xml:space="preserve"> </w:t>
      </w:r>
      <m:oMath>
        <m:r>
          <m:rPr>
            <m:sty m:val="bi"/>
          </m:rPr>
          <w:rPr>
            <w:rFonts w:ascii="Cambria Math" w:hAnsi="Cambria Math"/>
            <w:color w:val="343434"/>
            <w:kern w:val="0"/>
            <w:sz w:val="24"/>
            <w:szCs w:val="24"/>
          </w:rPr>
          <m:t>λ</m:t>
        </m:r>
      </m:oMath>
      <w:r w:rsidR="005F38D9">
        <w:rPr>
          <w:b/>
          <w:bCs/>
          <w:iCs/>
          <w:color w:val="343434"/>
          <w:kern w:val="0"/>
          <w:sz w:val="24"/>
          <w:szCs w:val="24"/>
        </w:rPr>
        <w:t xml:space="preserve"> </w:t>
      </w:r>
      <w:r w:rsidR="005F38D9">
        <w:rPr>
          <w:iCs/>
          <w:color w:val="343434"/>
          <w:kern w:val="0"/>
          <w:sz w:val="24"/>
          <w:szCs w:val="24"/>
        </w:rPr>
        <w:t xml:space="preserve">is unimodal distributed, </w:t>
      </w:r>
      <m:oMath>
        <m:r>
          <m:rPr>
            <m:sty m:val="bi"/>
          </m:rPr>
          <w:rPr>
            <w:rFonts w:ascii="Cambria Math" w:hAnsi="Cambria Math"/>
            <w:color w:val="343434"/>
            <w:kern w:val="0"/>
            <w:sz w:val="24"/>
            <w:szCs w:val="24"/>
          </w:rPr>
          <m:t>λ</m:t>
        </m:r>
      </m:oMath>
      <w:r w:rsidR="005F38D9">
        <w:rPr>
          <w:b/>
          <w:bCs/>
          <w:iCs/>
          <w:color w:val="343434"/>
          <w:kern w:val="0"/>
          <w:sz w:val="24"/>
          <w:szCs w:val="24"/>
        </w:rPr>
        <w:t xml:space="preserve"> </w:t>
      </w:r>
      <w:r w:rsidR="005F38D9">
        <w:rPr>
          <w:iCs/>
          <w:color w:val="343434"/>
          <w:kern w:val="0"/>
          <w:sz w:val="24"/>
          <w:szCs w:val="24"/>
        </w:rPr>
        <w:t>can be identified by its posterior median.</w:t>
      </w:r>
    </w:p>
    <w:p w14:paraId="290732B5" w14:textId="351DE91D" w:rsidR="005F38D9" w:rsidRDefault="002A3C7B" w:rsidP="008C6729">
      <w:pPr>
        <w:spacing w:after="0"/>
        <w:rPr>
          <w:iCs/>
          <w:color w:val="343434"/>
          <w:kern w:val="0"/>
          <w:sz w:val="24"/>
          <w:szCs w:val="24"/>
        </w:rPr>
      </w:pPr>
      <m:oMath>
        <m:r>
          <w:rPr>
            <w:rFonts w:ascii="Cambria Math" w:hAnsi="Cambria Math"/>
            <w:color w:val="343434"/>
            <w:kern w:val="0"/>
            <w:sz w:val="24"/>
            <w:szCs w:val="24"/>
            <w:highlight w:val="yellow"/>
          </w:rPr>
          <m:t>f</m:t>
        </m:r>
        <m:d>
          <m:dPr>
            <m:ctrlPr>
              <w:rPr>
                <w:rFonts w:ascii="Cambria Math" w:hAnsi="Cambria Math"/>
                <w:i/>
                <w:iCs/>
                <w:color w:val="343434"/>
                <w:kern w:val="0"/>
                <w:sz w:val="24"/>
                <w:szCs w:val="24"/>
                <w:highlight w:val="yellow"/>
              </w:rPr>
            </m:ctrlPr>
          </m:dPr>
          <m:e>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y</m:t>
                </m:r>
                <m:ctrlPr>
                  <w:rPr>
                    <w:rFonts w:ascii="Cambria Math" w:hAnsi="Cambria Math" w:hint="eastAsia"/>
                    <w:i/>
                    <w:iCs/>
                    <w:color w:val="343434"/>
                    <w:kern w:val="0"/>
                    <w:sz w:val="24"/>
                    <w:szCs w:val="24"/>
                    <w:highlight w:val="yellow"/>
                  </w:rPr>
                </m:ctrlPr>
              </m:e>
              <m:sub>
                <m:r>
                  <w:rPr>
                    <w:rFonts w:ascii="Cambria Math" w:hAnsi="Cambria Math"/>
                    <w:color w:val="343434"/>
                    <w:kern w:val="0"/>
                    <w:sz w:val="24"/>
                    <w:szCs w:val="24"/>
                    <w:highlight w:val="yellow"/>
                  </w:rPr>
                  <m:t>e,i</m:t>
                </m:r>
              </m:sub>
            </m:sSub>
          </m:e>
          <m:e>
            <m:r>
              <m:rPr>
                <m:sty m:val="bi"/>
              </m:rPr>
              <w:rPr>
                <w:rFonts w:ascii="Cambria Math" w:hAnsi="Cambria Math"/>
                <w:color w:val="343434"/>
                <w:kern w:val="0"/>
                <w:sz w:val="24"/>
                <w:szCs w:val="24"/>
                <w:highlight w:val="yellow"/>
              </w:rPr>
              <m:t>θ,</m:t>
            </m:r>
            <m:sSub>
              <m:sSubPr>
                <m:ctrlPr>
                  <w:rPr>
                    <w:rFonts w:ascii="Cambria Math" w:hAnsi="Cambria Math"/>
                    <w:bCs/>
                    <w:i/>
                    <w:color w:val="343434"/>
                    <w:kern w:val="0"/>
                    <w:sz w:val="24"/>
                    <w:szCs w:val="24"/>
                    <w:highlight w:val="yellow"/>
                  </w:rPr>
                </m:ctrlPr>
              </m:sSubPr>
              <m:e>
                <m:r>
                  <w:rPr>
                    <w:rFonts w:ascii="Cambria Math" w:hAnsi="Cambria Math"/>
                    <w:color w:val="343434"/>
                    <w:kern w:val="0"/>
                    <w:sz w:val="24"/>
                    <w:szCs w:val="24"/>
                    <w:highlight w:val="yellow"/>
                  </w:rPr>
                  <m:t>M</m:t>
                </m:r>
              </m:e>
              <m:sub>
                <m:r>
                  <w:rPr>
                    <w:rFonts w:ascii="Cambria Math" w:hAnsi="Cambria Math"/>
                    <w:color w:val="343434"/>
                    <w:kern w:val="0"/>
                    <w:sz w:val="24"/>
                    <w:szCs w:val="24"/>
                    <w:highlight w:val="yellow"/>
                  </w:rPr>
                  <m:t>i</m:t>
                </m:r>
              </m:sub>
            </m:sSub>
            <m:r>
              <w:rPr>
                <w:rFonts w:ascii="Cambria Math" w:hAnsi="Cambria Math"/>
                <w:color w:val="343434"/>
                <w:kern w:val="0"/>
                <w:sz w:val="24"/>
                <w:szCs w:val="24"/>
                <w:highlight w:val="yellow"/>
              </w:rPr>
              <m:t>=1,</m:t>
            </m:r>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S</m:t>
                </m:r>
              </m:e>
              <m:sub>
                <m:r>
                  <w:rPr>
                    <w:rFonts w:ascii="Cambria Math" w:hAnsi="Cambria Math"/>
                    <w:color w:val="343434"/>
                    <w:kern w:val="0"/>
                    <w:sz w:val="24"/>
                    <w:szCs w:val="24"/>
                    <w:highlight w:val="yellow"/>
                  </w:rPr>
                  <m:t>i</m:t>
                </m:r>
              </m:sub>
            </m:sSub>
            <m:r>
              <w:rPr>
                <w:rFonts w:ascii="Cambria Math" w:hAnsi="Cambria Math"/>
                <w:color w:val="343434"/>
                <w:kern w:val="0"/>
                <w:sz w:val="24"/>
                <w:szCs w:val="24"/>
                <w:highlight w:val="yellow"/>
              </w:rPr>
              <m:t>,</m:t>
            </m:r>
            <m:r>
              <m:rPr>
                <m:sty m:val="bi"/>
              </m:rPr>
              <w:rPr>
                <w:rFonts w:ascii="Cambria Math" w:hAnsi="Cambria Math"/>
                <w:color w:val="343434"/>
                <w:kern w:val="0"/>
                <w:sz w:val="24"/>
                <w:szCs w:val="24"/>
                <w:highlight w:val="yellow"/>
              </w:rPr>
              <m:t>t</m:t>
            </m:r>
          </m:e>
        </m:d>
        <m:r>
          <w:rPr>
            <w:rFonts w:ascii="Cambria Math" w:hAnsi="Cambria Math"/>
            <w:color w:val="343434"/>
            <w:kern w:val="0"/>
            <w:sz w:val="24"/>
            <w:szCs w:val="24"/>
            <w:highlight w:val="yellow"/>
          </w:rPr>
          <m:t>=</m:t>
        </m:r>
        <m:f>
          <m:fPr>
            <m:ctrlPr>
              <w:rPr>
                <w:rFonts w:ascii="Cambria Math" w:hAnsi="Cambria Math"/>
                <w:i/>
                <w:iCs/>
                <w:color w:val="343434"/>
                <w:kern w:val="0"/>
                <w:sz w:val="24"/>
                <w:szCs w:val="24"/>
                <w:highlight w:val="yellow"/>
              </w:rPr>
            </m:ctrlPr>
          </m:fPr>
          <m:num>
            <m:r>
              <w:rPr>
                <w:rFonts w:ascii="Cambria Math" w:hAnsi="Cambria Math"/>
                <w:color w:val="343434"/>
                <w:kern w:val="0"/>
                <w:sz w:val="24"/>
                <w:szCs w:val="24"/>
                <w:highlight w:val="yellow"/>
              </w:rPr>
              <m:t>f(</m:t>
            </m:r>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y</m:t>
                </m:r>
              </m:e>
              <m:sub>
                <m:r>
                  <w:rPr>
                    <w:rFonts w:ascii="Cambria Math" w:hAnsi="Cambria Math"/>
                    <w:color w:val="343434"/>
                    <w:kern w:val="0"/>
                    <w:sz w:val="24"/>
                    <w:szCs w:val="24"/>
                    <w:highlight w:val="yellow"/>
                  </w:rPr>
                  <m:t>e,i</m:t>
                </m:r>
              </m:sub>
            </m:sSub>
            <m:r>
              <w:rPr>
                <w:rFonts w:ascii="Cambria Math" w:hAnsi="Cambria Math"/>
                <w:color w:val="343434"/>
                <w:kern w:val="0"/>
                <w:sz w:val="24"/>
                <w:szCs w:val="24"/>
                <w:highlight w:val="yellow"/>
              </w:rPr>
              <m:t>|</m:t>
            </m:r>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S</m:t>
                </m:r>
              </m:e>
              <m:sub>
                <m:r>
                  <w:rPr>
                    <w:rFonts w:ascii="Cambria Math" w:hAnsi="Cambria Math"/>
                    <w:color w:val="343434"/>
                    <w:kern w:val="0"/>
                    <w:sz w:val="24"/>
                    <w:szCs w:val="24"/>
                    <w:highlight w:val="yellow"/>
                  </w:rPr>
                  <m:t>i</m:t>
                </m:r>
              </m:sub>
            </m:sSub>
            <m:r>
              <w:rPr>
                <w:rFonts w:ascii="Cambria Math" w:hAnsi="Cambria Math"/>
                <w:color w:val="343434"/>
                <w:kern w:val="0"/>
                <w:sz w:val="24"/>
                <w:szCs w:val="24"/>
                <w:highlight w:val="yellow"/>
              </w:rPr>
              <m:t>)</m:t>
            </m:r>
            <m:r>
              <m:rPr>
                <m:sty m:val="p"/>
              </m:rPr>
              <w:rPr>
                <w:rFonts w:ascii="Cambria Math" w:hAnsi="Cambria Math"/>
                <w:color w:val="343434"/>
                <w:kern w:val="0"/>
                <w:sz w:val="24"/>
                <w:szCs w:val="24"/>
                <w:highlight w:val="yellow"/>
              </w:rPr>
              <m:t>exp⁡</m:t>
            </m:r>
            <m:r>
              <w:rPr>
                <w:rFonts w:ascii="Cambria Math" w:hAnsi="Cambria Math"/>
                <w:color w:val="343434"/>
                <w:kern w:val="0"/>
                <w:sz w:val="24"/>
                <w:szCs w:val="24"/>
                <w:highlight w:val="yellow"/>
              </w:rPr>
              <m:t>(-</m:t>
            </m:r>
            <m:nary>
              <m:naryPr>
                <m:chr m:val="∑"/>
                <m:limLoc m:val="subSup"/>
                <m:ctrlPr>
                  <w:rPr>
                    <w:rFonts w:ascii="Cambria Math" w:hAnsi="Cambria Math"/>
                    <w:i/>
                    <w:iCs/>
                    <w:color w:val="343434"/>
                    <w:kern w:val="0"/>
                    <w:sz w:val="24"/>
                    <w:szCs w:val="24"/>
                    <w:highlight w:val="yellow"/>
                  </w:rPr>
                </m:ctrlPr>
              </m:naryPr>
              <m:sub>
                <m:r>
                  <w:rPr>
                    <w:rFonts w:ascii="Cambria Math" w:hAnsi="Cambria Math"/>
                    <w:color w:val="343434"/>
                    <w:kern w:val="0"/>
                    <w:sz w:val="24"/>
                    <w:szCs w:val="24"/>
                    <w:highlight w:val="yellow"/>
                  </w:rPr>
                  <m:t>k=1</m:t>
                </m:r>
              </m:sub>
              <m:sup>
                <m:r>
                  <w:rPr>
                    <w:rFonts w:ascii="Cambria Math" w:hAnsi="Cambria Math"/>
                    <w:color w:val="343434"/>
                    <w:kern w:val="0"/>
                    <w:sz w:val="24"/>
                    <w:szCs w:val="24"/>
                    <w:highlight w:val="yellow"/>
                  </w:rPr>
                  <m:t>K</m:t>
                </m:r>
              </m:sup>
              <m:e>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λ</m:t>
                    </m:r>
                  </m:e>
                  <m:sub>
                    <m:r>
                      <w:rPr>
                        <w:rFonts w:ascii="Cambria Math" w:hAnsi="Cambria Math"/>
                        <w:color w:val="343434"/>
                        <w:kern w:val="0"/>
                        <w:sz w:val="24"/>
                        <w:szCs w:val="24"/>
                        <w:highlight w:val="yellow"/>
                      </w:rPr>
                      <m:t>k</m:t>
                    </m:r>
                  </m:sub>
                </m:sSub>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ϕ</m:t>
                    </m:r>
                  </m:e>
                  <m:sub>
                    <m:r>
                      <w:rPr>
                        <w:rFonts w:ascii="Cambria Math" w:hAnsi="Cambria Math"/>
                        <w:color w:val="343434"/>
                        <w:kern w:val="0"/>
                        <w:sz w:val="24"/>
                        <w:szCs w:val="24"/>
                        <w:highlight w:val="yellow"/>
                      </w:rPr>
                      <m:t>ik</m:t>
                    </m:r>
                  </m:sub>
                </m:sSub>
              </m:e>
            </m:nary>
            <m:r>
              <w:rPr>
                <w:rFonts w:ascii="Cambria Math" w:hAnsi="Cambria Math"/>
                <w:color w:val="343434"/>
                <w:kern w:val="0"/>
                <w:sz w:val="24"/>
                <w:szCs w:val="24"/>
                <w:highlight w:val="yellow"/>
              </w:rPr>
              <m:t>)</m:t>
            </m:r>
          </m:num>
          <m:den>
            <m:nary>
              <m:naryPr>
                <m:limLoc m:val="subSup"/>
                <m:ctrlPr>
                  <w:rPr>
                    <w:rFonts w:ascii="Cambria Math" w:hAnsi="Cambria Math"/>
                    <w:i/>
                    <w:iCs/>
                    <w:color w:val="343434"/>
                    <w:kern w:val="0"/>
                    <w:sz w:val="24"/>
                    <w:szCs w:val="24"/>
                    <w:highlight w:val="yellow"/>
                  </w:rPr>
                </m:ctrlPr>
              </m:naryPr>
              <m:sub>
                <m:r>
                  <w:rPr>
                    <w:rFonts w:ascii="Cambria Math" w:hAnsi="Cambria Math"/>
                    <w:color w:val="343434"/>
                    <w:kern w:val="0"/>
                    <w:sz w:val="24"/>
                    <w:szCs w:val="24"/>
                    <w:highlight w:val="yellow"/>
                  </w:rPr>
                  <m:t>a=0</m:t>
                </m:r>
              </m:sub>
              <m:sup>
                <m:r>
                  <w:rPr>
                    <w:rFonts w:ascii="Cambria Math" w:hAnsi="Cambria Math"/>
                    <w:color w:val="343434"/>
                    <w:kern w:val="0"/>
                    <w:sz w:val="24"/>
                    <w:szCs w:val="24"/>
                    <w:highlight w:val="yellow"/>
                  </w:rPr>
                  <m:t>1</m:t>
                </m:r>
              </m:sup>
              <m:e>
                <m:r>
                  <w:rPr>
                    <w:rFonts w:ascii="Cambria Math" w:hAnsi="Cambria Math"/>
                    <w:color w:val="343434"/>
                    <w:kern w:val="0"/>
                    <w:sz w:val="24"/>
                    <w:szCs w:val="24"/>
                    <w:highlight w:val="yellow"/>
                  </w:rPr>
                  <m:t>f(</m:t>
                </m:r>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y</m:t>
                    </m:r>
                  </m:e>
                  <m:sub>
                    <m:r>
                      <w:rPr>
                        <w:rFonts w:ascii="Cambria Math" w:hAnsi="Cambria Math"/>
                        <w:color w:val="343434"/>
                        <w:kern w:val="0"/>
                        <w:sz w:val="24"/>
                        <w:szCs w:val="24"/>
                        <w:highlight w:val="yellow"/>
                      </w:rPr>
                      <m:t>e,i</m:t>
                    </m:r>
                  </m:sub>
                </m:sSub>
                <m:r>
                  <w:rPr>
                    <w:rFonts w:ascii="Cambria Math" w:hAnsi="Cambria Math"/>
                    <w:color w:val="343434"/>
                    <w:kern w:val="0"/>
                    <w:sz w:val="24"/>
                    <w:szCs w:val="24"/>
                    <w:highlight w:val="yellow"/>
                  </w:rPr>
                  <m:t>,</m:t>
                </m:r>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S</m:t>
                    </m:r>
                  </m:e>
                  <m:sub>
                    <m:r>
                      <w:rPr>
                        <w:rFonts w:ascii="Cambria Math" w:hAnsi="Cambria Math"/>
                        <w:color w:val="343434"/>
                        <w:kern w:val="0"/>
                        <w:sz w:val="24"/>
                        <w:szCs w:val="24"/>
                        <w:highlight w:val="yellow"/>
                      </w:rPr>
                      <m:t>i</m:t>
                    </m:r>
                  </m:sub>
                </m:sSub>
                <m:r>
                  <w:rPr>
                    <w:rFonts w:ascii="Cambria Math" w:hAnsi="Cambria Math"/>
                    <w:color w:val="343434"/>
                    <w:kern w:val="0"/>
                    <w:sz w:val="24"/>
                    <w:szCs w:val="24"/>
                    <w:highlight w:val="yellow"/>
                  </w:rPr>
                  <m:t>)</m:t>
                </m:r>
              </m:e>
            </m:nary>
            <m:r>
              <m:rPr>
                <m:sty m:val="p"/>
              </m:rPr>
              <w:rPr>
                <w:rFonts w:ascii="Cambria Math" w:hAnsi="Cambria Math"/>
                <w:color w:val="343434"/>
                <w:kern w:val="0"/>
                <w:sz w:val="24"/>
                <w:szCs w:val="24"/>
                <w:highlight w:val="yellow"/>
              </w:rPr>
              <m:t>exp⁡</m:t>
            </m:r>
            <m:r>
              <w:rPr>
                <w:rFonts w:ascii="Cambria Math" w:hAnsi="Cambria Math"/>
                <w:color w:val="343434"/>
                <w:kern w:val="0"/>
                <w:sz w:val="24"/>
                <w:szCs w:val="24"/>
                <w:highlight w:val="yellow"/>
              </w:rPr>
              <m:t>(-</m:t>
            </m:r>
            <m:nary>
              <m:naryPr>
                <m:chr m:val="∑"/>
                <m:limLoc m:val="subSup"/>
                <m:ctrlPr>
                  <w:rPr>
                    <w:rFonts w:ascii="Cambria Math" w:hAnsi="Cambria Math"/>
                    <w:i/>
                    <w:iCs/>
                    <w:color w:val="343434"/>
                    <w:kern w:val="0"/>
                    <w:sz w:val="24"/>
                    <w:szCs w:val="24"/>
                    <w:highlight w:val="yellow"/>
                  </w:rPr>
                </m:ctrlPr>
              </m:naryPr>
              <m:sub>
                <m:r>
                  <w:rPr>
                    <w:rFonts w:ascii="Cambria Math" w:hAnsi="Cambria Math"/>
                    <w:color w:val="343434"/>
                    <w:kern w:val="0"/>
                    <w:sz w:val="24"/>
                    <w:szCs w:val="24"/>
                    <w:highlight w:val="yellow"/>
                  </w:rPr>
                  <m:t>k=1</m:t>
                </m:r>
              </m:sub>
              <m:sup>
                <m:r>
                  <w:rPr>
                    <w:rFonts w:ascii="Cambria Math" w:hAnsi="Cambria Math"/>
                    <w:color w:val="343434"/>
                    <w:kern w:val="0"/>
                    <w:sz w:val="24"/>
                    <w:szCs w:val="24"/>
                    <w:highlight w:val="yellow"/>
                  </w:rPr>
                  <m:t>K</m:t>
                </m:r>
              </m:sup>
              <m:e>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λ</m:t>
                    </m:r>
                  </m:e>
                  <m:sub>
                    <m:r>
                      <w:rPr>
                        <w:rFonts w:ascii="Cambria Math" w:hAnsi="Cambria Math"/>
                        <w:color w:val="343434"/>
                        <w:kern w:val="0"/>
                        <w:sz w:val="24"/>
                        <w:szCs w:val="24"/>
                        <w:highlight w:val="yellow"/>
                      </w:rPr>
                      <m:t>k</m:t>
                    </m:r>
                  </m:sub>
                </m:sSub>
                <m:sSub>
                  <m:sSubPr>
                    <m:ctrlPr>
                      <w:rPr>
                        <w:rFonts w:ascii="Cambria Math" w:hAnsi="Cambria Math"/>
                        <w:i/>
                        <w:iCs/>
                        <w:color w:val="343434"/>
                        <w:kern w:val="0"/>
                        <w:sz w:val="24"/>
                        <w:szCs w:val="24"/>
                        <w:highlight w:val="yellow"/>
                      </w:rPr>
                    </m:ctrlPr>
                  </m:sSubPr>
                  <m:e>
                    <m:r>
                      <w:rPr>
                        <w:rFonts w:ascii="Cambria Math" w:hAnsi="Cambria Math"/>
                        <w:color w:val="343434"/>
                        <w:kern w:val="0"/>
                        <w:sz w:val="24"/>
                        <w:szCs w:val="24"/>
                        <w:highlight w:val="yellow"/>
                      </w:rPr>
                      <m:t>ϕ</m:t>
                    </m:r>
                  </m:e>
                  <m:sub>
                    <m:r>
                      <w:rPr>
                        <w:rFonts w:ascii="Cambria Math" w:hAnsi="Cambria Math"/>
                        <w:color w:val="343434"/>
                        <w:kern w:val="0"/>
                        <w:sz w:val="24"/>
                        <w:szCs w:val="24"/>
                        <w:highlight w:val="yellow"/>
                      </w:rPr>
                      <m:t>ik</m:t>
                    </m:r>
                  </m:sub>
                </m:sSub>
              </m:e>
            </m:nary>
            <m:r>
              <w:rPr>
                <w:rFonts w:ascii="Cambria Math" w:hAnsi="Cambria Math"/>
                <w:color w:val="343434"/>
                <w:kern w:val="0"/>
                <w:sz w:val="24"/>
                <w:szCs w:val="24"/>
                <w:highlight w:val="yellow"/>
              </w:rPr>
              <m:t>)</m:t>
            </m:r>
          </m:den>
        </m:f>
      </m:oMath>
      <w:r w:rsidR="001438BF">
        <w:rPr>
          <w:iCs/>
          <w:color w:val="343434"/>
          <w:kern w:val="0"/>
          <w:sz w:val="24"/>
          <w:szCs w:val="24"/>
        </w:rPr>
        <w:t xml:space="preserve"> </w:t>
      </w:r>
    </w:p>
    <w:p w14:paraId="67E6E284" w14:textId="1F8CCDC7" w:rsidR="006C027E" w:rsidRPr="00D720BD" w:rsidRDefault="006C027E" w:rsidP="008C6729">
      <w:pPr>
        <w:spacing w:after="0"/>
        <w:rPr>
          <w:iCs/>
          <w:color w:val="343434"/>
          <w:kern w:val="0"/>
          <w:sz w:val="24"/>
          <w:szCs w:val="24"/>
        </w:rPr>
      </w:pP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7024CD3D" w14:textId="238BF936"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5FF9B77B" w14:textId="618C2047" w:rsidR="004F223F" w:rsidRDefault="00407612" w:rsidP="00407612">
      <w:pPr>
        <w:spacing w:after="0"/>
        <w:ind w:firstLine="720"/>
        <w:rPr>
          <w:iCs/>
          <w:color w:val="343434"/>
          <w:kern w:val="0"/>
          <w:sz w:val="24"/>
          <w:szCs w:val="24"/>
        </w:rPr>
      </w:pPr>
      <w:r>
        <w:rPr>
          <w:iCs/>
          <w:color w:val="343434"/>
          <w:kern w:val="0"/>
          <w:sz w:val="24"/>
          <w:szCs w:val="24"/>
        </w:rPr>
        <w:t>EWOUC-NETS is simulated with three different versions: EWOUC-NETS-Comp</w:t>
      </w:r>
      <w:r w:rsidR="00931EA0">
        <w:rPr>
          <w:iCs/>
          <w:color w:val="343434"/>
          <w:kern w:val="0"/>
          <w:sz w:val="24"/>
          <w:szCs w:val="24"/>
        </w:rPr>
        <w:t xml:space="preserve"> (EWOUC-NETS with complete data, which waits and fully observes the patients’ efficacy outcome</w:t>
      </w:r>
      <w:r w:rsidR="00D941FB">
        <w:rPr>
          <w:iCs/>
          <w:color w:val="343434"/>
          <w:kern w:val="0"/>
          <w:sz w:val="24"/>
          <w:szCs w:val="24"/>
        </w:rPr>
        <w:t xml:space="preserve"> before the enrollment of the next new patient</w:t>
      </w:r>
      <w:r w:rsidR="00931EA0">
        <w:rPr>
          <w:iCs/>
          <w:color w:val="343434"/>
          <w:kern w:val="0"/>
          <w:sz w:val="24"/>
          <w:szCs w:val="24"/>
        </w:rPr>
        <w:t>)</w:t>
      </w:r>
      <w:r>
        <w:rPr>
          <w:iCs/>
          <w:color w:val="343434"/>
          <w:kern w:val="0"/>
          <w:sz w:val="24"/>
          <w:szCs w:val="24"/>
        </w:rPr>
        <w:t>, EWOUC-NETS-NW</w:t>
      </w:r>
      <w:r w:rsidR="00D941FB">
        <w:rPr>
          <w:iCs/>
          <w:color w:val="343434"/>
          <w:kern w:val="0"/>
          <w:sz w:val="24"/>
          <w:szCs w:val="24"/>
        </w:rPr>
        <w:t xml:space="preserve"> (EWOUC-NETS with incomplete data, not waiting for the e</w:t>
      </w:r>
      <w:r w:rsidR="007A27C1">
        <w:rPr>
          <w:iCs/>
          <w:color w:val="343434"/>
          <w:kern w:val="0"/>
          <w:sz w:val="24"/>
          <w:szCs w:val="24"/>
        </w:rPr>
        <w:t>fficacy outcome to be observed, which considers unobserved efficacy outcome as non-response and enrolls patients in real time</w:t>
      </w:r>
      <w:r w:rsidR="00D941FB">
        <w:rPr>
          <w:iCs/>
          <w:color w:val="343434"/>
          <w:kern w:val="0"/>
          <w:sz w:val="24"/>
          <w:szCs w:val="24"/>
        </w:rPr>
        <w:t>)</w:t>
      </w:r>
      <w:r>
        <w:rPr>
          <w:iCs/>
          <w:color w:val="343434"/>
          <w:kern w:val="0"/>
          <w:sz w:val="24"/>
          <w:szCs w:val="24"/>
        </w:rPr>
        <w:t xml:space="preserve">, </w:t>
      </w:r>
      <w:r w:rsidR="00931EA0">
        <w:rPr>
          <w:iCs/>
          <w:color w:val="343434"/>
          <w:kern w:val="0"/>
          <w:sz w:val="24"/>
          <w:szCs w:val="24"/>
        </w:rPr>
        <w:t>and EWOUC-NETS-DA</w:t>
      </w:r>
      <w:r w:rsidR="007A27C1">
        <w:rPr>
          <w:iCs/>
          <w:color w:val="343434"/>
          <w:kern w:val="0"/>
          <w:sz w:val="24"/>
          <w:szCs w:val="24"/>
        </w:rPr>
        <w:t xml:space="preserve"> (EWOUC-NETS using DA to handle missing efficacy data, which algorithm is described in [4])</w:t>
      </w:r>
      <w:r w:rsidR="00931EA0">
        <w:rPr>
          <w:iCs/>
          <w:color w:val="343434"/>
          <w:kern w:val="0"/>
          <w:sz w:val="24"/>
          <w:szCs w:val="24"/>
        </w:rPr>
        <w:t>.</w:t>
      </w:r>
      <w:r w:rsidR="00595E1A">
        <w:rPr>
          <w:iCs/>
          <w:color w:val="343434"/>
          <w:kern w:val="0"/>
          <w:sz w:val="24"/>
          <w:szCs w:val="24"/>
        </w:rPr>
        <w:t xml:space="preserve"> These three versions of EWOUC-NETS are compared with EWOC, EWOUC-Comp, EWOUC-NW and EWOUC-DA.</w:t>
      </w:r>
      <w:r w:rsidR="00C472FA">
        <w:rPr>
          <w:rFonts w:hint="eastAsia"/>
          <w:iCs/>
          <w:color w:val="343434"/>
          <w:kern w:val="0"/>
          <w:sz w:val="24"/>
          <w:szCs w:val="24"/>
        </w:rPr>
        <w:t xml:space="preserve"> </w:t>
      </w:r>
      <w:r w:rsidR="00C472FA">
        <w:rPr>
          <w:iCs/>
          <w:color w:val="343434"/>
          <w:kern w:val="0"/>
          <w:sz w:val="24"/>
          <w:szCs w:val="24"/>
        </w:rPr>
        <w:t>Here the EWOC also waits for efficacy outcome to be fully observed and uses complete data to estimate the MTD.</w:t>
      </w:r>
      <w:r w:rsidR="007D76D5">
        <w:rPr>
          <w:iCs/>
          <w:color w:val="343434"/>
          <w:kern w:val="0"/>
          <w:sz w:val="24"/>
          <w:szCs w:val="24"/>
        </w:rPr>
        <w:t xml:space="preserve"> The comparisons</w:t>
      </w:r>
      <w:r w:rsidR="007D76D5">
        <w:rPr>
          <w:rFonts w:hint="eastAsia"/>
          <w:iCs/>
          <w:color w:val="343434"/>
          <w:kern w:val="0"/>
          <w:sz w:val="24"/>
          <w:szCs w:val="24"/>
        </w:rPr>
        <w:t xml:space="preserve"> </w:t>
      </w:r>
      <w:r w:rsidR="007D76D5">
        <w:rPr>
          <w:iCs/>
          <w:color w:val="343434"/>
          <w:kern w:val="0"/>
          <w:sz w:val="24"/>
          <w:szCs w:val="24"/>
        </w:rPr>
        <w:t>between EWOUC-NETS-Comp</w:t>
      </w:r>
      <w:r w:rsidR="00E94397">
        <w:rPr>
          <w:iCs/>
          <w:color w:val="343434"/>
          <w:kern w:val="0"/>
          <w:sz w:val="24"/>
          <w:szCs w:val="24"/>
        </w:rPr>
        <w:t>,</w:t>
      </w:r>
      <w:r w:rsidR="007D76D5">
        <w:rPr>
          <w:iCs/>
          <w:color w:val="343434"/>
          <w:kern w:val="0"/>
          <w:sz w:val="24"/>
          <w:szCs w:val="24"/>
        </w:rPr>
        <w:t xml:space="preserve"> EWOUC</w:t>
      </w:r>
      <w:r w:rsidR="007D76D5">
        <w:rPr>
          <w:rFonts w:hint="eastAsia"/>
          <w:iCs/>
          <w:color w:val="343434"/>
          <w:kern w:val="0"/>
          <w:sz w:val="24"/>
          <w:szCs w:val="24"/>
        </w:rPr>
        <w:t>-</w:t>
      </w:r>
      <w:r w:rsidR="00E94397">
        <w:rPr>
          <w:iCs/>
          <w:color w:val="343434"/>
          <w:kern w:val="0"/>
          <w:sz w:val="24"/>
          <w:szCs w:val="24"/>
        </w:rPr>
        <w:t>N</w:t>
      </w:r>
      <w:r w:rsidR="00341E72">
        <w:rPr>
          <w:iCs/>
          <w:color w:val="343434"/>
          <w:kern w:val="0"/>
          <w:sz w:val="24"/>
          <w:szCs w:val="24"/>
        </w:rPr>
        <w:t>ETS-N</w:t>
      </w:r>
      <w:r w:rsidR="00E94397">
        <w:rPr>
          <w:rFonts w:hint="eastAsia"/>
          <w:iCs/>
          <w:color w:val="343434"/>
          <w:kern w:val="0"/>
          <w:sz w:val="24"/>
          <w:szCs w:val="24"/>
        </w:rPr>
        <w:t>W</w:t>
      </w:r>
      <w:r w:rsidR="00341E72">
        <w:rPr>
          <w:rFonts w:hint="eastAsia"/>
          <w:iCs/>
          <w:color w:val="343434"/>
          <w:kern w:val="0"/>
          <w:sz w:val="24"/>
          <w:szCs w:val="24"/>
        </w:rPr>
        <w:t xml:space="preserve"> </w:t>
      </w:r>
      <w:r w:rsidR="00341E72">
        <w:rPr>
          <w:iCs/>
          <w:color w:val="343434"/>
          <w:kern w:val="0"/>
          <w:sz w:val="24"/>
          <w:szCs w:val="24"/>
        </w:rPr>
        <w:t>and EWOUC-NETS-DA evaluates the efficiency of EWOUC-NETS-NW and EWOUC-NETS-DA on dealing with delayed efficacy outcome.</w:t>
      </w:r>
      <w:r w:rsidR="00434B2F">
        <w:rPr>
          <w:iCs/>
          <w:color w:val="343434"/>
          <w:kern w:val="0"/>
          <w:sz w:val="24"/>
          <w:szCs w:val="24"/>
        </w:rPr>
        <w:t xml:space="preserve"> The comparison between EWOUC-NETS methods and EWOC, EWOUC methods </w:t>
      </w:r>
      <w:r w:rsidR="00A34680">
        <w:rPr>
          <w:iCs/>
          <w:color w:val="343434"/>
          <w:kern w:val="0"/>
          <w:sz w:val="24"/>
          <w:szCs w:val="24"/>
        </w:rPr>
        <w:t xml:space="preserve">provides </w:t>
      </w:r>
      <w:r w:rsidR="00A34680">
        <w:rPr>
          <w:iCs/>
          <w:color w:val="343434"/>
          <w:kern w:val="0"/>
          <w:sz w:val="24"/>
          <w:szCs w:val="24"/>
        </w:rPr>
        <w:lastRenderedPageBreak/>
        <w:t xml:space="preserve">assessments on efficiency of additional under-dose control and the utilization of NETS and continuous efficacy outcome. </w:t>
      </w:r>
    </w:p>
    <w:p w14:paraId="33114B19" w14:textId="3FC3F21A" w:rsidR="001B3454" w:rsidRDefault="00C24B00" w:rsidP="001C54A9">
      <w:pPr>
        <w:spacing w:after="0"/>
        <w:ind w:firstLine="720"/>
        <w:rPr>
          <w:iCs/>
          <w:color w:val="343434"/>
          <w:kern w:val="0"/>
          <w:sz w:val="24"/>
          <w:szCs w:val="24"/>
        </w:rPr>
      </w:pPr>
      <w:r>
        <w:rPr>
          <w:iCs/>
          <w:color w:val="343434"/>
          <w:kern w:val="0"/>
          <w:sz w:val="24"/>
          <w:szCs w:val="24"/>
        </w:rPr>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xml:space="preserve">, and trial duration, under five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 Scenario 4 (S4) and Scenario 5</w:t>
      </w:r>
      <w:r w:rsidR="005D71D8">
        <w:rPr>
          <w:rFonts w:hint="eastAsia"/>
          <w:iCs/>
          <w:color w:val="343434"/>
          <w:kern w:val="0"/>
          <w:sz w:val="24"/>
          <w:szCs w:val="24"/>
        </w:rPr>
        <w:t xml:space="preserve"> </w:t>
      </w:r>
      <w:r w:rsidR="005D71D8">
        <w:rPr>
          <w:iCs/>
          <w:color w:val="343434"/>
          <w:kern w:val="0"/>
          <w:sz w:val="24"/>
          <w:szCs w:val="24"/>
        </w:rPr>
        <w:t xml:space="preserve">(S5) correspond to </w:t>
      </w:r>
      <w:r w:rsidR="00EA083E">
        <w:rPr>
          <w:iCs/>
          <w:color w:val="343434"/>
          <w:kern w:val="0"/>
          <w:sz w:val="24"/>
          <w:szCs w:val="24"/>
        </w:rPr>
        <w:t>a good agent, a moderate agent, a bad agen</w:t>
      </w:r>
      <w:r w:rsidR="00FD55D2">
        <w:rPr>
          <w:iCs/>
          <w:color w:val="343434"/>
          <w:kern w:val="0"/>
          <w:sz w:val="24"/>
          <w:szCs w:val="24"/>
        </w:rPr>
        <w:t>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[3], the targeted normalized equivalent score would be 0.476</w:t>
      </w:r>
      <w:r w:rsidR="00DC2EA0">
        <w:rPr>
          <w:iCs/>
          <w:color w:val="343434"/>
          <w:kern w:val="0"/>
          <w:sz w:val="24"/>
          <w:szCs w:val="24"/>
        </w:rPr>
        <w:t>, and it is also set to be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070C82">
        <w:rPr>
          <w:iCs/>
          <w:color w:val="343434"/>
          <w:kern w:val="0"/>
          <w:sz w:val="24"/>
          <w:szCs w:val="24"/>
        </w:rPr>
        <w:t xml:space="preserve"> 0.3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W=1</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The number of patients used for each trial is set to be 30 unless the trial is terminated in advance.</w:t>
      </w:r>
      <w:r w:rsidR="007D19F4">
        <w:rPr>
          <w:iCs/>
          <w:color w:val="343434"/>
          <w:kern w:val="0"/>
          <w:sz w:val="24"/>
          <w:szCs w:val="24"/>
        </w:rPr>
        <w:t xml:space="preserve"> 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5E28F670"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EWOUC-NETS-Comp with EWOC and EWOUC-comp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 xml:space="preserve">EWOUC-NETS-Comp utilized the best utility to identify the recommended </w:t>
      </w:r>
      <w:r w:rsidR="001F51DF">
        <w:rPr>
          <w:iCs/>
          <w:color w:val="343434"/>
          <w:kern w:val="0"/>
          <w:sz w:val="24"/>
          <w:szCs w:val="24"/>
        </w:rPr>
        <w:lastRenderedPageBreak/>
        <w:t xml:space="preserve">dose level for S1, S2 and S3. </w:t>
      </w:r>
      <w:r w:rsidR="00DB76A1">
        <w:rPr>
          <w:iCs/>
          <w:color w:val="343434"/>
          <w:kern w:val="0"/>
          <w:sz w:val="24"/>
          <w:szCs w:val="24"/>
        </w:rPr>
        <w:t xml:space="preserve">The OUD identified in these three scenarios are dose level 4, dose level 3 and dose level 4, respectively. </w:t>
      </w:r>
      <w:r w:rsidR="00173CF0">
        <w:rPr>
          <w:rFonts w:hint="eastAsia"/>
          <w:iCs/>
          <w:color w:val="343434"/>
          <w:kern w:val="0"/>
          <w:sz w:val="24"/>
          <w:szCs w:val="24"/>
        </w:rPr>
        <w:t>F</w:t>
      </w:r>
      <w:r w:rsidR="00173CF0">
        <w:rPr>
          <w:iCs/>
          <w:color w:val="343434"/>
          <w:kern w:val="0"/>
          <w:sz w:val="24"/>
          <w:szCs w:val="24"/>
        </w:rPr>
        <w:t>or Scenario 1, EWOUC-NETS-Comp</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062F3B">
        <w:rPr>
          <w:iCs/>
          <w:color w:val="343434"/>
          <w:kern w:val="0"/>
          <w:sz w:val="24"/>
          <w:szCs w:val="24"/>
        </w:rPr>
        <w:t>EWOC and EWOUC-NETS.</w:t>
      </w:r>
      <w:r w:rsidR="001F51DF">
        <w:rPr>
          <w:iCs/>
          <w:color w:val="343434"/>
          <w:kern w:val="0"/>
          <w:sz w:val="24"/>
          <w:szCs w:val="24"/>
        </w:rPr>
        <w:t xml:space="preserve"> However, it is </w:t>
      </w:r>
      <w:r w:rsidR="001F51DF">
        <w:rPr>
          <w:rFonts w:hint="eastAsia"/>
          <w:iCs/>
          <w:color w:val="343434"/>
          <w:kern w:val="0"/>
          <w:sz w:val="24"/>
          <w:szCs w:val="24"/>
        </w:rPr>
        <w:t>r</w:t>
      </w:r>
      <w:r w:rsidR="001F51DF">
        <w:rPr>
          <w:iCs/>
          <w:color w:val="343434"/>
          <w:kern w:val="0"/>
          <w:sz w:val="24"/>
          <w:szCs w:val="24"/>
        </w:rPr>
        <w:t xml:space="preserve">easonable, </w:t>
      </w:r>
      <w:r w:rsidR="0040480B">
        <w:rPr>
          <w:iCs/>
          <w:color w:val="343434"/>
          <w:kern w:val="0"/>
          <w:sz w:val="24"/>
          <w:szCs w:val="24"/>
        </w:rPr>
        <w:t xml:space="preserve">as it reaches the highest value of utility and </w:t>
      </w:r>
      <w:r w:rsidR="002C7D42">
        <w:rPr>
          <w:iCs/>
          <w:color w:val="343434"/>
          <w:kern w:val="0"/>
          <w:sz w:val="24"/>
          <w:szCs w:val="24"/>
        </w:rPr>
        <w:t>satisfies the over-dose and under-dose control.</w:t>
      </w:r>
      <w:r w:rsidR="00284A18">
        <w:rPr>
          <w:iCs/>
          <w:color w:val="343434"/>
          <w:kern w:val="0"/>
          <w:sz w:val="24"/>
          <w:szCs w:val="24"/>
        </w:rPr>
        <w:t xml:space="preserve"> </w:t>
      </w:r>
      <w:r w:rsidR="005752F8">
        <w:rPr>
          <w:iCs/>
          <w:color w:val="343434"/>
          <w:kern w:val="0"/>
          <w:sz w:val="24"/>
          <w:szCs w:val="24"/>
        </w:rPr>
        <w:t>EWOUC-NETS-Comp has the same recommended dose levels with EWOUC-Comp and EWOC in S2 and S3.</w:t>
      </w:r>
      <w:r w:rsidR="00D463F6">
        <w:rPr>
          <w:rFonts w:hint="eastAsia"/>
          <w:iCs/>
          <w:color w:val="343434"/>
          <w:kern w:val="0"/>
          <w:sz w:val="24"/>
          <w:szCs w:val="24"/>
        </w:rPr>
        <w:t xml:space="preserve"> </w:t>
      </w:r>
      <w:r w:rsidR="00D463F6">
        <w:rPr>
          <w:iCs/>
          <w:color w:val="343434"/>
          <w:kern w:val="0"/>
          <w:sz w:val="24"/>
          <w:szCs w:val="24"/>
        </w:rPr>
        <w:t>The dose identified</w:t>
      </w:r>
      <w:r w:rsidR="00C01735">
        <w:rPr>
          <w:iCs/>
          <w:color w:val="343434"/>
          <w:kern w:val="0"/>
          <w:sz w:val="24"/>
          <w:szCs w:val="24"/>
        </w:rPr>
        <w:t xml:space="preserve"> percentage</w:t>
      </w:r>
      <w:r w:rsidR="00FA76AF">
        <w:rPr>
          <w:iCs/>
          <w:color w:val="343434"/>
          <w:kern w:val="0"/>
          <w:sz w:val="24"/>
          <w:szCs w:val="24"/>
        </w:rPr>
        <w:t>s for the OUD by the EWOUC-NETS-Comp</w:t>
      </w:r>
      <w:r w:rsidR="003462E7">
        <w:rPr>
          <w:iCs/>
          <w:color w:val="343434"/>
          <w:kern w:val="0"/>
          <w:sz w:val="24"/>
          <w:szCs w:val="24"/>
        </w:rPr>
        <w:t xml:space="preserve"> are </w:t>
      </w:r>
      <w:r w:rsidR="00CD0D86">
        <w:rPr>
          <w:iCs/>
          <w:color w:val="343434"/>
          <w:kern w:val="0"/>
          <w:sz w:val="24"/>
          <w:szCs w:val="24"/>
        </w:rPr>
        <w:t>72</w:t>
      </w:r>
      <w:r w:rsidR="002C27D7">
        <w:rPr>
          <w:iCs/>
          <w:color w:val="343434"/>
          <w:kern w:val="0"/>
          <w:sz w:val="24"/>
          <w:szCs w:val="24"/>
        </w:rPr>
        <w:t>.7</w:t>
      </w:r>
      <w:r w:rsidR="00CD0D86">
        <w:rPr>
          <w:iCs/>
          <w:color w:val="343434"/>
          <w:kern w:val="0"/>
          <w:sz w:val="24"/>
          <w:szCs w:val="24"/>
        </w:rPr>
        <w:t xml:space="preserve">%, </w:t>
      </w:r>
      <w:r w:rsidR="002C27D7">
        <w:rPr>
          <w:rFonts w:hint="eastAsia"/>
          <w:iCs/>
          <w:color w:val="343434"/>
          <w:kern w:val="0"/>
          <w:sz w:val="24"/>
          <w:szCs w:val="24"/>
        </w:rPr>
        <w:t>5</w:t>
      </w:r>
      <w:r w:rsidR="002C27D7">
        <w:rPr>
          <w:iCs/>
          <w:color w:val="343434"/>
          <w:kern w:val="0"/>
          <w:sz w:val="24"/>
          <w:szCs w:val="24"/>
        </w:rPr>
        <w:t xml:space="preserve">6.8% </w:t>
      </w:r>
      <w:r w:rsidR="002C27D7">
        <w:rPr>
          <w:rFonts w:hint="eastAsia"/>
          <w:iCs/>
          <w:color w:val="343434"/>
          <w:kern w:val="0"/>
          <w:sz w:val="24"/>
          <w:szCs w:val="24"/>
        </w:rPr>
        <w:t>an</w:t>
      </w:r>
      <w:r w:rsidR="002C27D7">
        <w:rPr>
          <w:iCs/>
          <w:color w:val="343434"/>
          <w:kern w:val="0"/>
          <w:sz w:val="24"/>
          <w:szCs w:val="24"/>
        </w:rPr>
        <w:t>d 83.0%</w:t>
      </w:r>
      <w:r w:rsidR="00B656A3">
        <w:rPr>
          <w:iCs/>
          <w:color w:val="343434"/>
          <w:kern w:val="0"/>
          <w:sz w:val="24"/>
          <w:szCs w:val="24"/>
        </w:rPr>
        <w:t xml:space="preserve"> for S1, S2 and S3, respectively. Since no targeted dose found in S4 and S5, the trial should be terminated early under S4 and S5. </w:t>
      </w:r>
      <w:r w:rsidR="002126B3">
        <w:rPr>
          <w:iCs/>
          <w:color w:val="343434"/>
          <w:kern w:val="0"/>
          <w:sz w:val="24"/>
          <w:szCs w:val="24"/>
        </w:rPr>
        <w:t xml:space="preserve">EWOC chooses a dose level by using the true MTD rather than the OUD. However, this could be more toxic in the future clinical studies. The dose level selected by EWOUC-Comp and EWOUC-NETS-Comp are less toxic since they take into account the minimum efficacy and the highest utility. EWOUC-NETS-Comp provides a more reasonable result than EWOUC-Comp as </w:t>
      </w:r>
      <w:r w:rsidR="0033188E">
        <w:rPr>
          <w:iCs/>
          <w:color w:val="343434"/>
          <w:kern w:val="0"/>
          <w:sz w:val="24"/>
          <w:szCs w:val="24"/>
        </w:rPr>
        <w:t>the dose level remains within the acceptable dose set but with higher dosage, which is usually more efficacious</w:t>
      </w:r>
      <w:r w:rsidR="002126B3">
        <w:rPr>
          <w:iCs/>
          <w:color w:val="343434"/>
          <w:kern w:val="0"/>
          <w:sz w:val="24"/>
          <w:szCs w:val="24"/>
        </w:rPr>
        <w:t>.</w:t>
      </w:r>
    </w:p>
    <w:p w14:paraId="6483028C" w14:textId="7A91571C" w:rsidR="0033188E" w:rsidRDefault="0033188E" w:rsidP="0033188E">
      <w:pPr>
        <w:spacing w:after="0"/>
        <w:ind w:firstLine="720"/>
        <w:rPr>
          <w:iCs/>
          <w:color w:val="343434"/>
          <w:kern w:val="0"/>
          <w:sz w:val="24"/>
          <w:szCs w:val="24"/>
        </w:rPr>
      </w:pPr>
      <w:r>
        <w:rPr>
          <w:iCs/>
          <w:color w:val="343434"/>
          <w:kern w:val="0"/>
          <w:sz w:val="24"/>
          <w:szCs w:val="24"/>
        </w:rPr>
        <w:t>Then we want to evaluate the performance of the DA algorithm in handling delayed efficacy. Hence, the EWOUC-NETS-DA is compared with EWOUC-NETS-NW and EWOUC-NETS-Comp under each scenario.</w:t>
      </w:r>
      <w:r w:rsidR="00E05EDE">
        <w:rPr>
          <w:iCs/>
          <w:color w:val="343434"/>
          <w:kern w:val="0"/>
          <w:sz w:val="24"/>
          <w:szCs w:val="24"/>
        </w:rPr>
        <w:t xml:space="preserve"> The EWOUC-NETS-DA has higher dose recommendation percentage at the OUD than EWOUC-NETS-NW under S1, S2 and S3. </w:t>
      </w:r>
      <w:r w:rsidR="004F126B">
        <w:rPr>
          <w:iCs/>
          <w:color w:val="343434"/>
          <w:kern w:val="0"/>
          <w:sz w:val="24"/>
          <w:szCs w:val="24"/>
        </w:rPr>
        <w:t>More patients are treated at the OUD using EWOUC-NETS-DA than using EWOUC-NETS-NW (51.57% vs 61.28% in S1, 42.90% vs 48.78% in S2, and 57.18% vs 62.03% in S3).</w:t>
      </w:r>
      <w:r w:rsidR="00832B93">
        <w:rPr>
          <w:iCs/>
          <w:color w:val="343434"/>
          <w:kern w:val="0"/>
          <w:sz w:val="24"/>
          <w:szCs w:val="24"/>
        </w:rPr>
        <w:t xml:space="preserve"> Less percentage of patients are treated above the OUD by EWOUC-NETS-DA</w:t>
      </w:r>
      <w:r w:rsidR="00A42B7F">
        <w:rPr>
          <w:iCs/>
          <w:color w:val="343434"/>
          <w:kern w:val="0"/>
          <w:sz w:val="24"/>
          <w:szCs w:val="24"/>
        </w:rPr>
        <w:t>, which ensures higher safety</w:t>
      </w:r>
      <w:r w:rsidR="00832B93">
        <w:rPr>
          <w:iCs/>
          <w:color w:val="343434"/>
          <w:kern w:val="0"/>
          <w:sz w:val="24"/>
          <w:szCs w:val="24"/>
        </w:rPr>
        <w:t>.</w:t>
      </w:r>
      <w:r w:rsidR="001C544F">
        <w:rPr>
          <w:iCs/>
          <w:color w:val="343434"/>
          <w:kern w:val="0"/>
          <w:sz w:val="24"/>
          <w:szCs w:val="24"/>
        </w:rPr>
        <w:t xml:space="preserve"> Nevertheless, these three versions of EWOUC-NETS all stop the trial ea</w:t>
      </w:r>
      <w:r w:rsidR="006C190A">
        <w:rPr>
          <w:iCs/>
          <w:color w:val="343434"/>
          <w:kern w:val="0"/>
          <w:sz w:val="24"/>
          <w:szCs w:val="24"/>
        </w:rPr>
        <w:t>rly under S4 and S5, because no targeted dose level is found within the acceptable dose set.</w:t>
      </w:r>
      <w:r w:rsidR="00277237">
        <w:rPr>
          <w:iCs/>
          <w:color w:val="343434"/>
          <w:kern w:val="0"/>
          <w:sz w:val="24"/>
          <w:szCs w:val="24"/>
        </w:rPr>
        <w:t xml:space="preserve"> In the case of bad (S4) and extremely bad (S5) agents, the average sample sizes are 15.851 for </w:t>
      </w:r>
      <w:r w:rsidR="00E42C66">
        <w:rPr>
          <w:iCs/>
          <w:color w:val="343434"/>
          <w:kern w:val="0"/>
          <w:sz w:val="24"/>
          <w:szCs w:val="24"/>
        </w:rPr>
        <w:t>EWOUC-NETS-</w:t>
      </w:r>
      <w:r w:rsidR="00044A20">
        <w:rPr>
          <w:iCs/>
          <w:color w:val="343434"/>
          <w:kern w:val="0"/>
          <w:sz w:val="24"/>
          <w:szCs w:val="24"/>
        </w:rPr>
        <w:t>NW</w:t>
      </w:r>
      <w:r w:rsidR="00E42C66">
        <w:rPr>
          <w:iCs/>
          <w:color w:val="343434"/>
          <w:kern w:val="0"/>
          <w:sz w:val="24"/>
          <w:szCs w:val="24"/>
        </w:rPr>
        <w:t>, and 19.085 for EWOUC-</w:t>
      </w:r>
      <w:r w:rsidR="00E42C66">
        <w:rPr>
          <w:iCs/>
          <w:color w:val="343434"/>
          <w:kern w:val="0"/>
          <w:sz w:val="24"/>
          <w:szCs w:val="24"/>
        </w:rPr>
        <w:lastRenderedPageBreak/>
        <w:t>NETS-DA</w:t>
      </w:r>
      <w:r w:rsidR="00044A20">
        <w:rPr>
          <w:iCs/>
          <w:color w:val="343434"/>
          <w:kern w:val="0"/>
          <w:sz w:val="24"/>
          <w:szCs w:val="24"/>
        </w:rPr>
        <w:t>. EWOUC-NETS-NW has smaller sample size because it simply ignore</w:t>
      </w:r>
      <w:r w:rsidR="004175E6">
        <w:rPr>
          <w:iCs/>
          <w:color w:val="343434"/>
          <w:kern w:val="0"/>
          <w:sz w:val="24"/>
          <w:szCs w:val="24"/>
        </w:rPr>
        <w:t>s incomplete data and overestimate MED.</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77777777"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 S2 and S3)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1305BAF2" w14:textId="6BAB6B30" w:rsidR="00157B3E" w:rsidRPr="00CF52E8"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Application using a real trial example</w:t>
      </w:r>
    </w:p>
    <w:p w14:paraId="7B8698EB" w14:textId="75A575CA" w:rsidR="00E82E07" w:rsidRDefault="00E82E07" w:rsidP="00E82E07">
      <w:pPr>
        <w:spacing w:after="0"/>
        <w:rPr>
          <w:iCs/>
          <w:color w:val="343434"/>
          <w:kern w:val="0"/>
          <w:sz w:val="24"/>
          <w:szCs w:val="24"/>
        </w:rPr>
      </w:pPr>
    </w:p>
    <w:p w14:paraId="537B9705" w14:textId="77777777" w:rsidR="00BF17DD" w:rsidRDefault="00E82E07" w:rsidP="0052437D">
      <w:pPr>
        <w:pStyle w:val="ListParagraph"/>
        <w:numPr>
          <w:ilvl w:val="0"/>
          <w:numId w:val="3"/>
        </w:numPr>
        <w:spacing w:after="0"/>
        <w:rPr>
          <w:b/>
          <w:bCs/>
          <w:i/>
          <w:color w:val="343434"/>
          <w:kern w:val="0"/>
          <w:sz w:val="24"/>
          <w:szCs w:val="24"/>
        </w:rPr>
      </w:pPr>
      <w:r w:rsidRPr="00E82E07">
        <w:rPr>
          <w:rFonts w:hint="eastAsia"/>
          <w:b/>
          <w:bCs/>
          <w:i/>
          <w:color w:val="343434"/>
          <w:kern w:val="0"/>
          <w:sz w:val="24"/>
          <w:szCs w:val="24"/>
        </w:rPr>
        <w:t>C</w:t>
      </w:r>
      <w:r w:rsidRPr="00E82E07">
        <w:rPr>
          <w:b/>
          <w:bCs/>
          <w:i/>
          <w:color w:val="343434"/>
          <w:kern w:val="0"/>
          <w:sz w:val="24"/>
          <w:szCs w:val="24"/>
        </w:rPr>
        <w:t>onclusion and discussion</w:t>
      </w:r>
    </w:p>
    <w:p w14:paraId="5DEA6473" w14:textId="71F24D7B"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In addition, </w:t>
      </w:r>
      <w:r w:rsidR="00505EF2">
        <w:rPr>
          <w:iCs/>
          <w:color w:val="343434"/>
          <w:kern w:val="0"/>
          <w:sz w:val="24"/>
          <w:szCs w:val="24"/>
        </w:rPr>
        <w:t xml:space="preserve">the application </w:t>
      </w:r>
      <w:r w:rsidR="00505EF2">
        <w:rPr>
          <w:rFonts w:hint="eastAsia"/>
          <w:iCs/>
          <w:color w:val="343434"/>
          <w:kern w:val="0"/>
          <w:sz w:val="24"/>
          <w:szCs w:val="24"/>
        </w:rPr>
        <w:t>D</w:t>
      </w:r>
      <w:r w:rsidR="00505EF2">
        <w:rPr>
          <w:iCs/>
          <w:color w:val="343434"/>
          <w:kern w:val="0"/>
          <w:sz w:val="24"/>
          <w:szCs w:val="24"/>
        </w:rPr>
        <w:t xml:space="preserve">A algorithm in the EWOUC-NETS-DA design </w:t>
      </w:r>
      <w:r w:rsidR="00EB107C">
        <w:rPr>
          <w:iCs/>
          <w:color w:val="343434"/>
          <w:kern w:val="0"/>
          <w:sz w:val="24"/>
          <w:szCs w:val="24"/>
        </w:rPr>
        <w:t>is used to handle delayed efficacy</w:t>
      </w:r>
      <w:r w:rsidR="00E80FAF">
        <w:rPr>
          <w:iCs/>
          <w:color w:val="343434"/>
          <w:kern w:val="0"/>
          <w:sz w:val="24"/>
          <w:szCs w:val="24"/>
        </w:rPr>
        <w:t xml:space="preserve">. The DA algorithm also </w:t>
      </w:r>
      <w:r w:rsidR="00505EF2">
        <w:rPr>
          <w:iCs/>
          <w:color w:val="343434"/>
          <w:kern w:val="0"/>
          <w:sz w:val="24"/>
          <w:szCs w:val="24"/>
        </w:rPr>
        <w:t>improves the trial efficiency and increases the accuracy of final dose estimation for subsequent clinical trials.</w:t>
      </w:r>
    </w:p>
    <w:p w14:paraId="7E558ACB" w14:textId="19377F26"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[4] is employed to model the toxicity outcome while the efficacy is also considered to be continuous by using </w:t>
      </w:r>
      <w:r w:rsidR="00EB107C">
        <w:rPr>
          <w:iCs/>
          <w:color w:val="343434"/>
          <w:kern w:val="0"/>
          <w:sz w:val="24"/>
          <w:szCs w:val="24"/>
        </w:rPr>
        <w:t xml:space="preserve">the factorization model proposed in [5].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trials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recommended dose between the MED and the </w:t>
      </w:r>
      <w:r w:rsidR="003263ED">
        <w:rPr>
          <w:iCs/>
          <w:color w:val="343434"/>
          <w:kern w:val="0"/>
          <w:sz w:val="24"/>
          <w:szCs w:val="24"/>
        </w:rPr>
        <w:lastRenderedPageBreak/>
        <w:t xml:space="preserve">MTD with the best utility. </w:t>
      </w:r>
      <w:r w:rsidR="00377A4D">
        <w:rPr>
          <w:iCs/>
          <w:color w:val="343434"/>
          <w:kern w:val="0"/>
          <w:sz w:val="24"/>
          <w:szCs w:val="24"/>
        </w:rPr>
        <w:t>Under S1 and S3,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 Under S2, the average NETS are slightly larger or similar to the average rates of EWOC and EWOUC design</w:t>
      </w:r>
      <w:r w:rsidR="00E77E31">
        <w:rPr>
          <w:iCs/>
          <w:color w:val="343434"/>
          <w:kern w:val="0"/>
          <w:sz w:val="24"/>
          <w:szCs w:val="24"/>
        </w:rPr>
        <w:t xml:space="preserve">s.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465C1314"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5554BED4" w14:textId="2F29BFAE" w:rsidR="00CE33F0" w:rsidRDefault="00CE33F0" w:rsidP="00CE33F0">
      <w:pPr>
        <w:spacing w:after="0"/>
        <w:jc w:val="both"/>
        <w:rPr>
          <w:rFonts w:cs="Times New Roman"/>
          <w:b/>
          <w:sz w:val="24"/>
          <w:szCs w:val="24"/>
        </w:rPr>
      </w:pPr>
    </w:p>
    <w:p w14:paraId="6FAB48EE" w14:textId="133EB390" w:rsidR="00CE33F0" w:rsidRPr="00D265FB" w:rsidRDefault="00CE33F0" w:rsidP="00CE33F0">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0115879C" w14:textId="4A97FC64" w:rsidR="00023FB7" w:rsidRPr="00023FB7" w:rsidRDefault="00023FB7" w:rsidP="00023FB7">
      <w:pPr>
        <w:spacing w:after="0"/>
        <w:ind w:firstLine="360"/>
        <w:rPr>
          <w:iCs/>
          <w:color w:val="343434"/>
          <w:kern w:val="0"/>
          <w:sz w:val="24"/>
          <w:szCs w:val="24"/>
        </w:rPr>
      </w:pPr>
    </w:p>
    <w:p w14:paraId="494A189F" w14:textId="77777777" w:rsidR="006B798E" w:rsidRPr="006B798E" w:rsidRDefault="006B798E" w:rsidP="00BF17DD">
      <w:pPr>
        <w:spacing w:after="0"/>
        <w:ind w:firstLine="360"/>
        <w:rPr>
          <w:iCs/>
          <w:color w:val="343434"/>
          <w:kern w:val="0"/>
          <w:sz w:val="24"/>
          <w:szCs w:val="24"/>
        </w:rPr>
      </w:pPr>
    </w:p>
    <w:sectPr w:rsidR="006B798E" w:rsidRPr="006B798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A8DE7" w14:textId="77777777" w:rsidR="00937097" w:rsidRDefault="00937097" w:rsidP="000561A5">
      <w:pPr>
        <w:spacing w:after="0" w:line="240" w:lineRule="auto"/>
      </w:pPr>
      <w:r>
        <w:separator/>
      </w:r>
    </w:p>
  </w:endnote>
  <w:endnote w:type="continuationSeparator" w:id="0">
    <w:p w14:paraId="39EFF11E" w14:textId="77777777" w:rsidR="00937097" w:rsidRDefault="00937097"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9CC45" w14:textId="77777777" w:rsidR="00937097" w:rsidRDefault="00937097" w:rsidP="000561A5">
      <w:pPr>
        <w:spacing w:after="0" w:line="240" w:lineRule="auto"/>
      </w:pPr>
      <w:r>
        <w:separator/>
      </w:r>
    </w:p>
  </w:footnote>
  <w:footnote w:type="continuationSeparator" w:id="0">
    <w:p w14:paraId="6559CF70" w14:textId="77777777" w:rsidR="00937097" w:rsidRDefault="00937097"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4E"/>
    <w:rsid w:val="00007292"/>
    <w:rsid w:val="00015985"/>
    <w:rsid w:val="00020B54"/>
    <w:rsid w:val="00023FB7"/>
    <w:rsid w:val="00035C76"/>
    <w:rsid w:val="00036D07"/>
    <w:rsid w:val="000377B7"/>
    <w:rsid w:val="00044A20"/>
    <w:rsid w:val="00050C1F"/>
    <w:rsid w:val="00051A91"/>
    <w:rsid w:val="000561A5"/>
    <w:rsid w:val="00060F60"/>
    <w:rsid w:val="00062F3B"/>
    <w:rsid w:val="00070C82"/>
    <w:rsid w:val="00086F0E"/>
    <w:rsid w:val="00090CE3"/>
    <w:rsid w:val="00092D25"/>
    <w:rsid w:val="00094691"/>
    <w:rsid w:val="000D54FB"/>
    <w:rsid w:val="000D57EE"/>
    <w:rsid w:val="000D70DB"/>
    <w:rsid w:val="000E1241"/>
    <w:rsid w:val="000F26A6"/>
    <w:rsid w:val="000F3059"/>
    <w:rsid w:val="000F4425"/>
    <w:rsid w:val="0010346B"/>
    <w:rsid w:val="00110F97"/>
    <w:rsid w:val="00122FE3"/>
    <w:rsid w:val="001247E7"/>
    <w:rsid w:val="0012782C"/>
    <w:rsid w:val="0013599E"/>
    <w:rsid w:val="001438BF"/>
    <w:rsid w:val="0014676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7D23"/>
    <w:rsid w:val="001E2559"/>
    <w:rsid w:val="001E258F"/>
    <w:rsid w:val="001F0114"/>
    <w:rsid w:val="001F51DF"/>
    <w:rsid w:val="001F6BA4"/>
    <w:rsid w:val="00200D80"/>
    <w:rsid w:val="00203E18"/>
    <w:rsid w:val="00210B75"/>
    <w:rsid w:val="002126B3"/>
    <w:rsid w:val="00213360"/>
    <w:rsid w:val="002207D7"/>
    <w:rsid w:val="00225BC1"/>
    <w:rsid w:val="002409D2"/>
    <w:rsid w:val="00247CE1"/>
    <w:rsid w:val="0025051C"/>
    <w:rsid w:val="00254A7F"/>
    <w:rsid w:val="0027202D"/>
    <w:rsid w:val="00277237"/>
    <w:rsid w:val="00280386"/>
    <w:rsid w:val="002838CB"/>
    <w:rsid w:val="00284A18"/>
    <w:rsid w:val="002A212A"/>
    <w:rsid w:val="002A3C7B"/>
    <w:rsid w:val="002A62A1"/>
    <w:rsid w:val="002C27D7"/>
    <w:rsid w:val="002C317B"/>
    <w:rsid w:val="002C415B"/>
    <w:rsid w:val="002C7D42"/>
    <w:rsid w:val="002E0B28"/>
    <w:rsid w:val="002E5085"/>
    <w:rsid w:val="002F0CEE"/>
    <w:rsid w:val="002F2A94"/>
    <w:rsid w:val="002F7636"/>
    <w:rsid w:val="003010A5"/>
    <w:rsid w:val="00304A5A"/>
    <w:rsid w:val="003054F7"/>
    <w:rsid w:val="00307C4E"/>
    <w:rsid w:val="00310FD3"/>
    <w:rsid w:val="00314467"/>
    <w:rsid w:val="003149A8"/>
    <w:rsid w:val="00314BAF"/>
    <w:rsid w:val="003221FD"/>
    <w:rsid w:val="00322F25"/>
    <w:rsid w:val="003263ED"/>
    <w:rsid w:val="0033188E"/>
    <w:rsid w:val="00331987"/>
    <w:rsid w:val="00334448"/>
    <w:rsid w:val="0033680D"/>
    <w:rsid w:val="00341A14"/>
    <w:rsid w:val="00341E72"/>
    <w:rsid w:val="00344014"/>
    <w:rsid w:val="003462E7"/>
    <w:rsid w:val="0035350E"/>
    <w:rsid w:val="0035360A"/>
    <w:rsid w:val="00360C41"/>
    <w:rsid w:val="00363CF2"/>
    <w:rsid w:val="00377A4D"/>
    <w:rsid w:val="003909E0"/>
    <w:rsid w:val="00391A1C"/>
    <w:rsid w:val="003A12F2"/>
    <w:rsid w:val="003A47F9"/>
    <w:rsid w:val="003A582D"/>
    <w:rsid w:val="003B003F"/>
    <w:rsid w:val="003B5379"/>
    <w:rsid w:val="003C19BD"/>
    <w:rsid w:val="003C4D17"/>
    <w:rsid w:val="003D0DED"/>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7E4C"/>
    <w:rsid w:val="00434B2F"/>
    <w:rsid w:val="004368AB"/>
    <w:rsid w:val="00440A9D"/>
    <w:rsid w:val="004462FC"/>
    <w:rsid w:val="00455157"/>
    <w:rsid w:val="00472D7E"/>
    <w:rsid w:val="00490648"/>
    <w:rsid w:val="00491C35"/>
    <w:rsid w:val="00493CE7"/>
    <w:rsid w:val="004A1FCD"/>
    <w:rsid w:val="004B18C7"/>
    <w:rsid w:val="004B6A38"/>
    <w:rsid w:val="004D076A"/>
    <w:rsid w:val="004D3C4C"/>
    <w:rsid w:val="004E5BC2"/>
    <w:rsid w:val="004F126B"/>
    <w:rsid w:val="004F223F"/>
    <w:rsid w:val="004F350A"/>
    <w:rsid w:val="004F4502"/>
    <w:rsid w:val="00505662"/>
    <w:rsid w:val="00505EF2"/>
    <w:rsid w:val="005220DA"/>
    <w:rsid w:val="0052437D"/>
    <w:rsid w:val="00530D35"/>
    <w:rsid w:val="005321FD"/>
    <w:rsid w:val="0053771F"/>
    <w:rsid w:val="00547683"/>
    <w:rsid w:val="005512B4"/>
    <w:rsid w:val="00561B04"/>
    <w:rsid w:val="00567F0C"/>
    <w:rsid w:val="00573114"/>
    <w:rsid w:val="005752F8"/>
    <w:rsid w:val="00586946"/>
    <w:rsid w:val="00595E1A"/>
    <w:rsid w:val="005964D9"/>
    <w:rsid w:val="005A2A2B"/>
    <w:rsid w:val="005A2BE9"/>
    <w:rsid w:val="005A4089"/>
    <w:rsid w:val="005A7350"/>
    <w:rsid w:val="005B6612"/>
    <w:rsid w:val="005C02BA"/>
    <w:rsid w:val="005D0F71"/>
    <w:rsid w:val="005D0FA3"/>
    <w:rsid w:val="005D503C"/>
    <w:rsid w:val="005D71D8"/>
    <w:rsid w:val="005E4EC0"/>
    <w:rsid w:val="005F38D9"/>
    <w:rsid w:val="006068BF"/>
    <w:rsid w:val="00611FDF"/>
    <w:rsid w:val="00627DDB"/>
    <w:rsid w:val="00635A67"/>
    <w:rsid w:val="00636158"/>
    <w:rsid w:val="006378A8"/>
    <w:rsid w:val="006414C5"/>
    <w:rsid w:val="00652041"/>
    <w:rsid w:val="006849AA"/>
    <w:rsid w:val="00686B33"/>
    <w:rsid w:val="006965DB"/>
    <w:rsid w:val="006B26A2"/>
    <w:rsid w:val="006B679C"/>
    <w:rsid w:val="006B798E"/>
    <w:rsid w:val="006C027E"/>
    <w:rsid w:val="006C190A"/>
    <w:rsid w:val="006C296F"/>
    <w:rsid w:val="006C320C"/>
    <w:rsid w:val="006D4344"/>
    <w:rsid w:val="006D4E7C"/>
    <w:rsid w:val="006E5B8A"/>
    <w:rsid w:val="006E6154"/>
    <w:rsid w:val="006E78DA"/>
    <w:rsid w:val="006F621A"/>
    <w:rsid w:val="00703B37"/>
    <w:rsid w:val="007073D1"/>
    <w:rsid w:val="007126BA"/>
    <w:rsid w:val="007172D0"/>
    <w:rsid w:val="00717D25"/>
    <w:rsid w:val="00725C9D"/>
    <w:rsid w:val="00733222"/>
    <w:rsid w:val="00744E4F"/>
    <w:rsid w:val="007541BB"/>
    <w:rsid w:val="00757019"/>
    <w:rsid w:val="00761283"/>
    <w:rsid w:val="00773737"/>
    <w:rsid w:val="00784BF4"/>
    <w:rsid w:val="00791277"/>
    <w:rsid w:val="00792ABF"/>
    <w:rsid w:val="0079778D"/>
    <w:rsid w:val="007A27C1"/>
    <w:rsid w:val="007A2863"/>
    <w:rsid w:val="007A2A58"/>
    <w:rsid w:val="007A3287"/>
    <w:rsid w:val="007A5532"/>
    <w:rsid w:val="007C4B28"/>
    <w:rsid w:val="007D15C3"/>
    <w:rsid w:val="007D19F4"/>
    <w:rsid w:val="007D76D5"/>
    <w:rsid w:val="007E0670"/>
    <w:rsid w:val="00804E84"/>
    <w:rsid w:val="00823C7A"/>
    <w:rsid w:val="00832B93"/>
    <w:rsid w:val="00841A81"/>
    <w:rsid w:val="00845EEF"/>
    <w:rsid w:val="00852CFA"/>
    <w:rsid w:val="008555B6"/>
    <w:rsid w:val="00865457"/>
    <w:rsid w:val="008827BF"/>
    <w:rsid w:val="008930AC"/>
    <w:rsid w:val="008C3B71"/>
    <w:rsid w:val="008C58EB"/>
    <w:rsid w:val="008C6729"/>
    <w:rsid w:val="008C6B0E"/>
    <w:rsid w:val="008C7455"/>
    <w:rsid w:val="008D67A2"/>
    <w:rsid w:val="008E6986"/>
    <w:rsid w:val="008F0917"/>
    <w:rsid w:val="008F342E"/>
    <w:rsid w:val="0090307A"/>
    <w:rsid w:val="009147B2"/>
    <w:rsid w:val="00930E03"/>
    <w:rsid w:val="00931EA0"/>
    <w:rsid w:val="009349FE"/>
    <w:rsid w:val="00937097"/>
    <w:rsid w:val="00955D82"/>
    <w:rsid w:val="00961F7A"/>
    <w:rsid w:val="0097121B"/>
    <w:rsid w:val="009735B9"/>
    <w:rsid w:val="00980D6F"/>
    <w:rsid w:val="009905E5"/>
    <w:rsid w:val="00990E09"/>
    <w:rsid w:val="0099302D"/>
    <w:rsid w:val="00997FA8"/>
    <w:rsid w:val="009A1659"/>
    <w:rsid w:val="009C045E"/>
    <w:rsid w:val="009D32A9"/>
    <w:rsid w:val="009E7508"/>
    <w:rsid w:val="009F5A13"/>
    <w:rsid w:val="00A121F8"/>
    <w:rsid w:val="00A1613D"/>
    <w:rsid w:val="00A27F03"/>
    <w:rsid w:val="00A34680"/>
    <w:rsid w:val="00A360D2"/>
    <w:rsid w:val="00A42B7F"/>
    <w:rsid w:val="00A47101"/>
    <w:rsid w:val="00A51A6C"/>
    <w:rsid w:val="00A52796"/>
    <w:rsid w:val="00A55C25"/>
    <w:rsid w:val="00A73FD2"/>
    <w:rsid w:val="00A74C95"/>
    <w:rsid w:val="00A90BEE"/>
    <w:rsid w:val="00A92013"/>
    <w:rsid w:val="00A9211F"/>
    <w:rsid w:val="00A92C51"/>
    <w:rsid w:val="00A9393C"/>
    <w:rsid w:val="00A94068"/>
    <w:rsid w:val="00AB5DCC"/>
    <w:rsid w:val="00AB779C"/>
    <w:rsid w:val="00AC2C0C"/>
    <w:rsid w:val="00AE2471"/>
    <w:rsid w:val="00AF3361"/>
    <w:rsid w:val="00AF6DD4"/>
    <w:rsid w:val="00B00D68"/>
    <w:rsid w:val="00B06F3F"/>
    <w:rsid w:val="00B160CC"/>
    <w:rsid w:val="00B20C68"/>
    <w:rsid w:val="00B25F30"/>
    <w:rsid w:val="00B3766E"/>
    <w:rsid w:val="00B42088"/>
    <w:rsid w:val="00B43D36"/>
    <w:rsid w:val="00B46ABC"/>
    <w:rsid w:val="00B470F8"/>
    <w:rsid w:val="00B50B48"/>
    <w:rsid w:val="00B55866"/>
    <w:rsid w:val="00B656A3"/>
    <w:rsid w:val="00B67892"/>
    <w:rsid w:val="00B73295"/>
    <w:rsid w:val="00B7464F"/>
    <w:rsid w:val="00B85C0B"/>
    <w:rsid w:val="00B87642"/>
    <w:rsid w:val="00B94347"/>
    <w:rsid w:val="00BA2FDF"/>
    <w:rsid w:val="00BA50C6"/>
    <w:rsid w:val="00BB2F3F"/>
    <w:rsid w:val="00BB3C99"/>
    <w:rsid w:val="00BB4519"/>
    <w:rsid w:val="00BB73F7"/>
    <w:rsid w:val="00BC0708"/>
    <w:rsid w:val="00BC3A52"/>
    <w:rsid w:val="00BC590C"/>
    <w:rsid w:val="00BD4132"/>
    <w:rsid w:val="00BF1717"/>
    <w:rsid w:val="00BF17DD"/>
    <w:rsid w:val="00BF4625"/>
    <w:rsid w:val="00BF5B53"/>
    <w:rsid w:val="00C01735"/>
    <w:rsid w:val="00C02A47"/>
    <w:rsid w:val="00C05D3D"/>
    <w:rsid w:val="00C06D86"/>
    <w:rsid w:val="00C07C2E"/>
    <w:rsid w:val="00C1125F"/>
    <w:rsid w:val="00C143DD"/>
    <w:rsid w:val="00C15DD8"/>
    <w:rsid w:val="00C20157"/>
    <w:rsid w:val="00C24B00"/>
    <w:rsid w:val="00C26B24"/>
    <w:rsid w:val="00C35BED"/>
    <w:rsid w:val="00C369E3"/>
    <w:rsid w:val="00C41B78"/>
    <w:rsid w:val="00C472FA"/>
    <w:rsid w:val="00C503DF"/>
    <w:rsid w:val="00C55D64"/>
    <w:rsid w:val="00C62F6C"/>
    <w:rsid w:val="00C644C4"/>
    <w:rsid w:val="00C73D99"/>
    <w:rsid w:val="00C92F74"/>
    <w:rsid w:val="00C93B43"/>
    <w:rsid w:val="00CA38CC"/>
    <w:rsid w:val="00CA5779"/>
    <w:rsid w:val="00CC2A41"/>
    <w:rsid w:val="00CD0D86"/>
    <w:rsid w:val="00CD101D"/>
    <w:rsid w:val="00CD2EE5"/>
    <w:rsid w:val="00CE22BC"/>
    <w:rsid w:val="00CE33F0"/>
    <w:rsid w:val="00CE3E09"/>
    <w:rsid w:val="00CE78D0"/>
    <w:rsid w:val="00CF16D4"/>
    <w:rsid w:val="00CF52E8"/>
    <w:rsid w:val="00D0095C"/>
    <w:rsid w:val="00D12E99"/>
    <w:rsid w:val="00D13B63"/>
    <w:rsid w:val="00D23B7F"/>
    <w:rsid w:val="00D304DE"/>
    <w:rsid w:val="00D36E8D"/>
    <w:rsid w:val="00D463F6"/>
    <w:rsid w:val="00D4723C"/>
    <w:rsid w:val="00D57BEB"/>
    <w:rsid w:val="00D6070E"/>
    <w:rsid w:val="00D65C41"/>
    <w:rsid w:val="00D67CAD"/>
    <w:rsid w:val="00D720BD"/>
    <w:rsid w:val="00D75DCE"/>
    <w:rsid w:val="00D75F42"/>
    <w:rsid w:val="00D83BF7"/>
    <w:rsid w:val="00D85914"/>
    <w:rsid w:val="00D9366C"/>
    <w:rsid w:val="00D941FB"/>
    <w:rsid w:val="00D964F3"/>
    <w:rsid w:val="00DA43F8"/>
    <w:rsid w:val="00DB54E8"/>
    <w:rsid w:val="00DB76A1"/>
    <w:rsid w:val="00DC2EA0"/>
    <w:rsid w:val="00DD3DED"/>
    <w:rsid w:val="00DE42F5"/>
    <w:rsid w:val="00DF45C3"/>
    <w:rsid w:val="00E05EDE"/>
    <w:rsid w:val="00E1580F"/>
    <w:rsid w:val="00E21D9E"/>
    <w:rsid w:val="00E2298B"/>
    <w:rsid w:val="00E333CC"/>
    <w:rsid w:val="00E33B96"/>
    <w:rsid w:val="00E34C12"/>
    <w:rsid w:val="00E35B83"/>
    <w:rsid w:val="00E402D1"/>
    <w:rsid w:val="00E42C66"/>
    <w:rsid w:val="00E44917"/>
    <w:rsid w:val="00E571F0"/>
    <w:rsid w:val="00E60159"/>
    <w:rsid w:val="00E65AC8"/>
    <w:rsid w:val="00E67FB8"/>
    <w:rsid w:val="00E72FA4"/>
    <w:rsid w:val="00E7571E"/>
    <w:rsid w:val="00E76E9D"/>
    <w:rsid w:val="00E77E31"/>
    <w:rsid w:val="00E80FAF"/>
    <w:rsid w:val="00E82E07"/>
    <w:rsid w:val="00E9420F"/>
    <w:rsid w:val="00E94397"/>
    <w:rsid w:val="00E95AA1"/>
    <w:rsid w:val="00EA083E"/>
    <w:rsid w:val="00EA2AA7"/>
    <w:rsid w:val="00EB107C"/>
    <w:rsid w:val="00EB47FA"/>
    <w:rsid w:val="00EB5BDB"/>
    <w:rsid w:val="00EC666C"/>
    <w:rsid w:val="00ED168A"/>
    <w:rsid w:val="00EE077A"/>
    <w:rsid w:val="00EE6640"/>
    <w:rsid w:val="00EF5C66"/>
    <w:rsid w:val="00F03071"/>
    <w:rsid w:val="00F108D1"/>
    <w:rsid w:val="00F22549"/>
    <w:rsid w:val="00F316BF"/>
    <w:rsid w:val="00F35EC3"/>
    <w:rsid w:val="00F4100C"/>
    <w:rsid w:val="00F4183C"/>
    <w:rsid w:val="00F4543A"/>
    <w:rsid w:val="00F45B78"/>
    <w:rsid w:val="00F55D61"/>
    <w:rsid w:val="00F63924"/>
    <w:rsid w:val="00F70BCF"/>
    <w:rsid w:val="00F749B0"/>
    <w:rsid w:val="00F91EB8"/>
    <w:rsid w:val="00F9286A"/>
    <w:rsid w:val="00FA5EE3"/>
    <w:rsid w:val="00FA76AF"/>
    <w:rsid w:val="00FC20BE"/>
    <w:rsid w:val="00FD55D2"/>
    <w:rsid w:val="00FD7A9F"/>
    <w:rsid w:val="00FE5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semiHidden/>
    <w:unhideWhenUsed/>
    <w:rsid w:val="00493C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17</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Tu, Jieqi</cp:lastModifiedBy>
  <cp:revision>257</cp:revision>
  <dcterms:created xsi:type="dcterms:W3CDTF">2021-04-02T02:11:00Z</dcterms:created>
  <dcterms:modified xsi:type="dcterms:W3CDTF">2021-06-24T20:39:00Z</dcterms:modified>
</cp:coreProperties>
</file>