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proofErr w:type="spellStart"/>
      <w:r w:rsidRPr="00307C4E">
        <w:rPr>
          <w:rFonts w:cs="Times New Roman"/>
          <w:bCs/>
          <w:sz w:val="24"/>
          <w:szCs w:val="24"/>
          <w:lang w:eastAsia="en-US"/>
        </w:rPr>
        <w:t>Jieqi</w:t>
      </w:r>
      <w:proofErr w:type="spellEnd"/>
      <w:r w:rsidRPr="00307C4E">
        <w:rPr>
          <w:rFonts w:cs="Times New Roman"/>
          <w:bCs/>
          <w:sz w:val="24"/>
          <w:szCs w:val="24"/>
          <w:lang w:eastAsia="en-US"/>
        </w:rPr>
        <w:t xml:space="preserve">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xml:space="preserve">, </w:t>
      </w:r>
      <w:proofErr w:type="spellStart"/>
      <w:r w:rsidRPr="00307C4E">
        <w:rPr>
          <w:rFonts w:cs="Times New Roman"/>
          <w:bCs/>
          <w:sz w:val="24"/>
          <w:szCs w:val="24"/>
          <w:lang w:eastAsia="en-US"/>
        </w:rPr>
        <w:t>Zhengjia</w:t>
      </w:r>
      <w:proofErr w:type="spellEnd"/>
      <w:r w:rsidRPr="00307C4E">
        <w:rPr>
          <w:rFonts w:cs="Times New Roman"/>
          <w:bCs/>
          <w:sz w:val="24"/>
          <w:szCs w:val="24"/>
          <w:lang w:eastAsia="en-US"/>
        </w:rPr>
        <w:t xml:space="preserve"> Chen</w:t>
      </w:r>
      <w:r w:rsidRPr="00D265FB">
        <w:rPr>
          <w:sz w:val="24"/>
          <w:szCs w:val="24"/>
          <w:vertAlign w:val="superscript"/>
        </w:rPr>
        <w:t>1</w:t>
      </w:r>
      <w:r w:rsidR="008C0F72">
        <w:rPr>
          <w:sz w:val="24"/>
          <w:szCs w:val="24"/>
          <w:vertAlign w:val="superscript"/>
        </w:rPr>
        <w:t>, 2</w:t>
      </w:r>
    </w:p>
    <w:p w14:paraId="017C8941" w14:textId="666EAE01" w:rsidR="00FC22EA" w:rsidRDefault="007B443D"/>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proofErr w:type="gramStart"/>
      <w:r w:rsidRPr="00D720BD">
        <w:rPr>
          <w:sz w:val="24"/>
          <w:szCs w:val="24"/>
          <w:lang w:val="fr-FR"/>
        </w:rPr>
        <w:t>Email:</w:t>
      </w:r>
      <w:proofErr w:type="gramEnd"/>
      <w:r w:rsidRPr="00D720BD">
        <w:rPr>
          <w:sz w:val="24"/>
          <w:szCs w:val="24"/>
          <w:lang w:val="fr-FR"/>
        </w:rPr>
        <w:t xml:space="preserve">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41FEF6B5"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et al. (2015)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 xml:space="preserve">based on these two methods to combine their advantages.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5498058A"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w:t>
      </w:r>
      <w:proofErr w:type="spellStart"/>
      <w:r w:rsidR="00003850" w:rsidRPr="002E516D">
        <w:rPr>
          <w:rFonts w:eastAsia="Times New Roman"/>
          <w:color w:val="000000"/>
          <w:sz w:val="24"/>
          <w:szCs w:val="24"/>
        </w:rPr>
        <w:t>Rogatko</w:t>
      </w:r>
      <w:proofErr w:type="spellEnd"/>
      <w:r w:rsidR="00003850" w:rsidRPr="002E516D">
        <w:rPr>
          <w:rFonts w:eastAsia="Times New Roman"/>
          <w:color w:val="000000"/>
          <w:sz w:val="24"/>
          <w:szCs w:val="24"/>
        </w:rPr>
        <w:t xml:space="preserve">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003850">
        <w:rPr>
          <w:rFonts w:eastAsia="Times New Roman"/>
          <w:color w:val="000000"/>
          <w:sz w:val="24"/>
          <w:szCs w:val="24"/>
        </w:rPr>
        <w:t xml:space="preserve"> </w:t>
      </w:r>
      <w:r w:rsidR="00D23B7F">
        <w:rPr>
          <w:rFonts w:eastAsia="Times New Roman"/>
          <w:color w:val="000000"/>
          <w:sz w:val="24"/>
          <w:szCs w:val="24"/>
        </w:rPr>
        <w:t>[1], 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 xml:space="preserve">For example, most cancer Phase I trials treat DLT as a binary indicator of toxicity. DLT is defined as grade 3 or 4 non-hematologic and grade 4 hematologic toxicity, according to the National Cancer Institute (NCI) common </w:t>
      </w:r>
      <w:proofErr w:type="spellStart"/>
      <w:r w:rsidR="00B1278B">
        <w:rPr>
          <w:rFonts w:eastAsia="Times New Roman"/>
          <w:color w:val="000000"/>
          <w:sz w:val="24"/>
          <w:szCs w:val="24"/>
        </w:rPr>
        <w:t>t</w:t>
      </w:r>
      <w:r w:rsidR="00BD5453">
        <w:rPr>
          <w:rFonts w:eastAsia="Times New Roman"/>
          <w:color w:val="000000"/>
          <w:sz w:val="24"/>
          <w:szCs w:val="24"/>
        </w:rPr>
        <w:t>ermilogy</w:t>
      </w:r>
      <w:proofErr w:type="spellEnd"/>
      <w:r w:rsidR="00B1278B">
        <w:rPr>
          <w:rFonts w:eastAsia="Times New Roman"/>
          <w:color w:val="000000"/>
          <w:sz w:val="24"/>
          <w:szCs w:val="24"/>
        </w:rPr>
        <w:t xml:space="preserve"> criteria </w:t>
      </w:r>
      <w:r w:rsidR="005E185D">
        <w:rPr>
          <w:rFonts w:eastAsia="Times New Roman"/>
          <w:color w:val="000000"/>
          <w:sz w:val="24"/>
          <w:szCs w:val="24"/>
        </w:rPr>
        <w:t xml:space="preserve">for adverse events </w:t>
      </w:r>
      <w:r w:rsidR="00B1278B">
        <w:rPr>
          <w:rFonts w:eastAsia="Times New Roman" w:hint="eastAsia"/>
          <w:color w:val="000000"/>
          <w:sz w:val="24"/>
          <w:szCs w:val="24"/>
        </w:rPr>
        <w:t>[</w:t>
      </w:r>
      <w:r w:rsidR="00B1278B">
        <w:rPr>
          <w:rFonts w:eastAsia="Times New Roman"/>
          <w:color w:val="000000"/>
          <w:sz w:val="24"/>
          <w:szCs w:val="24"/>
        </w:rPr>
        <w:t xml:space="preserve">2].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w:t>
      </w:r>
      <w:proofErr w:type="spellStart"/>
      <w:r w:rsidR="005D3041">
        <w:rPr>
          <w:rFonts w:eastAsia="Times New Roman"/>
          <w:color w:val="000000"/>
          <w:sz w:val="24"/>
          <w:szCs w:val="24"/>
        </w:rPr>
        <w:t>Krailo</w:t>
      </w:r>
      <w:proofErr w:type="spellEnd"/>
      <w:r w:rsidR="005D3041">
        <w:rPr>
          <w:rFonts w:eastAsia="Times New Roman"/>
          <w:color w:val="000000"/>
          <w:sz w:val="24"/>
          <w:szCs w:val="24"/>
        </w:rPr>
        <w:t xml:space="preserve">, </w:t>
      </w:r>
      <w:proofErr w:type="spellStart"/>
      <w:r w:rsidR="005D3041">
        <w:rPr>
          <w:rFonts w:eastAsia="Times New Roman"/>
          <w:color w:val="000000"/>
          <w:sz w:val="24"/>
          <w:szCs w:val="24"/>
        </w:rPr>
        <w:t>Azen</w:t>
      </w:r>
      <w:proofErr w:type="spellEnd"/>
      <w:r w:rsidR="005D3041">
        <w:rPr>
          <w:rFonts w:eastAsia="Times New Roman"/>
          <w:color w:val="000000"/>
          <w:sz w:val="24"/>
          <w:szCs w:val="24"/>
        </w:rPr>
        <w:t xml:space="preserve">, and </w:t>
      </w:r>
      <w:proofErr w:type="spellStart"/>
      <w:r w:rsidR="00A52DEA">
        <w:rPr>
          <w:rFonts w:eastAsia="Times New Roman"/>
          <w:color w:val="000000"/>
          <w:sz w:val="24"/>
          <w:szCs w:val="24"/>
        </w:rPr>
        <w:t>Tighiouart</w:t>
      </w:r>
      <w:proofErr w:type="spellEnd"/>
      <w:r w:rsidR="00A52DEA">
        <w:rPr>
          <w:rFonts w:eastAsia="Times New Roman"/>
          <w:color w:val="000000"/>
          <w:sz w:val="24"/>
          <w:szCs w:val="24"/>
        </w:rPr>
        <w:t xml:space="preserve">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5D3041">
        <w:rPr>
          <w:rFonts w:eastAsia="Times New Roman"/>
          <w:color w:val="000000"/>
          <w:sz w:val="24"/>
          <w:szCs w:val="24"/>
        </w:rPr>
        <w:t>. After that, Chen</w:t>
      </w:r>
      <w:r w:rsidR="008E68AA">
        <w:rPr>
          <w:rFonts w:eastAsia="Times New Roman"/>
          <w:color w:val="000000"/>
          <w:sz w:val="24"/>
          <w:szCs w:val="24"/>
        </w:rPr>
        <w:t xml:space="preserve">, </w:t>
      </w:r>
      <w:proofErr w:type="spellStart"/>
      <w:r w:rsidR="008E68AA">
        <w:rPr>
          <w:rFonts w:eastAsia="Times New Roman"/>
          <w:color w:val="000000"/>
          <w:sz w:val="24"/>
          <w:szCs w:val="24"/>
        </w:rPr>
        <w:t>Tiguiouart</w:t>
      </w:r>
      <w:proofErr w:type="spellEnd"/>
      <w:r w:rsidR="008E68AA">
        <w:rPr>
          <w:rFonts w:eastAsia="Times New Roman"/>
          <w:color w:val="000000"/>
          <w:sz w:val="24"/>
          <w:szCs w:val="24"/>
        </w:rPr>
        <w:t xml:space="preserve">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and the trial efficiency [3</w:t>
      </w:r>
      <w:r w:rsidR="00CB6CEB">
        <w:rPr>
          <w:rFonts w:eastAsia="Times New Roman"/>
          <w:color w:val="000000"/>
          <w:sz w:val="24"/>
          <w:szCs w:val="24"/>
        </w:rPr>
        <w:t>, 4</w:t>
      </w:r>
      <w:r w:rsidR="00A52DEA">
        <w:rPr>
          <w:rFonts w:eastAsia="Times New Roman"/>
          <w:color w:val="000000"/>
          <w:sz w:val="24"/>
          <w:szCs w:val="24"/>
        </w:rPr>
        <w:t xml:space="preserve">]. </w:t>
      </w:r>
      <w:r w:rsidR="008E68AA">
        <w:rPr>
          <w:rFonts w:eastAsia="Times New Roman"/>
          <w:color w:val="000000"/>
          <w:sz w:val="24"/>
          <w:szCs w:val="24"/>
        </w:rPr>
        <w:t xml:space="preserve">Nevertheless, the EWOC design and the </w:t>
      </w:r>
      <w:proofErr w:type="gramStart"/>
      <w:r w:rsidR="008E68AA">
        <w:rPr>
          <w:rFonts w:eastAsia="Times New Roman"/>
          <w:color w:val="000000"/>
          <w:sz w:val="24"/>
          <w:szCs w:val="24"/>
        </w:rPr>
        <w:t>aforementioned</w:t>
      </w:r>
      <w:r w:rsidR="004F7570">
        <w:rPr>
          <w:rFonts w:eastAsia="Times New Roman"/>
          <w:color w:val="000000"/>
          <w:sz w:val="24"/>
          <w:szCs w:val="24"/>
        </w:rPr>
        <w:t xml:space="preserve"> </w:t>
      </w:r>
      <w:r w:rsidR="008E68AA">
        <w:rPr>
          <w:rFonts w:eastAsia="Times New Roman"/>
          <w:color w:val="000000"/>
          <w:sz w:val="24"/>
          <w:szCs w:val="24"/>
        </w:rPr>
        <w:t>extensions</w:t>
      </w:r>
      <w:proofErr w:type="gramEnd"/>
      <w:r w:rsidR="008E68AA">
        <w:rPr>
          <w:rFonts w:eastAsia="Times New Roman"/>
          <w:color w:val="000000"/>
          <w:sz w:val="24"/>
          <w:szCs w:val="24"/>
        </w:rPr>
        <w:t xml:space="preserve">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 xml:space="preserve"> [5].</w:t>
      </w:r>
    </w:p>
    <w:p w14:paraId="5457E050" w14:textId="516E1FE8"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In some studies, the efficacy endpoint to evaluate antitumor activity is considered to be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[6].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012E81">
        <w:rPr>
          <w:rFonts w:hint="eastAsia"/>
          <w:sz w:val="24"/>
          <w:szCs w:val="24"/>
        </w:rPr>
        <w:t>[</w:t>
      </w:r>
      <w:r w:rsidR="00012E81">
        <w:rPr>
          <w:sz w:val="24"/>
          <w:szCs w:val="24"/>
        </w:rPr>
        <w:t xml:space="preserve">9]. </w:t>
      </w:r>
      <w:proofErr w:type="spellStart"/>
      <w:r w:rsidR="00A5045E">
        <w:rPr>
          <w:rFonts w:hint="eastAsia"/>
          <w:sz w:val="24"/>
          <w:szCs w:val="24"/>
        </w:rPr>
        <w:t>H</w:t>
      </w:r>
      <w:r w:rsidR="00A5045E">
        <w:rPr>
          <w:sz w:val="24"/>
          <w:szCs w:val="24"/>
        </w:rPr>
        <w:t>irakawa</w:t>
      </w:r>
      <w:proofErr w:type="spellEnd"/>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 [</w:t>
      </w:r>
      <w:r w:rsidR="00D902F0">
        <w:rPr>
          <w:sz w:val="24"/>
          <w:szCs w:val="24"/>
        </w:rPr>
        <w:t>7</w:t>
      </w:r>
      <w:r w:rsidR="00A5045E">
        <w:rPr>
          <w:sz w:val="24"/>
          <w:szCs w:val="24"/>
        </w:rPr>
        <w:t>]</w:t>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approaches introduced by Olkin and Tate [</w:t>
      </w:r>
      <w:r w:rsidR="00D902F0">
        <w:rPr>
          <w:sz w:val="24"/>
          <w:szCs w:val="24"/>
        </w:rPr>
        <w:t>8</w:t>
      </w:r>
      <w:r w:rsidR="00300419">
        <w:rPr>
          <w:sz w:val="24"/>
          <w:szCs w:val="24"/>
        </w:rPr>
        <w:t>]</w:t>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w:t>
      </w:r>
      <w:proofErr w:type="spellStart"/>
      <w:r w:rsidR="00CB10BB">
        <w:rPr>
          <w:sz w:val="24"/>
          <w:szCs w:val="24"/>
        </w:rPr>
        <w:t>i</w:t>
      </w:r>
      <w:proofErr w:type="spellEnd"/>
      <w:r w:rsidR="00CB10BB">
        <w:rPr>
          <w:sz w:val="24"/>
          <w:szCs w:val="24"/>
        </w:rPr>
        <w:t xml:space="preserve">) a marginal distribution for binary outcomes and a conditional distribution for continuous outcomes given the binary outcome, and (ii) a marginal distribution for continuous outcomes and a conditional distribution </w:t>
      </w:r>
      <w:r w:rsidR="003C17EB">
        <w:rPr>
          <w:sz w:val="24"/>
          <w:szCs w:val="24"/>
        </w:rPr>
        <w:t xml:space="preserve">for binary outcomes given the continuous outcome. </w:t>
      </w:r>
      <w:proofErr w:type="spellStart"/>
      <w:r w:rsidR="003C17EB">
        <w:rPr>
          <w:sz w:val="24"/>
          <w:szCs w:val="24"/>
        </w:rPr>
        <w:t>Hirakawa</w:t>
      </w:r>
      <w:proofErr w:type="spellEnd"/>
      <w:r w:rsidR="003C17EB">
        <w:rPr>
          <w:sz w:val="24"/>
          <w:szCs w:val="24"/>
        </w:rPr>
        <w:t xml:space="preserve"> used the first formulation and proposed a</w:t>
      </w:r>
      <w:r w:rsidR="00435B66">
        <w:rPr>
          <w:sz w:val="24"/>
          <w:szCs w:val="24"/>
        </w:rPr>
        <w:t xml:space="preserve"> dose-finding approach based on the Bayesian method</w:t>
      </w:r>
      <w:r w:rsidR="002C2B21">
        <w:rPr>
          <w:sz w:val="24"/>
          <w:szCs w:val="24"/>
        </w:rPr>
        <w:t xml:space="preserve"> [7]</w:t>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w:t>
      </w:r>
      <w:proofErr w:type="spellStart"/>
      <w:r w:rsidR="002C2B21">
        <w:rPr>
          <w:sz w:val="24"/>
          <w:szCs w:val="24"/>
        </w:rPr>
        <w:t>Hirakawa’s</w:t>
      </w:r>
      <w:proofErr w:type="spellEnd"/>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Bayesian dose-finding method 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656EABDF" w:rsidR="00060F60" w:rsidRDefault="00060F60">
      <w:pPr>
        <w:rPr>
          <w:sz w:val="24"/>
          <w:szCs w:val="24"/>
        </w:rPr>
      </w:pPr>
      <w:r>
        <w:rPr>
          <w:sz w:val="24"/>
          <w:szCs w:val="24"/>
        </w:rPr>
        <w:tab/>
        <w:t xml:space="preserve">Our methodology is established based on the EWOUC 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2D7FD988"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Chen et al. [3] for cancer Phase I trials design, using all grades of toxicities of patients in the trial. Then, we describe EWOUC-NETS, our new design for dose-finding based on EWOUC, proposed by Chen et al [5],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 xml:space="preserve">Grade 0: no </w:t>
      </w:r>
      <w:proofErr w:type="gramStart"/>
      <w:r>
        <w:rPr>
          <w:sz w:val="24"/>
          <w:szCs w:val="24"/>
          <w:lang w:eastAsia="en-US"/>
        </w:rPr>
        <w:t>toxicity;</w:t>
      </w:r>
      <w:proofErr w:type="gramEnd"/>
    </w:p>
    <w:p w14:paraId="5DCB478D" w14:textId="77777777" w:rsidR="00440F03" w:rsidRDefault="00440F03" w:rsidP="00D12E99">
      <w:pPr>
        <w:spacing w:after="0"/>
        <w:ind w:firstLine="720"/>
        <w:rPr>
          <w:sz w:val="24"/>
          <w:szCs w:val="24"/>
          <w:lang w:eastAsia="en-US"/>
        </w:rPr>
      </w:pPr>
      <w:r>
        <w:rPr>
          <w:sz w:val="24"/>
          <w:szCs w:val="24"/>
          <w:lang w:eastAsia="en-US"/>
        </w:rPr>
        <w:t xml:space="preserve">Grade 1: mild </w:t>
      </w:r>
      <w:proofErr w:type="gramStart"/>
      <w:r>
        <w:rPr>
          <w:sz w:val="24"/>
          <w:szCs w:val="24"/>
          <w:lang w:eastAsia="en-US"/>
        </w:rPr>
        <w:t>toxicity;</w:t>
      </w:r>
      <w:proofErr w:type="gramEnd"/>
    </w:p>
    <w:p w14:paraId="4AA14D14" w14:textId="77777777" w:rsidR="00440F03" w:rsidRDefault="00440F03" w:rsidP="00D12E99">
      <w:pPr>
        <w:spacing w:after="0"/>
        <w:ind w:firstLine="720"/>
        <w:rPr>
          <w:sz w:val="24"/>
          <w:szCs w:val="24"/>
          <w:lang w:eastAsia="en-US"/>
        </w:rPr>
      </w:pPr>
      <w:r>
        <w:rPr>
          <w:sz w:val="24"/>
          <w:szCs w:val="24"/>
          <w:lang w:eastAsia="en-US"/>
        </w:rPr>
        <w:t xml:space="preserve">Grade 2: moderate </w:t>
      </w:r>
      <w:proofErr w:type="gramStart"/>
      <w:r>
        <w:rPr>
          <w:sz w:val="24"/>
          <w:szCs w:val="24"/>
          <w:lang w:eastAsia="en-US"/>
        </w:rPr>
        <w:t>toxicity;</w:t>
      </w:r>
      <w:proofErr w:type="gramEnd"/>
    </w:p>
    <w:p w14:paraId="04C76973" w14:textId="31BE031C" w:rsidR="00440F03" w:rsidRDefault="00440F03" w:rsidP="00D12E99">
      <w:pPr>
        <w:spacing w:after="0"/>
        <w:ind w:firstLine="720"/>
        <w:rPr>
          <w:sz w:val="24"/>
          <w:szCs w:val="24"/>
          <w:lang w:eastAsia="en-US"/>
        </w:rPr>
      </w:pPr>
      <w:r>
        <w:rPr>
          <w:sz w:val="24"/>
          <w:szCs w:val="24"/>
          <w:lang w:eastAsia="en-US"/>
        </w:rPr>
        <w:lastRenderedPageBreak/>
        <w:t xml:space="preserve">Grade 3: severe </w:t>
      </w:r>
      <w:proofErr w:type="gramStart"/>
      <w:r>
        <w:rPr>
          <w:sz w:val="24"/>
          <w:szCs w:val="24"/>
          <w:lang w:eastAsia="en-US"/>
        </w:rPr>
        <w:t>toxicity;</w:t>
      </w:r>
      <w:proofErr w:type="gramEnd"/>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7B443D"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5BEBC6E2"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1F28A9">
        <w:rPr>
          <w:sz w:val="24"/>
          <w:szCs w:val="24"/>
        </w:rPr>
        <w:t>4</w:t>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7B443D"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7B443D"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6C48E215"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[7] proposed a novel adaptive dose-finding approach to handle correlated continuous efficacy outcome and binary toxicity outcome.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15E69120" w:rsidR="0097121B" w:rsidRPr="0097121B" w:rsidRDefault="00703B37" w:rsidP="0097121B">
      <w:pPr>
        <w:rPr>
          <w:sz w:val="24"/>
          <w:szCs w:val="24"/>
        </w:rPr>
      </w:pPr>
      <w:r w:rsidRPr="0097121B">
        <w:rPr>
          <w:sz w:val="24"/>
          <w:szCs w:val="24"/>
        </w:rPr>
        <w:t>Where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079FCD78"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is the multiplicative heteroscedasticity proposed by Harvey [</w:t>
      </w:r>
      <w:proofErr w:type="gramStart"/>
      <w:r w:rsidR="00725C9D" w:rsidRPr="00B94347">
        <w:rPr>
          <w:sz w:val="24"/>
          <w:szCs w:val="24"/>
        </w:rPr>
        <w:t>8].</w:t>
      </w:r>
      <w:proofErr w:type="gramEnd"/>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6AD699A5"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7E43771E"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w:t>
      </w:r>
      <w:proofErr w:type="gramStart"/>
      <w:r w:rsidR="003010A5" w:rsidRPr="003010A5">
        <w:rPr>
          <w:sz w:val="24"/>
          <w:szCs w:val="24"/>
        </w:rPr>
        <w:t>outcomes.</w:t>
      </w:r>
      <w:proofErr w:type="gramEnd"/>
      <w:r w:rsidR="003010A5" w:rsidRPr="003010A5">
        <w:rPr>
          <w:sz w:val="24"/>
          <w:szCs w:val="24"/>
        </w:rPr>
        <w:t xml:space="preserve">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7B443D"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7B443D"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7B443D"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7B443D"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7B443D"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7B443D"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7B443D"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7B443D"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1E3ACF02"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62B64F84" w:rsidR="00733222" w:rsidRDefault="00733222" w:rsidP="00733222">
      <w:pPr>
        <w:rPr>
          <w:iCs/>
          <w:sz w:val="24"/>
          <w:szCs w:val="24"/>
        </w:rPr>
      </w:pPr>
      <w:r>
        <w:rPr>
          <w:iCs/>
          <w:sz w:val="24"/>
          <w:szCs w:val="24"/>
        </w:rPr>
        <w:t xml:space="preserve">Where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09B9A94D"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43BFC378" w:rsidR="007A2863" w:rsidRDefault="00C93B43" w:rsidP="00A55C25">
      <w:pPr>
        <w:spacing w:after="0"/>
        <w:ind w:firstLine="720"/>
        <w:rPr>
          <w:sz w:val="24"/>
          <w:szCs w:val="24"/>
        </w:rPr>
      </w:pPr>
      <w:r>
        <w:rPr>
          <w:color w:val="343434"/>
          <w:kern w:val="0"/>
          <w:sz w:val="24"/>
          <w:szCs w:val="24"/>
        </w:rPr>
        <w:t>As [4] proposed for the EWOUC method,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24744CD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761283">
        <w:rPr>
          <w:color w:val="343434"/>
          <w:kern w:val="0"/>
          <w:sz w:val="24"/>
          <w:szCs w:val="24"/>
        </w:rPr>
        <w:t>4</w:t>
      </w:r>
      <w:r w:rsidR="00845EEF">
        <w:rPr>
          <w:color w:val="343434"/>
          <w:kern w:val="0"/>
          <w:sz w:val="24"/>
          <w:szCs w:val="24"/>
        </w:rPr>
        <w:t>]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This under-dose control method has also been proved to be efficient in [4].</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w:t>
      </w:r>
      <w:proofErr w:type="gramStart"/>
      <w:r>
        <w:rPr>
          <w:iCs/>
          <w:color w:val="343434"/>
          <w:kern w:val="0"/>
          <w:sz w:val="24"/>
          <w:szCs w:val="24"/>
        </w:rPr>
        <w:t>toxicity.</w:t>
      </w:r>
      <w:proofErr w:type="gramEnd"/>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323EC095" w14:textId="77777777" w:rsidR="00A55C25" w:rsidRPr="00A55C25" w:rsidRDefault="00A55C25" w:rsidP="00A55C25">
      <w:pPr>
        <w:pStyle w:val="ListParagraph"/>
        <w:spacing w:after="0"/>
        <w:ind w:left="1080"/>
        <w:rPr>
          <w:iCs/>
          <w:color w:val="343434"/>
          <w:kern w:val="0"/>
          <w:sz w:val="24"/>
          <w:szCs w:val="24"/>
        </w:rPr>
      </w:pPr>
    </w:p>
    <w:p w14:paraId="67E6E284" w14:textId="1F8CCDC7" w:rsidR="006C027E" w:rsidRPr="00D720BD" w:rsidRDefault="006C027E" w:rsidP="008C6729">
      <w:pPr>
        <w:spacing w:after="0"/>
        <w:rPr>
          <w:iCs/>
          <w:color w:val="343434"/>
          <w:kern w:val="0"/>
          <w:sz w:val="24"/>
          <w:szCs w:val="24"/>
        </w:rPr>
      </w:pP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7024CD3D" w14:textId="238BF936"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5FF9B77B" w14:textId="618C2047" w:rsidR="004F223F" w:rsidRDefault="00407612" w:rsidP="00407612">
      <w:pPr>
        <w:spacing w:after="0"/>
        <w:ind w:firstLine="720"/>
        <w:rPr>
          <w:iCs/>
          <w:color w:val="343434"/>
          <w:kern w:val="0"/>
          <w:sz w:val="24"/>
          <w:szCs w:val="24"/>
        </w:rPr>
      </w:pPr>
      <w:r>
        <w:rPr>
          <w:iCs/>
          <w:color w:val="343434"/>
          <w:kern w:val="0"/>
          <w:sz w:val="24"/>
          <w:szCs w:val="24"/>
        </w:rPr>
        <w:t>EWOUC-NETS is simulated with three different versions: EWOUC-NETS-Comp</w:t>
      </w:r>
      <w:r w:rsidR="00931EA0">
        <w:rPr>
          <w:iCs/>
          <w:color w:val="343434"/>
          <w:kern w:val="0"/>
          <w:sz w:val="24"/>
          <w:szCs w:val="24"/>
        </w:rPr>
        <w:t xml:space="preserve"> (EWOUC-NETS with complete data, which waits and fully observes the patients’ efficacy outcome</w:t>
      </w:r>
      <w:r w:rsidR="00D941FB">
        <w:rPr>
          <w:iCs/>
          <w:color w:val="343434"/>
          <w:kern w:val="0"/>
          <w:sz w:val="24"/>
          <w:szCs w:val="24"/>
        </w:rPr>
        <w:t xml:space="preserve"> before the enrollment of the next new patient</w:t>
      </w:r>
      <w:r w:rsidR="00931EA0">
        <w:rPr>
          <w:iCs/>
          <w:color w:val="343434"/>
          <w:kern w:val="0"/>
          <w:sz w:val="24"/>
          <w:szCs w:val="24"/>
        </w:rPr>
        <w:t>)</w:t>
      </w:r>
      <w:r>
        <w:rPr>
          <w:iCs/>
          <w:color w:val="343434"/>
          <w:kern w:val="0"/>
          <w:sz w:val="24"/>
          <w:szCs w:val="24"/>
        </w:rPr>
        <w:t>, EWOUC-NETS-NW</w:t>
      </w:r>
      <w:r w:rsidR="00D941FB">
        <w:rPr>
          <w:iCs/>
          <w:color w:val="343434"/>
          <w:kern w:val="0"/>
          <w:sz w:val="24"/>
          <w:szCs w:val="24"/>
        </w:rPr>
        <w:t xml:space="preserve"> (EWOUC-NETS with incomplete data, not waiting for the e</w:t>
      </w:r>
      <w:r w:rsidR="007A27C1">
        <w:rPr>
          <w:iCs/>
          <w:color w:val="343434"/>
          <w:kern w:val="0"/>
          <w:sz w:val="24"/>
          <w:szCs w:val="24"/>
        </w:rPr>
        <w:t>fficacy outcome to be observed, which considers unobserved efficacy outcome as non-response and enrolls patients in real time</w:t>
      </w:r>
      <w:r w:rsidR="00D941FB">
        <w:rPr>
          <w:iCs/>
          <w:color w:val="343434"/>
          <w:kern w:val="0"/>
          <w:sz w:val="24"/>
          <w:szCs w:val="24"/>
        </w:rPr>
        <w:t>)</w:t>
      </w:r>
      <w:r>
        <w:rPr>
          <w:iCs/>
          <w:color w:val="343434"/>
          <w:kern w:val="0"/>
          <w:sz w:val="24"/>
          <w:szCs w:val="24"/>
        </w:rPr>
        <w:t xml:space="preserve">, </w:t>
      </w:r>
      <w:r w:rsidR="00931EA0">
        <w:rPr>
          <w:iCs/>
          <w:color w:val="343434"/>
          <w:kern w:val="0"/>
          <w:sz w:val="24"/>
          <w:szCs w:val="24"/>
        </w:rPr>
        <w:t>and EWOUC-NETS-DA</w:t>
      </w:r>
      <w:r w:rsidR="007A27C1">
        <w:rPr>
          <w:iCs/>
          <w:color w:val="343434"/>
          <w:kern w:val="0"/>
          <w:sz w:val="24"/>
          <w:szCs w:val="24"/>
        </w:rPr>
        <w:t xml:space="preserve"> (EWOUC-NETS using DA to handle missing efficacy data, which algorithm is described in [4])</w:t>
      </w:r>
      <w:r w:rsidR="00931EA0">
        <w:rPr>
          <w:iCs/>
          <w:color w:val="343434"/>
          <w:kern w:val="0"/>
          <w:sz w:val="24"/>
          <w:szCs w:val="24"/>
        </w:rPr>
        <w:t>.</w:t>
      </w:r>
      <w:r w:rsidR="00595E1A">
        <w:rPr>
          <w:iCs/>
          <w:color w:val="343434"/>
          <w:kern w:val="0"/>
          <w:sz w:val="24"/>
          <w:szCs w:val="24"/>
        </w:rPr>
        <w:t xml:space="preserve"> These three versions of EWOUC-NETS are compared with EWOC, EWOUC-Comp, EWOUC-NW and EWOUC-DA.</w:t>
      </w:r>
      <w:r w:rsidR="00C472FA">
        <w:rPr>
          <w:rFonts w:hint="eastAsia"/>
          <w:iCs/>
          <w:color w:val="343434"/>
          <w:kern w:val="0"/>
          <w:sz w:val="24"/>
          <w:szCs w:val="24"/>
        </w:rPr>
        <w:t xml:space="preserve"> </w:t>
      </w:r>
      <w:r w:rsidR="00C472FA">
        <w:rPr>
          <w:iCs/>
          <w:color w:val="343434"/>
          <w:kern w:val="0"/>
          <w:sz w:val="24"/>
          <w:szCs w:val="24"/>
        </w:rPr>
        <w:t>Here the EWOC also waits for efficacy outcome to be fully observed and uses complete data to estimate the MTD.</w:t>
      </w:r>
      <w:r w:rsidR="007D76D5">
        <w:rPr>
          <w:iCs/>
          <w:color w:val="343434"/>
          <w:kern w:val="0"/>
          <w:sz w:val="24"/>
          <w:szCs w:val="24"/>
        </w:rPr>
        <w:t xml:space="preserve"> The comparisons</w:t>
      </w:r>
      <w:r w:rsidR="007D76D5">
        <w:rPr>
          <w:rFonts w:hint="eastAsia"/>
          <w:iCs/>
          <w:color w:val="343434"/>
          <w:kern w:val="0"/>
          <w:sz w:val="24"/>
          <w:szCs w:val="24"/>
        </w:rPr>
        <w:t xml:space="preserve"> </w:t>
      </w:r>
      <w:r w:rsidR="007D76D5">
        <w:rPr>
          <w:iCs/>
          <w:color w:val="343434"/>
          <w:kern w:val="0"/>
          <w:sz w:val="24"/>
          <w:szCs w:val="24"/>
        </w:rPr>
        <w:t>between EWOUC-NETS-Comp</w:t>
      </w:r>
      <w:r w:rsidR="00E94397">
        <w:rPr>
          <w:iCs/>
          <w:color w:val="343434"/>
          <w:kern w:val="0"/>
          <w:sz w:val="24"/>
          <w:szCs w:val="24"/>
        </w:rPr>
        <w:t>,</w:t>
      </w:r>
      <w:r w:rsidR="007D76D5">
        <w:rPr>
          <w:iCs/>
          <w:color w:val="343434"/>
          <w:kern w:val="0"/>
          <w:sz w:val="24"/>
          <w:szCs w:val="24"/>
        </w:rPr>
        <w:t xml:space="preserve"> EWOUC</w:t>
      </w:r>
      <w:r w:rsidR="007D76D5">
        <w:rPr>
          <w:rFonts w:hint="eastAsia"/>
          <w:iCs/>
          <w:color w:val="343434"/>
          <w:kern w:val="0"/>
          <w:sz w:val="24"/>
          <w:szCs w:val="24"/>
        </w:rPr>
        <w:t>-</w:t>
      </w:r>
      <w:r w:rsidR="00E94397">
        <w:rPr>
          <w:iCs/>
          <w:color w:val="343434"/>
          <w:kern w:val="0"/>
          <w:sz w:val="24"/>
          <w:szCs w:val="24"/>
        </w:rPr>
        <w:t>N</w:t>
      </w:r>
      <w:r w:rsidR="00341E72">
        <w:rPr>
          <w:iCs/>
          <w:color w:val="343434"/>
          <w:kern w:val="0"/>
          <w:sz w:val="24"/>
          <w:szCs w:val="24"/>
        </w:rPr>
        <w:t>ETS-N</w:t>
      </w:r>
      <w:r w:rsidR="00E94397">
        <w:rPr>
          <w:rFonts w:hint="eastAsia"/>
          <w:iCs/>
          <w:color w:val="343434"/>
          <w:kern w:val="0"/>
          <w:sz w:val="24"/>
          <w:szCs w:val="24"/>
        </w:rPr>
        <w:t>W</w:t>
      </w:r>
      <w:r w:rsidR="00341E72">
        <w:rPr>
          <w:rFonts w:hint="eastAsia"/>
          <w:iCs/>
          <w:color w:val="343434"/>
          <w:kern w:val="0"/>
          <w:sz w:val="24"/>
          <w:szCs w:val="24"/>
        </w:rPr>
        <w:t xml:space="preserve"> </w:t>
      </w:r>
      <w:r w:rsidR="00341E72">
        <w:rPr>
          <w:iCs/>
          <w:color w:val="343434"/>
          <w:kern w:val="0"/>
          <w:sz w:val="24"/>
          <w:szCs w:val="24"/>
        </w:rPr>
        <w:t>and EWOUC-NETS-DA evaluates the efficiency of EWOUC-NETS-NW and EWOUC-NETS-DA on dealing with delayed efficacy outcome.</w:t>
      </w:r>
      <w:r w:rsidR="00434B2F">
        <w:rPr>
          <w:iCs/>
          <w:color w:val="343434"/>
          <w:kern w:val="0"/>
          <w:sz w:val="24"/>
          <w:szCs w:val="24"/>
        </w:rPr>
        <w:t xml:space="preserve"> The comparison between EWOUC-NETS methods and EWOC, EWOUC methods </w:t>
      </w:r>
      <w:r w:rsidR="00A34680">
        <w:rPr>
          <w:iCs/>
          <w:color w:val="343434"/>
          <w:kern w:val="0"/>
          <w:sz w:val="24"/>
          <w:szCs w:val="24"/>
        </w:rPr>
        <w:t xml:space="preserve">provides assessments on efficiency of additional under-dose control and the utilization of NETS and continuous efficacy outcome. </w:t>
      </w:r>
    </w:p>
    <w:p w14:paraId="33114B19" w14:textId="2514FEE8" w:rsidR="001B3454" w:rsidRDefault="00C24B00" w:rsidP="001C54A9">
      <w:pPr>
        <w:spacing w:after="0"/>
        <w:ind w:firstLine="720"/>
        <w:rPr>
          <w:iCs/>
          <w:color w:val="343434"/>
          <w:kern w:val="0"/>
          <w:sz w:val="24"/>
          <w:szCs w:val="24"/>
        </w:rPr>
      </w:pPr>
      <w:r>
        <w:rPr>
          <w:iCs/>
          <w:color w:val="343434"/>
          <w:kern w:val="0"/>
          <w:sz w:val="24"/>
          <w:szCs w:val="24"/>
        </w:rPr>
        <w:lastRenderedPageBreak/>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xml:space="preserve">, and trial duration, under </w:t>
      </w:r>
      <w:r w:rsidR="00A41155">
        <w:rPr>
          <w:iCs/>
          <w:color w:val="343434"/>
          <w:kern w:val="0"/>
          <w:sz w:val="24"/>
          <w:szCs w:val="24"/>
        </w:rPr>
        <w:t>three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moderate</w:t>
      </w:r>
      <w:r w:rsidR="00EA083E">
        <w:rPr>
          <w:iCs/>
          <w:color w:val="343434"/>
          <w:kern w:val="0"/>
          <w:sz w:val="24"/>
          <w:szCs w:val="24"/>
        </w:rPr>
        <w:t xml:space="preserve">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[3], the targeted normalized equivalent score would be 0.476</w:t>
      </w:r>
      <w:r w:rsidR="00DC2EA0">
        <w:rPr>
          <w:iCs/>
          <w:color w:val="343434"/>
          <w:kern w:val="0"/>
          <w:sz w:val="24"/>
          <w:szCs w:val="24"/>
        </w:rPr>
        <w:t>, and it is also set to be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070C82">
        <w:rPr>
          <w:iCs/>
          <w:color w:val="343434"/>
          <w:kern w:val="0"/>
          <w:sz w:val="24"/>
          <w:szCs w:val="24"/>
        </w:rPr>
        <w:t xml:space="preserve"> 0.3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W=1</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The number of patients used for each trial is set to be 30 unless the trial is terminated in advance.</w:t>
      </w:r>
      <w:r w:rsidR="007D19F4">
        <w:rPr>
          <w:iCs/>
          <w:color w:val="343434"/>
          <w:kern w:val="0"/>
          <w:sz w:val="24"/>
          <w:szCs w:val="24"/>
        </w:rPr>
        <w:t xml:space="preserve"> 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1D1AFD3A"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EWOUC-comp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771393">
        <w:rPr>
          <w:iCs/>
          <w:color w:val="343434"/>
          <w:kern w:val="0"/>
          <w:sz w:val="24"/>
          <w:szCs w:val="24"/>
        </w:rPr>
        <w:t xml:space="preserve"> and</w:t>
      </w:r>
      <w:r w:rsidR="001F51DF">
        <w:rPr>
          <w:iCs/>
          <w:color w:val="343434"/>
          <w:kern w:val="0"/>
          <w:sz w:val="24"/>
          <w:szCs w:val="24"/>
        </w:rPr>
        <w:t xml:space="preserve"> S2. </w:t>
      </w:r>
      <w:r w:rsidR="00DB76A1">
        <w:rPr>
          <w:iCs/>
          <w:color w:val="343434"/>
          <w:kern w:val="0"/>
          <w:sz w:val="24"/>
          <w:szCs w:val="24"/>
        </w:rPr>
        <w:t>The OUD identified in these t</w:t>
      </w:r>
      <w:r w:rsidR="00CA21EA">
        <w:rPr>
          <w:iCs/>
          <w:color w:val="343434"/>
          <w:kern w:val="0"/>
          <w:sz w:val="24"/>
          <w:szCs w:val="24"/>
        </w:rPr>
        <w:t>wo</w:t>
      </w:r>
      <w:r w:rsidR="00DB76A1">
        <w:rPr>
          <w:iCs/>
          <w:color w:val="343434"/>
          <w:kern w:val="0"/>
          <w:sz w:val="24"/>
          <w:szCs w:val="24"/>
        </w:rPr>
        <w:t xml:space="preserve"> scenarios are </w:t>
      </w:r>
      <w:r w:rsidR="00CA21EA">
        <w:rPr>
          <w:iCs/>
          <w:color w:val="343434"/>
          <w:kern w:val="0"/>
          <w:sz w:val="24"/>
          <w:szCs w:val="24"/>
        </w:rPr>
        <w:t xml:space="preserve">both </w:t>
      </w:r>
      <w:r w:rsidR="00DB76A1">
        <w:rPr>
          <w:iCs/>
          <w:color w:val="343434"/>
          <w:kern w:val="0"/>
          <w:sz w:val="24"/>
          <w:szCs w:val="24"/>
        </w:rPr>
        <w:t>dose level 4</w:t>
      </w:r>
      <w:r w:rsidR="00CA21EA">
        <w:rPr>
          <w:iCs/>
          <w:color w:val="343434"/>
          <w:kern w:val="0"/>
          <w:sz w:val="24"/>
          <w:szCs w:val="24"/>
        </w:rPr>
        <w:t>.</w:t>
      </w:r>
      <w:r w:rsidR="00DB76A1">
        <w:rPr>
          <w:iCs/>
          <w:color w:val="343434"/>
          <w:kern w:val="0"/>
          <w:sz w:val="24"/>
          <w:szCs w:val="24"/>
        </w:rPr>
        <w:t xml:space="preserve"> </w:t>
      </w:r>
      <w:r w:rsidR="00173CF0">
        <w:rPr>
          <w:rFonts w:hint="eastAsia"/>
          <w:iCs/>
          <w:color w:val="343434"/>
          <w:kern w:val="0"/>
          <w:sz w:val="24"/>
          <w:szCs w:val="24"/>
        </w:rPr>
        <w:t>F</w:t>
      </w:r>
      <w:r w:rsidR="00173CF0">
        <w:rPr>
          <w:iCs/>
          <w:color w:val="343434"/>
          <w:kern w:val="0"/>
          <w:sz w:val="24"/>
          <w:szCs w:val="24"/>
        </w:rPr>
        <w:t>or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062F3B">
        <w:rPr>
          <w:iCs/>
          <w:color w:val="343434"/>
          <w:kern w:val="0"/>
          <w:sz w:val="24"/>
          <w:szCs w:val="24"/>
        </w:rPr>
        <w:t>EWOC and EWOUC</w:t>
      </w:r>
      <w:r w:rsidR="008D36BC">
        <w:rPr>
          <w:iCs/>
          <w:color w:val="343434"/>
          <w:kern w:val="0"/>
          <w:sz w:val="24"/>
          <w:szCs w:val="24"/>
        </w:rPr>
        <w:t xml:space="preserve"> designs</w:t>
      </w:r>
      <w:r w:rsidR="00062F3B">
        <w:rPr>
          <w:iCs/>
          <w:color w:val="343434"/>
          <w:kern w:val="0"/>
          <w:sz w:val="24"/>
          <w:szCs w:val="24"/>
        </w:rPr>
        <w:t>.</w:t>
      </w:r>
      <w:r w:rsidR="001F51DF">
        <w:rPr>
          <w:iCs/>
          <w:color w:val="343434"/>
          <w:kern w:val="0"/>
          <w:sz w:val="24"/>
          <w:szCs w:val="24"/>
        </w:rPr>
        <w:t xml:space="preserve"> However, it is </w:t>
      </w:r>
      <w:r w:rsidR="008D36BC">
        <w:rPr>
          <w:iCs/>
          <w:color w:val="343434"/>
          <w:kern w:val="0"/>
          <w:sz w:val="24"/>
          <w:szCs w:val="24"/>
        </w:rPr>
        <w:t xml:space="preserve">still </w:t>
      </w:r>
      <w:r w:rsidR="001F51DF">
        <w:rPr>
          <w:rFonts w:hint="eastAsia"/>
          <w:iCs/>
          <w:color w:val="343434"/>
          <w:kern w:val="0"/>
          <w:sz w:val="24"/>
          <w:szCs w:val="24"/>
        </w:rPr>
        <w:t>r</w:t>
      </w:r>
      <w:r w:rsidR="001F51DF">
        <w:rPr>
          <w:iCs/>
          <w:color w:val="343434"/>
          <w:kern w:val="0"/>
          <w:sz w:val="24"/>
          <w:szCs w:val="24"/>
        </w:rPr>
        <w:t xml:space="preserve">easonable, </w:t>
      </w:r>
      <w:r w:rsidR="0040480B">
        <w:rPr>
          <w:iCs/>
          <w:color w:val="343434"/>
          <w:kern w:val="0"/>
          <w:sz w:val="24"/>
          <w:szCs w:val="24"/>
        </w:rPr>
        <w:t xml:space="preserve">as it reaches the highest value of utility and </w:t>
      </w:r>
      <w:r w:rsidR="002C7D42">
        <w:rPr>
          <w:iCs/>
          <w:color w:val="343434"/>
          <w:kern w:val="0"/>
          <w:sz w:val="24"/>
          <w:szCs w:val="24"/>
        </w:rPr>
        <w:t xml:space="preserve">satisfies the over-dose </w:t>
      </w:r>
      <w:r w:rsidR="002C7D42">
        <w:rPr>
          <w:iCs/>
          <w:color w:val="343434"/>
          <w:kern w:val="0"/>
          <w:sz w:val="24"/>
          <w:szCs w:val="24"/>
        </w:rPr>
        <w:lastRenderedPageBreak/>
        <w:t>and under-dose control.</w:t>
      </w:r>
      <w:r w:rsidR="00284A18">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EWOUC-NETS design </w:t>
      </w:r>
      <w:r w:rsidR="004C01EA">
        <w:rPr>
          <w:iCs/>
          <w:color w:val="343434"/>
          <w:kern w:val="0"/>
          <w:sz w:val="24"/>
          <w:szCs w:val="24"/>
        </w:rPr>
        <w:t xml:space="preserve">has better toxicity-efficacy trade off </w:t>
      </w:r>
      <w:r w:rsidR="007B666A">
        <w:rPr>
          <w:iCs/>
          <w:color w:val="343434"/>
          <w:kern w:val="0"/>
          <w:sz w:val="24"/>
          <w:szCs w:val="24"/>
        </w:rPr>
        <w:t>at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EWOUC-comp design. </w:t>
      </w:r>
      <w:r w:rsidR="005752F8">
        <w:rPr>
          <w:iCs/>
          <w:color w:val="343434"/>
          <w:kern w:val="0"/>
          <w:sz w:val="24"/>
          <w:szCs w:val="24"/>
        </w:rPr>
        <w:t>EWOUC-NETS has the same recommended dose levels with EWOUC-Comp and EWOC in S2.</w:t>
      </w:r>
      <w:r w:rsidR="00D463F6">
        <w:rPr>
          <w:rFonts w:hint="eastAsia"/>
          <w:iCs/>
          <w:color w:val="343434"/>
          <w:kern w:val="0"/>
          <w:sz w:val="24"/>
          <w:szCs w:val="24"/>
        </w:rPr>
        <w:t xml:space="preserve"> </w:t>
      </w:r>
      <w:r w:rsidR="00D463F6">
        <w:rPr>
          <w:iCs/>
          <w:color w:val="343434"/>
          <w:kern w:val="0"/>
          <w:sz w:val="24"/>
          <w:szCs w:val="24"/>
        </w:rPr>
        <w:t>The dose identified</w:t>
      </w:r>
      <w:r w:rsidR="00C01735">
        <w:rPr>
          <w:iCs/>
          <w:color w:val="343434"/>
          <w:kern w:val="0"/>
          <w:sz w:val="24"/>
          <w:szCs w:val="24"/>
        </w:rPr>
        <w:t xml:space="preserve"> percentage</w:t>
      </w:r>
      <w:r w:rsidR="00FA76AF">
        <w:rPr>
          <w:iCs/>
          <w:color w:val="343434"/>
          <w:kern w:val="0"/>
          <w:sz w:val="24"/>
          <w:szCs w:val="24"/>
        </w:rPr>
        <w:t>s for the OUD by the EWOUC-NETS-Comp</w:t>
      </w:r>
      <w:r w:rsidR="003462E7">
        <w:rPr>
          <w:iCs/>
          <w:color w:val="343434"/>
          <w:kern w:val="0"/>
          <w:sz w:val="24"/>
          <w:szCs w:val="24"/>
        </w:rPr>
        <w:t xml:space="preserve"> are </w:t>
      </w:r>
      <w:r w:rsidR="00CD0D86">
        <w:rPr>
          <w:iCs/>
          <w:color w:val="343434"/>
          <w:kern w:val="0"/>
          <w:sz w:val="24"/>
          <w:szCs w:val="24"/>
        </w:rPr>
        <w:t>72</w:t>
      </w:r>
      <w:r w:rsidR="002C27D7">
        <w:rPr>
          <w:iCs/>
          <w:color w:val="343434"/>
          <w:kern w:val="0"/>
          <w:sz w:val="24"/>
          <w:szCs w:val="24"/>
        </w:rPr>
        <w:t>.7</w:t>
      </w:r>
      <w:r w:rsidR="00CD0D86">
        <w:rPr>
          <w:iCs/>
          <w:color w:val="343434"/>
          <w:kern w:val="0"/>
          <w:sz w:val="24"/>
          <w:szCs w:val="24"/>
        </w:rPr>
        <w:t>%</w:t>
      </w:r>
      <w:r w:rsidR="00EF6F57">
        <w:rPr>
          <w:iCs/>
          <w:color w:val="343434"/>
          <w:kern w:val="0"/>
          <w:sz w:val="24"/>
          <w:szCs w:val="24"/>
        </w:rPr>
        <w:t xml:space="preserve"> </w:t>
      </w:r>
      <w:r w:rsidR="002C27D7">
        <w:rPr>
          <w:rFonts w:hint="eastAsia"/>
          <w:iCs/>
          <w:color w:val="343434"/>
          <w:kern w:val="0"/>
          <w:sz w:val="24"/>
          <w:szCs w:val="24"/>
        </w:rPr>
        <w:t>an</w:t>
      </w:r>
      <w:r w:rsidR="002C27D7">
        <w:rPr>
          <w:iCs/>
          <w:color w:val="343434"/>
          <w:kern w:val="0"/>
          <w:sz w:val="24"/>
          <w:szCs w:val="24"/>
        </w:rPr>
        <w:t>d 83.0%</w:t>
      </w:r>
      <w:r w:rsidR="00B656A3">
        <w:rPr>
          <w:iCs/>
          <w:color w:val="343434"/>
          <w:kern w:val="0"/>
          <w:sz w:val="24"/>
          <w:szCs w:val="24"/>
        </w:rPr>
        <w:t xml:space="preserve"> for S1</w:t>
      </w:r>
      <w:r w:rsidR="00EF6F57">
        <w:rPr>
          <w:iCs/>
          <w:color w:val="343434"/>
          <w:kern w:val="0"/>
          <w:sz w:val="24"/>
          <w:szCs w:val="24"/>
        </w:rPr>
        <w:t xml:space="preserve"> and</w:t>
      </w:r>
      <w:r w:rsidR="00B656A3">
        <w:rPr>
          <w:iCs/>
          <w:color w:val="343434"/>
          <w:kern w:val="0"/>
          <w:sz w:val="24"/>
          <w:szCs w:val="24"/>
        </w:rPr>
        <w:t xml:space="preserve"> S2, respectively. Since no targeted dose found in S</w:t>
      </w:r>
      <w:r w:rsidR="00561FDB">
        <w:rPr>
          <w:iCs/>
          <w:color w:val="343434"/>
          <w:kern w:val="0"/>
          <w:sz w:val="24"/>
          <w:szCs w:val="24"/>
        </w:rPr>
        <w:t>3</w:t>
      </w:r>
      <w:r w:rsidR="00B656A3">
        <w:rPr>
          <w:iCs/>
          <w:color w:val="343434"/>
          <w:kern w:val="0"/>
          <w:sz w:val="24"/>
          <w:szCs w:val="24"/>
        </w:rPr>
        <w:t>, the trial should be terminated early under S</w:t>
      </w:r>
      <w:r w:rsidR="00561FDB">
        <w:rPr>
          <w:iCs/>
          <w:color w:val="343434"/>
          <w:kern w:val="0"/>
          <w:sz w:val="24"/>
          <w:szCs w:val="24"/>
        </w:rPr>
        <w:t>3</w:t>
      </w:r>
      <w:r w:rsidR="00B656A3">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in the future clinical studies. The dose level selected by EWOUC-Comp and EWOUC-NETS are less toxic since they </w:t>
      </w:r>
      <w:proofErr w:type="gramStart"/>
      <w:r w:rsidR="002126B3">
        <w:rPr>
          <w:iCs/>
          <w:color w:val="343434"/>
          <w:kern w:val="0"/>
          <w:sz w:val="24"/>
          <w:szCs w:val="24"/>
        </w:rPr>
        <w:t>take into account</w:t>
      </w:r>
      <w:proofErr w:type="gramEnd"/>
      <w:r w:rsidR="002126B3">
        <w:rPr>
          <w:iCs/>
          <w:color w:val="343434"/>
          <w:kern w:val="0"/>
          <w:sz w:val="24"/>
          <w:szCs w:val="24"/>
        </w:rPr>
        <w:t xml:space="preserve"> the minimum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EWOUC-NETS provides a more reasonable result </w:t>
      </w:r>
      <w:r w:rsidR="007B666A">
        <w:rPr>
          <w:iCs/>
          <w:color w:val="343434"/>
          <w:kern w:val="0"/>
          <w:sz w:val="24"/>
          <w:szCs w:val="24"/>
        </w:rPr>
        <w:t xml:space="preserve">in S1 </w:t>
      </w:r>
      <w:r w:rsidR="002126B3">
        <w:rPr>
          <w:iCs/>
          <w:color w:val="343434"/>
          <w:kern w:val="0"/>
          <w:sz w:val="24"/>
          <w:szCs w:val="24"/>
        </w:rPr>
        <w:t xml:space="preserve">than EWOUC-Comp as </w:t>
      </w:r>
      <w:r w:rsidR="0033188E">
        <w:rPr>
          <w:iCs/>
          <w:color w:val="343434"/>
          <w:kern w:val="0"/>
          <w:sz w:val="24"/>
          <w:szCs w:val="24"/>
        </w:rPr>
        <w:t>the dose level remains within the acceptable dose set but with higher dosage, which is usually more efficacious</w:t>
      </w:r>
      <w:r w:rsidR="002126B3">
        <w:rPr>
          <w:iCs/>
          <w:color w:val="343434"/>
          <w:kern w:val="0"/>
          <w:sz w:val="24"/>
          <w:szCs w:val="24"/>
        </w:rPr>
        <w:t>.</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57240672"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are summarized in Table 1</w:t>
      </w:r>
      <w:r w:rsidR="00B61A84" w:rsidRPr="008D36BC">
        <w:rPr>
          <w:iCs/>
          <w:color w:val="343434"/>
          <w:kern w:val="0"/>
          <w:sz w:val="24"/>
          <w:szCs w:val="24"/>
        </w:rPr>
        <w:t xml:space="preserve"> and Table 2,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 EWOUC-comp, EWOUC-NW and EWOUC-DA, 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w:t>
      </w:r>
      <w:r w:rsidR="00B92F42" w:rsidRPr="008D36BC">
        <w:rPr>
          <w:iCs/>
          <w:color w:val="343434"/>
          <w:kern w:val="0"/>
          <w:sz w:val="24"/>
          <w:szCs w:val="24"/>
        </w:rPr>
        <w:lastRenderedPageBreak/>
        <w:t xml:space="preserve">and average NETS can be compared in a rough sense. </w:t>
      </w:r>
      <w:r w:rsidR="009B654B" w:rsidRPr="008D36BC">
        <w:rPr>
          <w:iCs/>
          <w:color w:val="343434"/>
          <w:kern w:val="0"/>
          <w:sz w:val="24"/>
          <w:szCs w:val="24"/>
        </w:rPr>
        <w:t>Under S1 and S2, the average NETS of EWOUC-NETS are much lower than the DLT rates of all four</w:t>
      </w:r>
      <w:r w:rsidR="00736601" w:rsidRPr="008D36BC">
        <w:rPr>
          <w:iCs/>
          <w:color w:val="343434"/>
          <w:kern w:val="0"/>
          <w:sz w:val="24"/>
          <w:szCs w:val="24"/>
        </w:rPr>
        <w:t xml:space="preserve"> previous designs.</w:t>
      </w:r>
      <w:r w:rsidR="00A54B37" w:rsidRPr="008D36BC">
        <w:rPr>
          <w:iCs/>
          <w:color w:val="343434"/>
          <w:kern w:val="0"/>
          <w:sz w:val="24"/>
          <w:szCs w:val="24"/>
        </w:rPr>
        <w:t xml:space="preserve"> However, under S3, the average NETS is </w:t>
      </w:r>
      <w:r w:rsidR="005B7025" w:rsidRPr="008D36BC">
        <w:rPr>
          <w:iCs/>
          <w:color w:val="343434"/>
          <w:kern w:val="0"/>
          <w:sz w:val="24"/>
          <w:szCs w:val="24"/>
        </w:rPr>
        <w:t>relatively higher than DLTS rates of all others</w:t>
      </w:r>
      <w:r w:rsidR="002E4E7F" w:rsidRPr="008D36BC">
        <w:rPr>
          <w:iCs/>
          <w:color w:val="343434"/>
          <w:kern w:val="0"/>
          <w:sz w:val="24"/>
          <w:szCs w:val="24"/>
        </w:rPr>
        <w:t xml:space="preserve">, </w:t>
      </w:r>
      <w:r w:rsidR="002E4E7F" w:rsidRPr="008D36BC">
        <w:rPr>
          <w:rFonts w:hint="eastAsia"/>
          <w:iCs/>
          <w:color w:val="343434"/>
          <w:kern w:val="0"/>
          <w:sz w:val="24"/>
          <w:szCs w:val="24"/>
        </w:rPr>
        <w:t>and</w:t>
      </w:r>
      <w:r w:rsidR="002E4E7F" w:rsidRPr="008D36BC">
        <w:rPr>
          <w:iCs/>
          <w:color w:val="343434"/>
          <w:kern w:val="0"/>
          <w:sz w:val="24"/>
          <w:szCs w:val="24"/>
        </w:rPr>
        <w:t xml:space="preserve"> closest to the DLT rate of EWOUC-comp. Under each scenario, </w:t>
      </w:r>
      <w:r w:rsidR="00687058" w:rsidRPr="008D36BC">
        <w:rPr>
          <w:iCs/>
          <w:color w:val="343434"/>
          <w:kern w:val="0"/>
          <w:sz w:val="24"/>
          <w:szCs w:val="24"/>
        </w:rPr>
        <w:t>EWOUC-NETS has the highest expected utility.</w:t>
      </w:r>
      <w:r w:rsidR="001110A8" w:rsidRPr="008D36BC">
        <w:rPr>
          <w:rFonts w:hint="eastAsia"/>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utility calculated using EWOUC-NETS is more precise to reflect the therapeutic effects. </w:t>
      </w:r>
      <w:r w:rsidR="008D36BC">
        <w:rPr>
          <w:iCs/>
          <w:color w:val="343434"/>
          <w:kern w:val="0"/>
          <w:sz w:val="24"/>
          <w:szCs w:val="24"/>
        </w:rPr>
        <w:t xml:space="preserve">The performance of EWOUC-NETS is 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EWOUC-comp as </w:t>
      </w:r>
      <w:r w:rsidR="00425C8D">
        <w:rPr>
          <w:iCs/>
          <w:color w:val="343434"/>
          <w:kern w:val="0"/>
          <w:sz w:val="24"/>
          <w:szCs w:val="24"/>
        </w:rPr>
        <w:t>they</w:t>
      </w:r>
      <w:r w:rsidR="00136580">
        <w:rPr>
          <w:iCs/>
          <w:color w:val="343434"/>
          <w:kern w:val="0"/>
          <w:sz w:val="24"/>
          <w:szCs w:val="24"/>
        </w:rPr>
        <w:t xml:space="preserve"> are </w:t>
      </w:r>
      <w:r w:rsidR="00425C8D">
        <w:rPr>
          <w:iCs/>
          <w:color w:val="343434"/>
          <w:kern w:val="0"/>
          <w:sz w:val="24"/>
          <w:szCs w:val="24"/>
        </w:rPr>
        <w:t xml:space="preserve">all </w:t>
      </w:r>
      <w:r w:rsidR="00136580">
        <w:rPr>
          <w:iCs/>
          <w:color w:val="343434"/>
          <w:kern w:val="0"/>
          <w:sz w:val="24"/>
          <w:szCs w:val="24"/>
        </w:rPr>
        <w:t xml:space="preserve">based on </w:t>
      </w:r>
      <w:r w:rsidR="000F339F">
        <w:rPr>
          <w:iCs/>
          <w:color w:val="343434"/>
          <w:kern w:val="0"/>
          <w:sz w:val="24"/>
          <w:szCs w:val="24"/>
        </w:rPr>
        <w:t>completely</w:t>
      </w:r>
      <w:r w:rsidR="00136580">
        <w:rPr>
          <w:rFonts w:hint="eastAsia"/>
          <w:iCs/>
          <w:color w:val="343434"/>
          <w:kern w:val="0"/>
          <w:sz w:val="24"/>
          <w:szCs w:val="24"/>
        </w:rPr>
        <w:t xml:space="preserve"> </w:t>
      </w:r>
      <w:r w:rsidR="00136580">
        <w:rPr>
          <w:iCs/>
          <w:color w:val="343434"/>
          <w:kern w:val="0"/>
          <w:sz w:val="24"/>
          <w:szCs w:val="24"/>
        </w:rPr>
        <w:t>observed clinical data.</w:t>
      </w:r>
      <w:r w:rsidR="000F339F">
        <w:rPr>
          <w:iCs/>
          <w:color w:val="343434"/>
          <w:kern w:val="0"/>
          <w:sz w:val="24"/>
          <w:szCs w:val="24"/>
        </w:rPr>
        <w:t xml:space="preserve"> Under</w:t>
      </w:r>
      <w:r w:rsidR="00FD7CF0">
        <w:rPr>
          <w:iCs/>
          <w:color w:val="343434"/>
          <w:kern w:val="0"/>
          <w:sz w:val="24"/>
          <w:szCs w:val="24"/>
        </w:rPr>
        <w:t xml:space="preserve"> S1 and S2, most patients are treated at the OUD</w:t>
      </w:r>
      <w:r w:rsidR="00312309">
        <w:rPr>
          <w:iCs/>
          <w:color w:val="343434"/>
          <w:kern w:val="0"/>
          <w:sz w:val="24"/>
          <w:szCs w:val="24"/>
        </w:rPr>
        <w:t>, with 51.78% in S1 and 57.36% in S2</w:t>
      </w:r>
      <w:r w:rsidR="00B620B1">
        <w:rPr>
          <w:iCs/>
          <w:color w:val="343434"/>
          <w:kern w:val="0"/>
          <w:sz w:val="24"/>
          <w:szCs w:val="24"/>
        </w:rPr>
        <w:t>, respectively</w:t>
      </w:r>
      <w:r w:rsidR="00FD7CF0">
        <w:rPr>
          <w:iCs/>
          <w:color w:val="343434"/>
          <w:kern w:val="0"/>
          <w:sz w:val="24"/>
          <w:szCs w:val="24"/>
        </w:rPr>
        <w:t>.</w:t>
      </w:r>
      <w:r w:rsidR="00312309">
        <w:rPr>
          <w:iCs/>
          <w:color w:val="343434"/>
          <w:kern w:val="0"/>
          <w:sz w:val="24"/>
          <w:szCs w:val="24"/>
        </w:rPr>
        <w:t xml:space="preserve">  </w:t>
      </w:r>
      <w:r w:rsidR="00B620B1">
        <w:rPr>
          <w:iCs/>
          <w:color w:val="343434"/>
          <w:kern w:val="0"/>
          <w:sz w:val="24"/>
          <w:szCs w:val="24"/>
        </w:rPr>
        <w:t>Additionally, it is also found that</w:t>
      </w:r>
      <w:r w:rsidR="00C37C8E">
        <w:rPr>
          <w:iCs/>
          <w:color w:val="343434"/>
          <w:kern w:val="0"/>
          <w:sz w:val="24"/>
          <w:szCs w:val="24"/>
        </w:rPr>
        <w:t xml:space="preserve"> the second largest proportion of patients are treated at the dose level lower and next to the OUD, with 31.27% in S1 and 24.63% in S2, respectively. This is due to the utilization of 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EWOC treats the largest portion of patients at the same dose level as EWOUC-NETS in S1, the percentage of patients treated at MTD, which is above the OUD, is still very high. </w:t>
      </w:r>
      <w:r w:rsidR="004D7CFE">
        <w:rPr>
          <w:iCs/>
          <w:color w:val="343434"/>
          <w:kern w:val="0"/>
          <w:sz w:val="24"/>
          <w:szCs w:val="24"/>
        </w:rPr>
        <w:t xml:space="preserve">Meanwhile, the MED under S1 is assumed to be dose level 2. For EWOUC-NETS design, </w:t>
      </w:r>
      <w:r w:rsidR="006223BC">
        <w:rPr>
          <w:iCs/>
          <w:color w:val="343434"/>
          <w:kern w:val="0"/>
          <w:sz w:val="24"/>
          <w:szCs w:val="24"/>
        </w:rPr>
        <w:t>91</w:t>
      </w:r>
      <w:r w:rsidR="004D7CFE">
        <w:rPr>
          <w:iCs/>
          <w:color w:val="343434"/>
          <w:kern w:val="0"/>
          <w:sz w:val="24"/>
          <w:szCs w:val="24"/>
        </w:rPr>
        <w:t>.</w:t>
      </w:r>
      <w:r w:rsidR="006223BC">
        <w:rPr>
          <w:iCs/>
          <w:color w:val="343434"/>
          <w:kern w:val="0"/>
          <w:sz w:val="24"/>
          <w:szCs w:val="24"/>
        </w:rPr>
        <w:t>67</w:t>
      </w:r>
      <w:r w:rsidR="004D7CFE">
        <w:rPr>
          <w:iCs/>
          <w:color w:val="343434"/>
          <w:kern w:val="0"/>
          <w:sz w:val="24"/>
          <w:szCs w:val="24"/>
        </w:rPr>
        <w:t xml:space="preserve">% and </w:t>
      </w:r>
      <w:r w:rsidR="006D276D">
        <w:rPr>
          <w:iCs/>
          <w:color w:val="343434"/>
          <w:kern w:val="0"/>
          <w:sz w:val="24"/>
          <w:szCs w:val="24"/>
        </w:rPr>
        <w:t>83</w:t>
      </w:r>
      <w:r w:rsidR="004D7CFE">
        <w:rPr>
          <w:iCs/>
          <w:color w:val="343434"/>
          <w:kern w:val="0"/>
          <w:sz w:val="24"/>
          <w:szCs w:val="24"/>
        </w:rPr>
        <w:t>.</w:t>
      </w:r>
      <w:r w:rsidR="006D276D">
        <w:rPr>
          <w:iCs/>
          <w:color w:val="343434"/>
          <w:kern w:val="0"/>
          <w:sz w:val="24"/>
          <w:szCs w:val="24"/>
        </w:rPr>
        <w:t>21</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 xml:space="preserve">tients are treated </w:t>
      </w:r>
      <w:r w:rsidR="006223BC">
        <w:rPr>
          <w:iCs/>
          <w:color w:val="343434"/>
          <w:kern w:val="0"/>
          <w:sz w:val="24"/>
          <w:szCs w:val="24"/>
        </w:rPr>
        <w:t xml:space="preserve">equal or </w:t>
      </w:r>
      <w:r w:rsidR="004D7CFE">
        <w:rPr>
          <w:iCs/>
          <w:color w:val="343434"/>
          <w:kern w:val="0"/>
          <w:sz w:val="24"/>
          <w:szCs w:val="24"/>
        </w:rPr>
        <w:t>above the MED under S1 and S2, respectively</w:t>
      </w:r>
      <w:r w:rsidR="00AD3AD0">
        <w:rPr>
          <w:iCs/>
          <w:color w:val="343434"/>
          <w:kern w:val="0"/>
          <w:sz w:val="24"/>
          <w:szCs w:val="24"/>
        </w:rPr>
        <w:t xml:space="preserve">. EWOC and EWOUC-comp have relatively </w:t>
      </w:r>
      <w:r w:rsidR="006D276D">
        <w:rPr>
          <w:iCs/>
          <w:color w:val="343434"/>
          <w:kern w:val="0"/>
          <w:sz w:val="24"/>
          <w:szCs w:val="24"/>
        </w:rPr>
        <w:t>smaller</w:t>
      </w:r>
      <w:r w:rsidR="00AD3AD0">
        <w:rPr>
          <w:iCs/>
          <w:color w:val="343434"/>
          <w:kern w:val="0"/>
          <w:sz w:val="24"/>
          <w:szCs w:val="24"/>
        </w:rPr>
        <w:t xml:space="preserve"> portion of patients treated </w:t>
      </w:r>
      <w:r w:rsidR="006D276D">
        <w:rPr>
          <w:iCs/>
          <w:color w:val="343434"/>
          <w:kern w:val="0"/>
          <w:sz w:val="24"/>
          <w:szCs w:val="24"/>
        </w:rPr>
        <w:t>above</w:t>
      </w:r>
      <w:r w:rsidR="00AD3AD0">
        <w:rPr>
          <w:iCs/>
          <w:color w:val="343434"/>
          <w:kern w:val="0"/>
          <w:sz w:val="24"/>
          <w:szCs w:val="24"/>
        </w:rPr>
        <w:t xml:space="preserve"> the MED (S1: EWOC-</w:t>
      </w:r>
      <w:r w:rsidR="006D276D">
        <w:rPr>
          <w:iCs/>
          <w:color w:val="343434"/>
          <w:kern w:val="0"/>
          <w:sz w:val="24"/>
          <w:szCs w:val="24"/>
        </w:rPr>
        <w:t>79.24</w:t>
      </w:r>
      <w:r w:rsidR="00AD3AD0">
        <w:rPr>
          <w:iCs/>
          <w:color w:val="343434"/>
          <w:kern w:val="0"/>
          <w:sz w:val="24"/>
          <w:szCs w:val="24"/>
        </w:rPr>
        <w:t>%</w:t>
      </w:r>
      <w:r w:rsidR="006D276D">
        <w:rPr>
          <w:iCs/>
          <w:color w:val="343434"/>
          <w:kern w:val="0"/>
          <w:sz w:val="24"/>
          <w:szCs w:val="24"/>
        </w:rPr>
        <w:t xml:space="preserve"> and EWOUC-comp-</w:t>
      </w:r>
      <w:r w:rsidR="00CC0E63">
        <w:rPr>
          <w:iCs/>
          <w:color w:val="343434"/>
          <w:kern w:val="0"/>
          <w:sz w:val="24"/>
          <w:szCs w:val="24"/>
        </w:rPr>
        <w:t>91.3%</w:t>
      </w:r>
      <w:r w:rsidR="006D276D">
        <w:rPr>
          <w:iCs/>
          <w:color w:val="343434"/>
          <w:kern w:val="0"/>
          <w:sz w:val="24"/>
          <w:szCs w:val="24"/>
        </w:rPr>
        <w:t>; S2: EWOC-81.38%</w:t>
      </w:r>
      <w:r w:rsidR="00CC0E63">
        <w:rPr>
          <w:iCs/>
          <w:color w:val="343434"/>
          <w:kern w:val="0"/>
          <w:sz w:val="24"/>
          <w:szCs w:val="24"/>
        </w:rPr>
        <w:t xml:space="preserve"> and EWOUC-comp-80.95%</w:t>
      </w:r>
      <w:r w:rsidR="00AD3AD0">
        <w:rPr>
          <w:iCs/>
          <w:color w:val="343434"/>
          <w:kern w:val="0"/>
          <w:sz w:val="24"/>
          <w:szCs w:val="24"/>
        </w:rPr>
        <w:t xml:space="preserve">). </w:t>
      </w:r>
      <w:r w:rsidR="00CC0E63">
        <w:rPr>
          <w:iCs/>
          <w:color w:val="343434"/>
          <w:kern w:val="0"/>
          <w:sz w:val="24"/>
          <w:szCs w:val="24"/>
        </w:rPr>
        <w:t xml:space="preserve">This also implies that the under-dose control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 xml:space="preserve">lso, in S2, EWOC design treats patients mostly at dose level 5 (the MTD) while </w:t>
      </w:r>
      <w:r w:rsidR="00425C8D">
        <w:rPr>
          <w:iCs/>
          <w:color w:val="343434"/>
          <w:kern w:val="0"/>
          <w:sz w:val="24"/>
          <w:szCs w:val="24"/>
        </w:rPr>
        <w:lastRenderedPageBreak/>
        <w:t>patients in EWOUC-comp and EWOUC-NETS designs are mostly treated at dose level 4. Hence, the risk of over-dosing for patients is reduced when using EWOUC and EWOUC-NETS designs and the minimum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 xml:space="preserve">WOUC-comp also accounts for over-dose and under-dose controls, the accuracy of identifying the OUD is lower than EWOUC-NETS, as most information is discarded if using binary dual endpoints. Under S3, </w:t>
      </w:r>
      <w:r w:rsidR="00B333D4">
        <w:rPr>
          <w:iCs/>
          <w:color w:val="343434"/>
          <w:kern w:val="0"/>
          <w:sz w:val="24"/>
          <w:szCs w:val="24"/>
        </w:rPr>
        <w:t xml:space="preserve">the MTD is set to be dose level 2, however, EWOUC-comp design still has 14.09% patients treated above the MTD while EWOUC-NETS only has 5.06%. Thus, EWOUC-NETS is more trustable in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372B2590" w:rsidR="00F670F9" w:rsidRDefault="00F670F9" w:rsidP="00F670F9">
      <w:pPr>
        <w:spacing w:after="0"/>
        <w:ind w:firstLine="360"/>
        <w:rPr>
          <w:color w:val="343434"/>
          <w:kern w:val="0"/>
          <w:sz w:val="24"/>
          <w:szCs w:val="24"/>
        </w:rPr>
      </w:pPr>
      <w:r w:rsidRPr="00F670F9">
        <w:rPr>
          <w:iCs/>
          <w:color w:val="343434"/>
          <w:kern w:val="0"/>
          <w:sz w:val="24"/>
          <w:szCs w:val="24"/>
        </w:rPr>
        <w:lastRenderedPageBreak/>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w:t>
      </w:r>
      <w:proofErr w:type="spellStart"/>
      <w:r w:rsidR="006F30CD">
        <w:rPr>
          <w:iCs/>
          <w:color w:val="343434"/>
          <w:kern w:val="0"/>
          <w:sz w:val="24"/>
          <w:szCs w:val="24"/>
        </w:rPr>
        <w:t>everolimus</w:t>
      </w:r>
      <w:proofErr w:type="spellEnd"/>
      <w:r w:rsidR="006F30CD">
        <w:rPr>
          <w:iCs/>
          <w:color w:val="343434"/>
          <w:kern w:val="0"/>
          <w:sz w:val="24"/>
          <w:szCs w:val="24"/>
        </w:rPr>
        <w:t xml:space="preserve">,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r w:rsidR="00245A7B">
        <w:rPr>
          <w:iCs/>
          <w:color w:val="343434"/>
          <w:kern w:val="0"/>
          <w:sz w:val="24"/>
          <w:szCs w:val="24"/>
        </w:rPr>
        <w:t xml:space="preserve">ts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xml:space="preserve">, at the starting dose level, are chosen as 0.03 and 0.08, respectively. Furthermore, based on the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m:t>
        </m:r>
        <m:r>
          <w:rPr>
            <w:rFonts w:ascii="Cambria Math" w:hAnsi="Cambria Math"/>
            <w:color w:val="343434"/>
            <w:kern w:val="0"/>
            <w:sz w:val="24"/>
            <w:szCs w:val="24"/>
          </w:rPr>
          <m:t>(U|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xml:space="preserve">, </w:t>
      </w:r>
      <w:r w:rsidR="00D34654">
        <w:rPr>
          <w:color w:val="343434"/>
          <w:kern w:val="0"/>
          <w:sz w:val="24"/>
          <w:szCs w:val="24"/>
        </w:rPr>
        <w:t>the trial will be terminated early</w:t>
      </w:r>
      <w:r w:rsidR="00D34654">
        <w:rPr>
          <w:color w:val="343434"/>
          <w:kern w:val="0"/>
          <w:sz w:val="24"/>
          <w:szCs w:val="24"/>
        </w:rPr>
        <w:t>.</w:t>
      </w:r>
      <w:r w:rsidR="00F7581A">
        <w:rPr>
          <w:color w:val="343434"/>
          <w:kern w:val="0"/>
          <w:sz w:val="24"/>
          <w:szCs w:val="24"/>
        </w:rPr>
        <w:t xml:space="preserve"> Otherwise, patients will be treated at the MTD for under-dose 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4C2ABFD5" w:rsidR="003764AB" w:rsidRPr="00F670F9" w:rsidRDefault="003764AB" w:rsidP="00F670F9">
      <w:pPr>
        <w:spacing w:after="0"/>
        <w:ind w:firstLine="360"/>
        <w:rPr>
          <w:b/>
          <w:bCs/>
          <w:i/>
          <w:color w:val="343434"/>
          <w:kern w:val="0"/>
          <w:sz w:val="24"/>
          <w:szCs w:val="24"/>
        </w:rPr>
      </w:pPr>
      <w:r>
        <w:rPr>
          <w:color w:val="343434"/>
          <w:kern w:val="0"/>
          <w:sz w:val="24"/>
          <w:szCs w:val="24"/>
        </w:rPr>
        <w:t xml:space="preserve">The dose level 3 is assumed to be the OUD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W=1</m:t>
        </m:r>
      </m:oMath>
      <w:r w:rsidR="00503DF3">
        <w:rPr>
          <w:color w:val="343434"/>
          <w:kern w:val="0"/>
          <w:sz w:val="24"/>
          <w:szCs w:val="24"/>
        </w:rPr>
        <w:t xml:space="preserve"> is chosen in the utility function. Other operating characteristics </w:t>
      </w:r>
      <w:r w:rsidR="00503DF3">
        <w:rPr>
          <w:color w:val="343434"/>
          <w:kern w:val="0"/>
          <w:sz w:val="24"/>
          <w:szCs w:val="24"/>
        </w:rPr>
        <w:lastRenderedPageBreak/>
        <w:t>and details are summarized in Table 5.</w:t>
      </w:r>
      <w:r w:rsidR="004F39B8">
        <w:rPr>
          <w:color w:val="343434"/>
          <w:kern w:val="0"/>
          <w:sz w:val="24"/>
          <w:szCs w:val="24"/>
        </w:rPr>
        <w:t xml:space="preserve"> From the study result, we could see that EWOUC-NETS has the probability of approximately </w:t>
      </w:r>
      <w:r w:rsidR="00BA5DE0">
        <w:rPr>
          <w:color w:val="343434"/>
          <w:kern w:val="0"/>
          <w:sz w:val="24"/>
          <w:szCs w:val="24"/>
        </w:rPr>
        <w:t xml:space="preserve">82.50% to correctly identify the OUD. In the meantime, about 49.42% of patients are treated under the OUD, which is also the highest portion of patients that is treated under a certain dose level. </w:t>
      </w:r>
      <w:r w:rsidR="00BA5DE0" w:rsidRPr="00812D79">
        <w:rPr>
          <w:color w:val="343434"/>
          <w:kern w:val="0"/>
          <w:sz w:val="24"/>
          <w:szCs w:val="24"/>
        </w:rPr>
        <w:t>The expected (mean) utility is</w:t>
      </w:r>
      <w:r w:rsidR="00BA5DE0">
        <w:rPr>
          <w:color w:val="343434"/>
          <w:kern w:val="0"/>
          <w:sz w:val="24"/>
          <w:szCs w:val="24"/>
        </w:rPr>
        <w:t xml:space="preserve"> </w:t>
      </w:r>
      <w:r w:rsidR="00812D79">
        <w:rPr>
          <w:color w:val="343434"/>
          <w:kern w:val="0"/>
          <w:sz w:val="24"/>
          <w:szCs w:val="24"/>
        </w:rPr>
        <w:t>0.51.</w:t>
      </w:r>
      <w:r w:rsidR="00BA5DE0">
        <w:rPr>
          <w:color w:val="343434"/>
          <w:kern w:val="0"/>
          <w:sz w:val="24"/>
          <w:szCs w:val="24"/>
        </w:rPr>
        <w:t xml:space="preserve"> The average NETS of patients is around 0.048 and approximately 68.73% of patients will benefit from efficacy events based on our 1000 replicates.</w:t>
      </w:r>
      <w:r w:rsidR="00A17A05">
        <w:rPr>
          <w:color w:val="343434"/>
          <w:kern w:val="0"/>
          <w:sz w:val="24"/>
          <w:szCs w:val="24"/>
        </w:rPr>
        <w:t xml:space="preserve"> </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4A609557"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[4] is employed to model the toxicity outcome while the efficacy is also considered to be continuous by using </w:t>
      </w:r>
      <w:r w:rsidR="00EB107C">
        <w:rPr>
          <w:iCs/>
          <w:color w:val="343434"/>
          <w:kern w:val="0"/>
          <w:sz w:val="24"/>
          <w:szCs w:val="24"/>
        </w:rPr>
        <w:t xml:space="preserve">the factorization model proposed in [5]. </w:t>
      </w:r>
      <w:r w:rsidR="006B798E">
        <w:rPr>
          <w:iCs/>
          <w:color w:val="343434"/>
          <w:kern w:val="0"/>
          <w:sz w:val="24"/>
          <w:szCs w:val="24"/>
        </w:rPr>
        <w:t xml:space="preserve">In this paper, we proposed a novel model to model the joint probability of 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lastRenderedPageBreak/>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hint="eastAsia"/>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6FAB48EE" w14:textId="133EB390" w:rsidR="00CE33F0" w:rsidRPr="00D265FB" w:rsidRDefault="00CE33F0" w:rsidP="00CE33F0">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10439C75" w14:textId="7FDEA980" w:rsidR="001F14CC" w:rsidRDefault="002E516D" w:rsidP="002E516D">
      <w:pPr>
        <w:spacing w:after="0"/>
        <w:rPr>
          <w:iCs/>
          <w:color w:val="343434"/>
          <w:kern w:val="0"/>
          <w:sz w:val="24"/>
          <w:szCs w:val="24"/>
        </w:rPr>
      </w:pPr>
      <w:r>
        <w:rPr>
          <w:iCs/>
          <w:color w:val="343434"/>
          <w:kern w:val="0"/>
          <w:sz w:val="24"/>
          <w:szCs w:val="24"/>
        </w:rPr>
        <w:t xml:space="preserve">[1] </w:t>
      </w:r>
      <w:r w:rsidR="00DF0735" w:rsidRPr="00DF0735">
        <w:rPr>
          <w:iCs/>
          <w:color w:val="343434"/>
          <w:kern w:val="0"/>
          <w:sz w:val="24"/>
          <w:szCs w:val="24"/>
        </w:rPr>
        <w:t xml:space="preserve">Babb, J., </w:t>
      </w:r>
      <w:proofErr w:type="spellStart"/>
      <w:r w:rsidR="00DF0735" w:rsidRPr="00DF0735">
        <w:rPr>
          <w:iCs/>
          <w:color w:val="343434"/>
          <w:kern w:val="0"/>
          <w:sz w:val="24"/>
          <w:szCs w:val="24"/>
        </w:rPr>
        <w:t>Rogatko</w:t>
      </w:r>
      <w:proofErr w:type="spellEnd"/>
      <w:r w:rsidR="00DF0735" w:rsidRPr="00DF0735">
        <w:rPr>
          <w:iCs/>
          <w:color w:val="343434"/>
          <w:kern w:val="0"/>
          <w:sz w:val="24"/>
          <w:szCs w:val="24"/>
        </w:rPr>
        <w:t xml:space="preserve">, A., &amp; Zacks, S. (1998). Cancer phase I clinical trials: efficient dose escalation with overdose control. </w:t>
      </w:r>
      <w:r w:rsidR="00DF0735" w:rsidRPr="00DF0735">
        <w:rPr>
          <w:i/>
          <w:color w:val="343434"/>
          <w:kern w:val="0"/>
          <w:sz w:val="24"/>
          <w:szCs w:val="24"/>
        </w:rPr>
        <w:t>Statistics in medicine, 17</w:t>
      </w:r>
      <w:r w:rsidR="00DF0735" w:rsidRPr="00DF0735">
        <w:rPr>
          <w:iCs/>
          <w:color w:val="343434"/>
          <w:kern w:val="0"/>
          <w:sz w:val="24"/>
          <w:szCs w:val="24"/>
        </w:rPr>
        <w:t xml:space="preserve">(10), 1103–1120. </w:t>
      </w:r>
    </w:p>
    <w:p w14:paraId="7DE55121" w14:textId="56585712" w:rsidR="002E516D" w:rsidRDefault="002E516D" w:rsidP="002E516D">
      <w:pPr>
        <w:spacing w:after="0"/>
        <w:rPr>
          <w:iCs/>
          <w:color w:val="343434"/>
          <w:kern w:val="0"/>
          <w:sz w:val="24"/>
          <w:szCs w:val="24"/>
        </w:rPr>
      </w:pPr>
      <w:r>
        <w:rPr>
          <w:iCs/>
          <w:color w:val="343434"/>
          <w:kern w:val="0"/>
          <w:sz w:val="24"/>
          <w:szCs w:val="24"/>
        </w:rPr>
        <w:t xml:space="preserve">[2] </w:t>
      </w:r>
      <w:r w:rsidR="00B1278B">
        <w:rPr>
          <w:iCs/>
          <w:color w:val="343434"/>
          <w:kern w:val="0"/>
          <w:sz w:val="24"/>
          <w:szCs w:val="24"/>
        </w:rPr>
        <w:t xml:space="preserve">National Cancer Institute. (2021). </w:t>
      </w:r>
      <w:r w:rsidR="00B1278B" w:rsidRPr="00450F6A">
        <w:rPr>
          <w:i/>
          <w:color w:val="343434"/>
          <w:kern w:val="0"/>
          <w:sz w:val="24"/>
          <w:szCs w:val="24"/>
        </w:rPr>
        <w:t>Common Toxicity Criteria for Adverse Events v5.0 (CTCAE)</w:t>
      </w:r>
      <w:r w:rsidR="00B1278B">
        <w:rPr>
          <w:iCs/>
          <w:color w:val="343434"/>
          <w:kern w:val="0"/>
          <w:sz w:val="24"/>
          <w:szCs w:val="24"/>
        </w:rPr>
        <w:t xml:space="preserve">. </w:t>
      </w:r>
      <w:hyperlink r:id="rId8" w:anchor="ctc_50" w:history="1">
        <w:r w:rsidR="00BF0FBB" w:rsidRPr="00E94663">
          <w:rPr>
            <w:rStyle w:val="Hyperlink"/>
            <w:iCs/>
            <w:kern w:val="0"/>
            <w:sz w:val="24"/>
            <w:szCs w:val="24"/>
          </w:rPr>
          <w:t>https://ctep.cancer.gov/protocoldevelopment/electronic_applications/ctc.htm#ctc_50</w:t>
        </w:r>
      </w:hyperlink>
    </w:p>
    <w:p w14:paraId="47DD6577" w14:textId="0CC96C58" w:rsidR="00BF0FBB" w:rsidRPr="00BF0FBB" w:rsidRDefault="00BF0FBB" w:rsidP="00BF0FBB">
      <w:pPr>
        <w:spacing w:after="0"/>
        <w:rPr>
          <w:iCs/>
          <w:color w:val="343434"/>
          <w:kern w:val="0"/>
          <w:sz w:val="24"/>
          <w:szCs w:val="24"/>
        </w:rPr>
      </w:pPr>
      <w:r>
        <w:rPr>
          <w:iCs/>
          <w:color w:val="343434"/>
          <w:kern w:val="0"/>
          <w:sz w:val="24"/>
          <w:szCs w:val="24"/>
        </w:rPr>
        <w:lastRenderedPageBreak/>
        <w:t xml:space="preserve">[3] </w:t>
      </w:r>
      <w:r w:rsidRPr="00BF0FBB">
        <w:rPr>
          <w:iCs/>
          <w:color w:val="343434"/>
          <w:kern w:val="0"/>
          <w:sz w:val="24"/>
          <w:szCs w:val="24"/>
        </w:rPr>
        <w:t>Chen</w:t>
      </w:r>
      <w:r>
        <w:rPr>
          <w:iCs/>
          <w:color w:val="343434"/>
          <w:kern w:val="0"/>
          <w:sz w:val="24"/>
          <w:szCs w:val="24"/>
        </w:rPr>
        <w:t>,</w:t>
      </w:r>
      <w:r w:rsidRPr="00BF0FBB">
        <w:rPr>
          <w:iCs/>
          <w:color w:val="343434"/>
          <w:kern w:val="0"/>
          <w:sz w:val="24"/>
          <w:szCs w:val="24"/>
        </w:rPr>
        <w:t xml:space="preserve"> Z</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Krailo</w:t>
      </w:r>
      <w:proofErr w:type="spellEnd"/>
      <w:r>
        <w:rPr>
          <w:iCs/>
          <w:color w:val="343434"/>
          <w:kern w:val="0"/>
          <w:sz w:val="24"/>
          <w:szCs w:val="24"/>
        </w:rPr>
        <w:t>,</w:t>
      </w:r>
      <w:r w:rsidRPr="00BF0FBB">
        <w:rPr>
          <w:iCs/>
          <w:color w:val="343434"/>
          <w:kern w:val="0"/>
          <w:sz w:val="24"/>
          <w:szCs w:val="24"/>
        </w:rPr>
        <w:t xml:space="preserve"> MD</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Azen</w:t>
      </w:r>
      <w:proofErr w:type="spellEnd"/>
      <w:r>
        <w:rPr>
          <w:iCs/>
          <w:color w:val="343434"/>
          <w:kern w:val="0"/>
          <w:sz w:val="24"/>
          <w:szCs w:val="24"/>
        </w:rPr>
        <w:t>,</w:t>
      </w:r>
      <w:r w:rsidRPr="00BF0FBB">
        <w:rPr>
          <w:iCs/>
          <w:color w:val="343434"/>
          <w:kern w:val="0"/>
          <w:sz w:val="24"/>
          <w:szCs w:val="24"/>
        </w:rPr>
        <w:t xml:space="preserve"> SP</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Tighiouart</w:t>
      </w:r>
      <w:proofErr w:type="spellEnd"/>
      <w:r>
        <w:rPr>
          <w:iCs/>
          <w:color w:val="343434"/>
          <w:kern w:val="0"/>
          <w:sz w:val="24"/>
          <w:szCs w:val="24"/>
        </w:rPr>
        <w:t>,</w:t>
      </w:r>
      <w:r w:rsidRPr="00BF0FBB">
        <w:rPr>
          <w:iCs/>
          <w:color w:val="343434"/>
          <w:kern w:val="0"/>
          <w:sz w:val="24"/>
          <w:szCs w:val="24"/>
        </w:rPr>
        <w:t xml:space="preserve"> M. </w:t>
      </w:r>
      <w:r>
        <w:rPr>
          <w:iCs/>
          <w:color w:val="343434"/>
          <w:kern w:val="0"/>
          <w:sz w:val="24"/>
          <w:szCs w:val="24"/>
        </w:rPr>
        <w:t xml:space="preserve">(2010). </w:t>
      </w:r>
      <w:r w:rsidRPr="00BF0FBB">
        <w:rPr>
          <w:iCs/>
          <w:color w:val="343434"/>
          <w:kern w:val="0"/>
          <w:sz w:val="24"/>
          <w:szCs w:val="24"/>
        </w:rPr>
        <w:t>A novel toxicity scoring</w:t>
      </w:r>
    </w:p>
    <w:p w14:paraId="414E1680" w14:textId="3F614E8F" w:rsidR="00BF0FBB" w:rsidRDefault="00BF0FBB" w:rsidP="00BF0FBB">
      <w:pPr>
        <w:spacing w:after="0"/>
        <w:rPr>
          <w:iCs/>
          <w:color w:val="343434"/>
          <w:kern w:val="0"/>
          <w:sz w:val="24"/>
          <w:szCs w:val="24"/>
        </w:rPr>
      </w:pPr>
      <w:r w:rsidRPr="00BF0FBB">
        <w:rPr>
          <w:iCs/>
          <w:color w:val="343434"/>
          <w:kern w:val="0"/>
          <w:sz w:val="24"/>
          <w:szCs w:val="24"/>
        </w:rPr>
        <w:t>system treating toxicity response as a quasi-continuous variable in phase I clinical trials.</w:t>
      </w:r>
      <w:r w:rsidR="00DF0735" w:rsidRPr="00DF0735">
        <w:rPr>
          <w:i/>
          <w:color w:val="343434"/>
          <w:kern w:val="0"/>
          <w:sz w:val="24"/>
          <w:szCs w:val="24"/>
        </w:rPr>
        <w:t xml:space="preserve"> Contemporary clinical trials</w:t>
      </w:r>
      <w:r w:rsidR="00DF0735">
        <w:rPr>
          <w:iCs/>
          <w:color w:val="343434"/>
          <w:kern w:val="0"/>
          <w:sz w:val="24"/>
          <w:szCs w:val="24"/>
        </w:rPr>
        <w:t>,</w:t>
      </w:r>
      <w:r>
        <w:rPr>
          <w:iCs/>
          <w:color w:val="343434"/>
          <w:kern w:val="0"/>
          <w:sz w:val="24"/>
          <w:szCs w:val="24"/>
        </w:rPr>
        <w:t xml:space="preserve"> </w:t>
      </w:r>
      <w:r w:rsidR="00DF0735" w:rsidRPr="00DF0735">
        <w:rPr>
          <w:i/>
          <w:color w:val="343434"/>
          <w:kern w:val="0"/>
          <w:sz w:val="24"/>
          <w:szCs w:val="24"/>
        </w:rPr>
        <w:t>31</w:t>
      </w:r>
      <w:r w:rsidR="00DF0735">
        <w:rPr>
          <w:iCs/>
          <w:color w:val="343434"/>
          <w:kern w:val="0"/>
          <w:sz w:val="24"/>
          <w:szCs w:val="24"/>
        </w:rPr>
        <w:t>,</w:t>
      </w:r>
      <w:r>
        <w:rPr>
          <w:iCs/>
          <w:color w:val="343434"/>
          <w:kern w:val="0"/>
          <w:sz w:val="24"/>
          <w:szCs w:val="24"/>
        </w:rPr>
        <w:t xml:space="preserve"> </w:t>
      </w:r>
      <w:r w:rsidRPr="00BF0FBB">
        <w:rPr>
          <w:iCs/>
          <w:color w:val="343434"/>
          <w:kern w:val="0"/>
          <w:sz w:val="24"/>
          <w:szCs w:val="24"/>
        </w:rPr>
        <w:t>473–82.</w:t>
      </w:r>
    </w:p>
    <w:p w14:paraId="765B6297" w14:textId="38BACEEC" w:rsidR="005D3041" w:rsidRPr="005D3041" w:rsidRDefault="00BF0FBB" w:rsidP="005D3041">
      <w:pPr>
        <w:spacing w:after="0"/>
        <w:rPr>
          <w:iCs/>
          <w:color w:val="343434"/>
          <w:kern w:val="0"/>
          <w:sz w:val="24"/>
          <w:szCs w:val="24"/>
        </w:rPr>
      </w:pPr>
      <w:r>
        <w:rPr>
          <w:iCs/>
          <w:color w:val="343434"/>
          <w:kern w:val="0"/>
          <w:sz w:val="24"/>
          <w:szCs w:val="24"/>
        </w:rPr>
        <w:t xml:space="preserve">[4] </w:t>
      </w:r>
      <w:r w:rsidR="005D3041">
        <w:rPr>
          <w:iCs/>
          <w:color w:val="343434"/>
          <w:kern w:val="0"/>
          <w:sz w:val="24"/>
          <w:szCs w:val="24"/>
        </w:rPr>
        <w:t xml:space="preserve">Chen, Z., </w:t>
      </w:r>
      <w:proofErr w:type="spellStart"/>
      <w:r w:rsidR="005D3041">
        <w:rPr>
          <w:iCs/>
          <w:color w:val="343434"/>
          <w:kern w:val="0"/>
          <w:sz w:val="24"/>
          <w:szCs w:val="24"/>
        </w:rPr>
        <w:t>Tighiouart</w:t>
      </w:r>
      <w:proofErr w:type="spellEnd"/>
      <w:r w:rsidR="005D3041">
        <w:rPr>
          <w:iCs/>
          <w:color w:val="343434"/>
          <w:kern w:val="0"/>
          <w:sz w:val="24"/>
          <w:szCs w:val="24"/>
        </w:rPr>
        <w:t>, M., Kowalski, J. (2012).</w:t>
      </w:r>
      <w:r w:rsidR="005D3041" w:rsidRPr="005D3041">
        <w:t xml:space="preserve"> </w:t>
      </w:r>
      <w:r w:rsidR="005D3041" w:rsidRPr="005D3041">
        <w:rPr>
          <w:iCs/>
          <w:color w:val="343434"/>
          <w:kern w:val="0"/>
          <w:sz w:val="24"/>
          <w:szCs w:val="24"/>
        </w:rPr>
        <w:t>Dose escalation with overdose control</w:t>
      </w:r>
    </w:p>
    <w:p w14:paraId="24BBBA64" w14:textId="03E4602C" w:rsidR="00B1278B" w:rsidRDefault="005D3041" w:rsidP="005D3041">
      <w:pPr>
        <w:spacing w:after="0"/>
        <w:rPr>
          <w:iCs/>
          <w:color w:val="343434"/>
          <w:kern w:val="0"/>
          <w:sz w:val="24"/>
          <w:szCs w:val="24"/>
        </w:rPr>
      </w:pPr>
      <w:r w:rsidRPr="005D3041">
        <w:rPr>
          <w:iCs/>
          <w:color w:val="343434"/>
          <w:kern w:val="0"/>
          <w:sz w:val="24"/>
          <w:szCs w:val="24"/>
        </w:rPr>
        <w:t xml:space="preserve">using a quasi-continuous toxicity score in cancer Phase I clinical trials. </w:t>
      </w:r>
      <w:r w:rsidR="00DF0735" w:rsidRPr="00DF0735">
        <w:rPr>
          <w:i/>
          <w:color w:val="343434"/>
          <w:kern w:val="0"/>
          <w:sz w:val="24"/>
          <w:szCs w:val="24"/>
        </w:rPr>
        <w:t>Contemporary clinical trials</w:t>
      </w:r>
      <w:r w:rsidR="00DF0735">
        <w:rPr>
          <w:iCs/>
          <w:color w:val="343434"/>
          <w:kern w:val="0"/>
          <w:sz w:val="24"/>
          <w:szCs w:val="24"/>
        </w:rPr>
        <w:t>,</w:t>
      </w:r>
      <w:r>
        <w:rPr>
          <w:iCs/>
          <w:color w:val="343434"/>
          <w:kern w:val="0"/>
          <w:sz w:val="24"/>
          <w:szCs w:val="24"/>
        </w:rPr>
        <w:t xml:space="preserve"> </w:t>
      </w:r>
      <w:r w:rsidRPr="00DF0735">
        <w:rPr>
          <w:i/>
          <w:color w:val="343434"/>
          <w:kern w:val="0"/>
          <w:sz w:val="24"/>
          <w:szCs w:val="24"/>
        </w:rPr>
        <w:t>33</w:t>
      </w:r>
      <w:r w:rsidR="00DF0735">
        <w:rPr>
          <w:iCs/>
          <w:color w:val="343434"/>
          <w:kern w:val="0"/>
          <w:sz w:val="24"/>
          <w:szCs w:val="24"/>
        </w:rPr>
        <w:t xml:space="preserve">, </w:t>
      </w:r>
      <w:r w:rsidRPr="005D3041">
        <w:rPr>
          <w:iCs/>
          <w:color w:val="343434"/>
          <w:kern w:val="0"/>
          <w:sz w:val="24"/>
          <w:szCs w:val="24"/>
        </w:rPr>
        <w:t>949–58.</w:t>
      </w:r>
    </w:p>
    <w:p w14:paraId="4A0143FB" w14:textId="3A187F65" w:rsidR="00DF0735" w:rsidRDefault="00DF0735" w:rsidP="005D3041">
      <w:pPr>
        <w:spacing w:after="0"/>
        <w:rPr>
          <w:iCs/>
          <w:color w:val="343434"/>
          <w:kern w:val="0"/>
          <w:sz w:val="24"/>
          <w:szCs w:val="24"/>
        </w:rPr>
      </w:pPr>
      <w:r>
        <w:rPr>
          <w:iCs/>
          <w:color w:val="343434"/>
          <w:kern w:val="0"/>
          <w:sz w:val="24"/>
          <w:szCs w:val="24"/>
        </w:rPr>
        <w:t xml:space="preserve">[5] </w:t>
      </w:r>
      <w:r w:rsidRPr="00DF0735">
        <w:rPr>
          <w:iCs/>
          <w:color w:val="343434"/>
          <w:kern w:val="0"/>
          <w:sz w:val="24"/>
          <w:szCs w:val="24"/>
        </w:rPr>
        <w:t xml:space="preserve">Chen, Z., Yuan, Y., Li, Z., Kutner, M., </w:t>
      </w:r>
      <w:proofErr w:type="spellStart"/>
      <w:r w:rsidRPr="00DF0735">
        <w:rPr>
          <w:iCs/>
          <w:color w:val="343434"/>
          <w:kern w:val="0"/>
          <w:sz w:val="24"/>
          <w:szCs w:val="24"/>
        </w:rPr>
        <w:t>Owonikoko</w:t>
      </w:r>
      <w:proofErr w:type="spellEnd"/>
      <w:r w:rsidRPr="00DF0735">
        <w:rPr>
          <w:iCs/>
          <w:color w:val="343434"/>
          <w:kern w:val="0"/>
          <w:sz w:val="24"/>
          <w:szCs w:val="24"/>
        </w:rPr>
        <w:t xml:space="preserve">, T., Curran, W. J., </w:t>
      </w:r>
      <w:proofErr w:type="spellStart"/>
      <w:r w:rsidRPr="00DF0735">
        <w:rPr>
          <w:iCs/>
          <w:color w:val="343434"/>
          <w:kern w:val="0"/>
          <w:sz w:val="24"/>
          <w:szCs w:val="24"/>
        </w:rPr>
        <w:t>Khuri</w:t>
      </w:r>
      <w:proofErr w:type="spellEnd"/>
      <w:r w:rsidRPr="00DF0735">
        <w:rPr>
          <w:iCs/>
          <w:color w:val="343434"/>
          <w:kern w:val="0"/>
          <w:sz w:val="24"/>
          <w:szCs w:val="24"/>
        </w:rPr>
        <w:t xml:space="preserve">, F., &amp; Kowalski, J. (2015). Dose escalation with over-dose and under-dose controls in Phase I/II clinical trials. </w:t>
      </w:r>
      <w:r w:rsidRPr="00DF0735">
        <w:rPr>
          <w:i/>
          <w:color w:val="343434"/>
          <w:kern w:val="0"/>
          <w:sz w:val="24"/>
          <w:szCs w:val="24"/>
        </w:rPr>
        <w:t>Contemporary clinical trials</w:t>
      </w:r>
      <w:r w:rsidRPr="00DF0735">
        <w:rPr>
          <w:iCs/>
          <w:color w:val="343434"/>
          <w:kern w:val="0"/>
          <w:sz w:val="24"/>
          <w:szCs w:val="24"/>
        </w:rPr>
        <w:t xml:space="preserve">, </w:t>
      </w:r>
      <w:r w:rsidRPr="00DF0735">
        <w:rPr>
          <w:i/>
          <w:color w:val="343434"/>
          <w:kern w:val="0"/>
          <w:sz w:val="24"/>
          <w:szCs w:val="24"/>
        </w:rPr>
        <w:t>43</w:t>
      </w:r>
      <w:r w:rsidRPr="00DF0735">
        <w:rPr>
          <w:iCs/>
          <w:color w:val="343434"/>
          <w:kern w:val="0"/>
          <w:sz w:val="24"/>
          <w:szCs w:val="24"/>
        </w:rPr>
        <w:t xml:space="preserve">, 133–141. </w:t>
      </w:r>
    </w:p>
    <w:p w14:paraId="58DC1976" w14:textId="5773CA89" w:rsidR="00D902F0" w:rsidRDefault="00D902F0" w:rsidP="005D3041">
      <w:pPr>
        <w:spacing w:after="0"/>
        <w:rPr>
          <w:iCs/>
          <w:color w:val="343434"/>
          <w:kern w:val="0"/>
          <w:sz w:val="24"/>
          <w:szCs w:val="24"/>
        </w:rPr>
      </w:pPr>
      <w:r>
        <w:rPr>
          <w:iCs/>
          <w:color w:val="343434"/>
          <w:kern w:val="0"/>
          <w:sz w:val="24"/>
          <w:szCs w:val="24"/>
        </w:rPr>
        <w:t xml:space="preserve">[6] </w:t>
      </w:r>
      <w:r w:rsidRPr="00D902F0">
        <w:rPr>
          <w:iCs/>
          <w:color w:val="343434"/>
          <w:kern w:val="0"/>
          <w:sz w:val="24"/>
          <w:szCs w:val="24"/>
        </w:rPr>
        <w:t xml:space="preserve">Tao, Y., Liu, J., Li, Z., Lin, J., Lu, T., &amp; Yan, F. (2013). Dose-finding based on bivariate efficacy-toxicity outcome using Archimedean Copula. </w:t>
      </w:r>
      <w:proofErr w:type="spellStart"/>
      <w:r w:rsidRPr="00D902F0">
        <w:rPr>
          <w:i/>
          <w:color w:val="343434"/>
          <w:kern w:val="0"/>
          <w:sz w:val="24"/>
          <w:szCs w:val="24"/>
        </w:rPr>
        <w:t>PloS</w:t>
      </w:r>
      <w:proofErr w:type="spellEnd"/>
      <w:r w:rsidRPr="00D902F0">
        <w:rPr>
          <w:i/>
          <w:color w:val="343434"/>
          <w:kern w:val="0"/>
          <w:sz w:val="24"/>
          <w:szCs w:val="24"/>
        </w:rPr>
        <w:t xml:space="preserve"> One, 8</w:t>
      </w:r>
      <w:r w:rsidRPr="00D902F0">
        <w:rPr>
          <w:iCs/>
          <w:color w:val="343434"/>
          <w:kern w:val="0"/>
          <w:sz w:val="24"/>
          <w:szCs w:val="24"/>
        </w:rPr>
        <w:t>(11), e78805–e78805.</w:t>
      </w:r>
    </w:p>
    <w:p w14:paraId="42AF3D80" w14:textId="0AD03625" w:rsidR="00ED470C" w:rsidRDefault="00ED470C" w:rsidP="00ED470C">
      <w:pPr>
        <w:spacing w:after="0"/>
        <w:rPr>
          <w:iCs/>
          <w:color w:val="343434"/>
          <w:kern w:val="0"/>
          <w:sz w:val="24"/>
          <w:szCs w:val="24"/>
        </w:rPr>
      </w:pPr>
      <w:r>
        <w:rPr>
          <w:iCs/>
          <w:color w:val="343434"/>
          <w:kern w:val="0"/>
          <w:sz w:val="24"/>
          <w:szCs w:val="24"/>
        </w:rPr>
        <w:t>[</w:t>
      </w:r>
      <w:r w:rsidR="007A5D08">
        <w:rPr>
          <w:iCs/>
          <w:color w:val="343434"/>
          <w:kern w:val="0"/>
          <w:sz w:val="24"/>
          <w:szCs w:val="24"/>
        </w:rPr>
        <w:t>7</w:t>
      </w:r>
      <w:r>
        <w:rPr>
          <w:iCs/>
          <w:color w:val="343434"/>
          <w:kern w:val="0"/>
          <w:sz w:val="24"/>
          <w:szCs w:val="24"/>
        </w:rPr>
        <w:t xml:space="preserve">] </w:t>
      </w:r>
      <w:proofErr w:type="spellStart"/>
      <w:r w:rsidRPr="00ED470C">
        <w:rPr>
          <w:iCs/>
          <w:color w:val="343434"/>
          <w:kern w:val="0"/>
          <w:sz w:val="24"/>
          <w:szCs w:val="24"/>
        </w:rPr>
        <w:t>Hirakawa</w:t>
      </w:r>
      <w:proofErr w:type="spellEnd"/>
      <w:r w:rsidRPr="00ED470C">
        <w:rPr>
          <w:iCs/>
          <w:color w:val="343434"/>
          <w:kern w:val="0"/>
          <w:sz w:val="24"/>
          <w:szCs w:val="24"/>
        </w:rPr>
        <w:t xml:space="preserve">, A. (2012). An adaptive dose-finding approach for correlated bivariate binary and continuous outcomes in phase I oncology trials. </w:t>
      </w:r>
      <w:r w:rsidRPr="00ED470C">
        <w:rPr>
          <w:i/>
          <w:color w:val="343434"/>
          <w:kern w:val="0"/>
          <w:sz w:val="24"/>
          <w:szCs w:val="24"/>
        </w:rPr>
        <w:t>Statistics in Medicine, 31</w:t>
      </w:r>
      <w:r w:rsidRPr="00ED470C">
        <w:rPr>
          <w:iCs/>
          <w:color w:val="343434"/>
          <w:kern w:val="0"/>
          <w:sz w:val="24"/>
          <w:szCs w:val="24"/>
        </w:rPr>
        <w:t>(6), 516–532.</w:t>
      </w:r>
    </w:p>
    <w:p w14:paraId="55F8AE25" w14:textId="5E3AC764" w:rsidR="00300419" w:rsidRDefault="00300419" w:rsidP="00ED470C">
      <w:pPr>
        <w:spacing w:after="0"/>
        <w:rPr>
          <w:iCs/>
          <w:color w:val="343434"/>
          <w:kern w:val="0"/>
          <w:sz w:val="24"/>
          <w:szCs w:val="24"/>
        </w:rPr>
      </w:pPr>
      <w:r>
        <w:rPr>
          <w:iCs/>
          <w:color w:val="343434"/>
          <w:kern w:val="0"/>
          <w:sz w:val="24"/>
          <w:szCs w:val="24"/>
        </w:rPr>
        <w:t>[</w:t>
      </w:r>
      <w:r w:rsidR="007A5D08">
        <w:rPr>
          <w:iCs/>
          <w:color w:val="343434"/>
          <w:kern w:val="0"/>
          <w:sz w:val="24"/>
          <w:szCs w:val="24"/>
        </w:rPr>
        <w:t>8</w:t>
      </w:r>
      <w:r>
        <w:rPr>
          <w:iCs/>
          <w:color w:val="343434"/>
          <w:kern w:val="0"/>
          <w:sz w:val="24"/>
          <w:szCs w:val="24"/>
        </w:rPr>
        <w:t xml:space="preserve">] </w:t>
      </w:r>
      <w:r w:rsidRPr="00300419">
        <w:rPr>
          <w:iCs/>
          <w:color w:val="343434"/>
          <w:kern w:val="0"/>
          <w:sz w:val="24"/>
          <w:szCs w:val="24"/>
        </w:rPr>
        <w:t xml:space="preserve">Olkin, I., &amp; Tate, R. F. (1961). Multivariate Correlation Models with Mixed Discrete and Continuous Variables. </w:t>
      </w:r>
      <w:r w:rsidRPr="00300419">
        <w:rPr>
          <w:i/>
          <w:color w:val="343434"/>
          <w:kern w:val="0"/>
          <w:sz w:val="24"/>
          <w:szCs w:val="24"/>
        </w:rPr>
        <w:t>The Annals of Mathematical Statistics, 32</w:t>
      </w:r>
      <w:r w:rsidRPr="00300419">
        <w:rPr>
          <w:iCs/>
          <w:color w:val="343434"/>
          <w:kern w:val="0"/>
          <w:sz w:val="24"/>
          <w:szCs w:val="24"/>
        </w:rPr>
        <w:t>(2), 448–465.</w:t>
      </w:r>
    </w:p>
    <w:p w14:paraId="10001ED9" w14:textId="0767DE00" w:rsidR="007A5D08" w:rsidRDefault="007A5D08" w:rsidP="00ED470C">
      <w:pPr>
        <w:spacing w:after="0"/>
        <w:rPr>
          <w:iCs/>
          <w:color w:val="343434"/>
          <w:kern w:val="0"/>
          <w:sz w:val="24"/>
          <w:szCs w:val="24"/>
        </w:rPr>
      </w:pPr>
      <w:r>
        <w:rPr>
          <w:iCs/>
          <w:color w:val="343434"/>
          <w:kern w:val="0"/>
          <w:sz w:val="24"/>
          <w:szCs w:val="24"/>
        </w:rPr>
        <w:t xml:space="preserve">[9] </w:t>
      </w:r>
      <w:proofErr w:type="spellStart"/>
      <w:r w:rsidRPr="007A5D08">
        <w:rPr>
          <w:iCs/>
          <w:color w:val="343434"/>
          <w:kern w:val="0"/>
          <w:sz w:val="24"/>
          <w:szCs w:val="24"/>
        </w:rPr>
        <w:t>Rogatko</w:t>
      </w:r>
      <w:proofErr w:type="spellEnd"/>
      <w:r w:rsidRPr="007A5D08">
        <w:rPr>
          <w:iCs/>
          <w:color w:val="343434"/>
          <w:kern w:val="0"/>
          <w:sz w:val="24"/>
          <w:szCs w:val="24"/>
        </w:rPr>
        <w:t xml:space="preserve">, A., Cook-Wiens, G., </w:t>
      </w:r>
      <w:proofErr w:type="spellStart"/>
      <w:r w:rsidRPr="007A5D08">
        <w:rPr>
          <w:iCs/>
          <w:color w:val="343434"/>
          <w:kern w:val="0"/>
          <w:sz w:val="24"/>
          <w:szCs w:val="24"/>
        </w:rPr>
        <w:t>Tighiouart</w:t>
      </w:r>
      <w:proofErr w:type="spellEnd"/>
      <w:r w:rsidRPr="007A5D08">
        <w:rPr>
          <w:iCs/>
          <w:color w:val="343434"/>
          <w:kern w:val="0"/>
          <w:sz w:val="24"/>
          <w:szCs w:val="24"/>
        </w:rPr>
        <w:t xml:space="preserve">, M., &amp; Piantadosi, S. (2015). Escalation with Overdose Control is More Efficient and Safer than Accelerated Titration for Dose Finding. </w:t>
      </w:r>
      <w:r w:rsidRPr="007A5D08">
        <w:rPr>
          <w:i/>
          <w:color w:val="343434"/>
          <w:kern w:val="0"/>
          <w:sz w:val="24"/>
          <w:szCs w:val="24"/>
        </w:rPr>
        <w:t>Entropy (Basel, Switzerland), 17</w:t>
      </w:r>
      <w:r w:rsidRPr="007A5D08">
        <w:rPr>
          <w:iCs/>
          <w:color w:val="343434"/>
          <w:kern w:val="0"/>
          <w:sz w:val="24"/>
          <w:szCs w:val="24"/>
        </w:rPr>
        <w:t>(8), 5288–5303.</w:t>
      </w:r>
    </w:p>
    <w:p w14:paraId="36BC5581" w14:textId="722915D8" w:rsidR="007B6E6A" w:rsidRDefault="007B6E6A" w:rsidP="00ED470C">
      <w:pPr>
        <w:spacing w:after="0"/>
        <w:rPr>
          <w:iCs/>
          <w:color w:val="343434"/>
          <w:kern w:val="0"/>
          <w:sz w:val="24"/>
          <w:szCs w:val="24"/>
        </w:rPr>
      </w:pPr>
    </w:p>
    <w:p w14:paraId="45BAB66E" w14:textId="77777777" w:rsidR="00DF0735" w:rsidRDefault="00DF0735" w:rsidP="005D3041">
      <w:pPr>
        <w:spacing w:after="0"/>
        <w:rPr>
          <w:iCs/>
          <w:color w:val="343434"/>
          <w:kern w:val="0"/>
          <w:sz w:val="24"/>
          <w:szCs w:val="24"/>
        </w:rPr>
      </w:pPr>
    </w:p>
    <w:p w14:paraId="409E2628" w14:textId="77777777" w:rsidR="00DF0735" w:rsidRPr="00023FB7" w:rsidRDefault="00DF0735" w:rsidP="005D3041">
      <w:pPr>
        <w:spacing w:after="0"/>
        <w:rPr>
          <w:iCs/>
          <w:color w:val="343434"/>
          <w:kern w:val="0"/>
          <w:sz w:val="24"/>
          <w:szCs w:val="24"/>
        </w:rPr>
      </w:pPr>
    </w:p>
    <w:p w14:paraId="494A189F" w14:textId="3AAAE694" w:rsidR="006B798E" w:rsidRPr="006B798E" w:rsidRDefault="006B798E" w:rsidP="00BF17DD">
      <w:pPr>
        <w:spacing w:after="0"/>
        <w:ind w:firstLine="360"/>
        <w:rPr>
          <w:iCs/>
          <w:color w:val="343434"/>
          <w:kern w:val="0"/>
          <w:sz w:val="24"/>
          <w:szCs w:val="24"/>
        </w:rPr>
      </w:pPr>
    </w:p>
    <w:sectPr w:rsidR="006B798E" w:rsidRPr="006B798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B2CE" w14:textId="77777777" w:rsidR="007B443D" w:rsidRDefault="007B443D" w:rsidP="000561A5">
      <w:pPr>
        <w:spacing w:after="0" w:line="240" w:lineRule="auto"/>
      </w:pPr>
      <w:r>
        <w:separator/>
      </w:r>
    </w:p>
  </w:endnote>
  <w:endnote w:type="continuationSeparator" w:id="0">
    <w:p w14:paraId="0CBB9496" w14:textId="77777777" w:rsidR="007B443D" w:rsidRDefault="007B443D"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17F18" w14:textId="77777777" w:rsidR="007B443D" w:rsidRDefault="007B443D" w:rsidP="000561A5">
      <w:pPr>
        <w:spacing w:after="0" w:line="240" w:lineRule="auto"/>
      </w:pPr>
      <w:r>
        <w:separator/>
      </w:r>
    </w:p>
  </w:footnote>
  <w:footnote w:type="continuationSeparator" w:id="0">
    <w:p w14:paraId="623212DB" w14:textId="77777777" w:rsidR="007B443D" w:rsidRDefault="007B443D"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307C4E"/>
    <w:rsid w:val="00003850"/>
    <w:rsid w:val="00007292"/>
    <w:rsid w:val="00012E81"/>
    <w:rsid w:val="00015985"/>
    <w:rsid w:val="00020B54"/>
    <w:rsid w:val="00023FB7"/>
    <w:rsid w:val="00035C76"/>
    <w:rsid w:val="00036D07"/>
    <w:rsid w:val="000377B7"/>
    <w:rsid w:val="00044A20"/>
    <w:rsid w:val="00050C1F"/>
    <w:rsid w:val="00051A91"/>
    <w:rsid w:val="00053EA3"/>
    <w:rsid w:val="000561A5"/>
    <w:rsid w:val="00056977"/>
    <w:rsid w:val="00060F60"/>
    <w:rsid w:val="00062F3B"/>
    <w:rsid w:val="00070C82"/>
    <w:rsid w:val="00086F0E"/>
    <w:rsid w:val="00090CE3"/>
    <w:rsid w:val="00092D25"/>
    <w:rsid w:val="00094691"/>
    <w:rsid w:val="000C5AC3"/>
    <w:rsid w:val="000D54FB"/>
    <w:rsid w:val="000D57EE"/>
    <w:rsid w:val="000D70DB"/>
    <w:rsid w:val="000E1241"/>
    <w:rsid w:val="000E1B89"/>
    <w:rsid w:val="000F26A6"/>
    <w:rsid w:val="000F3059"/>
    <w:rsid w:val="000F339F"/>
    <w:rsid w:val="000F4425"/>
    <w:rsid w:val="000F5013"/>
    <w:rsid w:val="0010346B"/>
    <w:rsid w:val="00110F97"/>
    <w:rsid w:val="001110A8"/>
    <w:rsid w:val="00122FE3"/>
    <w:rsid w:val="001247E7"/>
    <w:rsid w:val="0012782C"/>
    <w:rsid w:val="00135105"/>
    <w:rsid w:val="0013599E"/>
    <w:rsid w:val="00136580"/>
    <w:rsid w:val="001438BF"/>
    <w:rsid w:val="00146765"/>
    <w:rsid w:val="001518D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88A"/>
    <w:rsid w:val="001D3A15"/>
    <w:rsid w:val="001D5E20"/>
    <w:rsid w:val="001D7D23"/>
    <w:rsid w:val="001E2559"/>
    <w:rsid w:val="001E258F"/>
    <w:rsid w:val="001F0114"/>
    <w:rsid w:val="001F14CC"/>
    <w:rsid w:val="001F28A9"/>
    <w:rsid w:val="001F51DF"/>
    <w:rsid w:val="001F6BA4"/>
    <w:rsid w:val="00200D80"/>
    <w:rsid w:val="00203E18"/>
    <w:rsid w:val="00210B75"/>
    <w:rsid w:val="002126B3"/>
    <w:rsid w:val="00213360"/>
    <w:rsid w:val="002207D7"/>
    <w:rsid w:val="00225BC1"/>
    <w:rsid w:val="002409D2"/>
    <w:rsid w:val="00245A7B"/>
    <w:rsid w:val="00247CE1"/>
    <w:rsid w:val="0025051C"/>
    <w:rsid w:val="00251779"/>
    <w:rsid w:val="00254A7F"/>
    <w:rsid w:val="00257D86"/>
    <w:rsid w:val="0027202D"/>
    <w:rsid w:val="00277237"/>
    <w:rsid w:val="00280386"/>
    <w:rsid w:val="00281A8B"/>
    <w:rsid w:val="002838CB"/>
    <w:rsid w:val="00284A18"/>
    <w:rsid w:val="00292F07"/>
    <w:rsid w:val="00296236"/>
    <w:rsid w:val="002A212A"/>
    <w:rsid w:val="002A3C7B"/>
    <w:rsid w:val="002A62A1"/>
    <w:rsid w:val="002C27D7"/>
    <w:rsid w:val="002C2B21"/>
    <w:rsid w:val="002C317B"/>
    <w:rsid w:val="002C415B"/>
    <w:rsid w:val="002C7D42"/>
    <w:rsid w:val="002D2F68"/>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63ED"/>
    <w:rsid w:val="0033188E"/>
    <w:rsid w:val="00331987"/>
    <w:rsid w:val="00334448"/>
    <w:rsid w:val="0033680D"/>
    <w:rsid w:val="00341A14"/>
    <w:rsid w:val="00341E72"/>
    <w:rsid w:val="00344014"/>
    <w:rsid w:val="003462E7"/>
    <w:rsid w:val="0035350E"/>
    <w:rsid w:val="0035360A"/>
    <w:rsid w:val="00360C41"/>
    <w:rsid w:val="00363CF2"/>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4B2F"/>
    <w:rsid w:val="00435B66"/>
    <w:rsid w:val="004368AB"/>
    <w:rsid w:val="00440A9D"/>
    <w:rsid w:val="00440F03"/>
    <w:rsid w:val="004462FC"/>
    <w:rsid w:val="00450F6A"/>
    <w:rsid w:val="00453632"/>
    <w:rsid w:val="00455157"/>
    <w:rsid w:val="0046391A"/>
    <w:rsid w:val="00472D7E"/>
    <w:rsid w:val="00490648"/>
    <w:rsid w:val="00491C35"/>
    <w:rsid w:val="00493CE7"/>
    <w:rsid w:val="00497343"/>
    <w:rsid w:val="004A1FCD"/>
    <w:rsid w:val="004B18C7"/>
    <w:rsid w:val="004B6A38"/>
    <w:rsid w:val="004C01EA"/>
    <w:rsid w:val="004D076A"/>
    <w:rsid w:val="004D0B72"/>
    <w:rsid w:val="004D3C4C"/>
    <w:rsid w:val="004D7CFE"/>
    <w:rsid w:val="004E1489"/>
    <w:rsid w:val="004E5BC2"/>
    <w:rsid w:val="004F126B"/>
    <w:rsid w:val="004F223F"/>
    <w:rsid w:val="004F350A"/>
    <w:rsid w:val="004F39B8"/>
    <w:rsid w:val="004F4502"/>
    <w:rsid w:val="004F7570"/>
    <w:rsid w:val="005028CD"/>
    <w:rsid w:val="00503DF3"/>
    <w:rsid w:val="00505662"/>
    <w:rsid w:val="00505EF2"/>
    <w:rsid w:val="005220DA"/>
    <w:rsid w:val="0052437D"/>
    <w:rsid w:val="0052461F"/>
    <w:rsid w:val="00530D35"/>
    <w:rsid w:val="005321FD"/>
    <w:rsid w:val="0053771F"/>
    <w:rsid w:val="00541C63"/>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6612"/>
    <w:rsid w:val="005B7025"/>
    <w:rsid w:val="005C02BA"/>
    <w:rsid w:val="005D0F71"/>
    <w:rsid w:val="005D0FA3"/>
    <w:rsid w:val="005D3041"/>
    <w:rsid w:val="005D503C"/>
    <w:rsid w:val="005D71D8"/>
    <w:rsid w:val="005E185D"/>
    <w:rsid w:val="005E4EC0"/>
    <w:rsid w:val="005F38D9"/>
    <w:rsid w:val="005F7497"/>
    <w:rsid w:val="006068BF"/>
    <w:rsid w:val="00611FDF"/>
    <w:rsid w:val="0061685D"/>
    <w:rsid w:val="006223BC"/>
    <w:rsid w:val="00627DDB"/>
    <w:rsid w:val="00635A67"/>
    <w:rsid w:val="00636158"/>
    <w:rsid w:val="006378A8"/>
    <w:rsid w:val="006414C5"/>
    <w:rsid w:val="00652041"/>
    <w:rsid w:val="00665360"/>
    <w:rsid w:val="006849AA"/>
    <w:rsid w:val="00686B33"/>
    <w:rsid w:val="00687058"/>
    <w:rsid w:val="006965DB"/>
    <w:rsid w:val="006A117B"/>
    <w:rsid w:val="006A4C3F"/>
    <w:rsid w:val="006A7489"/>
    <w:rsid w:val="006B26A2"/>
    <w:rsid w:val="006B679C"/>
    <w:rsid w:val="006B798E"/>
    <w:rsid w:val="006C027E"/>
    <w:rsid w:val="006C190A"/>
    <w:rsid w:val="006C296F"/>
    <w:rsid w:val="006C320C"/>
    <w:rsid w:val="006C4EC8"/>
    <w:rsid w:val="006D276D"/>
    <w:rsid w:val="006D4344"/>
    <w:rsid w:val="006D4B16"/>
    <w:rsid w:val="006D4E7C"/>
    <w:rsid w:val="006E5B8A"/>
    <w:rsid w:val="006E6154"/>
    <w:rsid w:val="006E78DA"/>
    <w:rsid w:val="006F0A3E"/>
    <w:rsid w:val="006F30CD"/>
    <w:rsid w:val="006F3E14"/>
    <w:rsid w:val="006F621A"/>
    <w:rsid w:val="00703B37"/>
    <w:rsid w:val="007073D1"/>
    <w:rsid w:val="007126BA"/>
    <w:rsid w:val="007172D0"/>
    <w:rsid w:val="00717D25"/>
    <w:rsid w:val="00725C9D"/>
    <w:rsid w:val="00733222"/>
    <w:rsid w:val="00736601"/>
    <w:rsid w:val="00737E83"/>
    <w:rsid w:val="00744E4F"/>
    <w:rsid w:val="007541BB"/>
    <w:rsid w:val="00757019"/>
    <w:rsid w:val="00761283"/>
    <w:rsid w:val="00771393"/>
    <w:rsid w:val="00773737"/>
    <w:rsid w:val="00775BE7"/>
    <w:rsid w:val="00784BF4"/>
    <w:rsid w:val="00791277"/>
    <w:rsid w:val="00792ABF"/>
    <w:rsid w:val="0079778D"/>
    <w:rsid w:val="007A27C1"/>
    <w:rsid w:val="007A2863"/>
    <w:rsid w:val="007A2A58"/>
    <w:rsid w:val="007A3287"/>
    <w:rsid w:val="007A5532"/>
    <w:rsid w:val="007A5D08"/>
    <w:rsid w:val="007B443D"/>
    <w:rsid w:val="007B4913"/>
    <w:rsid w:val="007B666A"/>
    <w:rsid w:val="007B6E6A"/>
    <w:rsid w:val="007C4B28"/>
    <w:rsid w:val="007D15C3"/>
    <w:rsid w:val="007D19F4"/>
    <w:rsid w:val="007D76D5"/>
    <w:rsid w:val="007E0670"/>
    <w:rsid w:val="007F4BA0"/>
    <w:rsid w:val="008014D8"/>
    <w:rsid w:val="00804E84"/>
    <w:rsid w:val="00812D79"/>
    <w:rsid w:val="0081337E"/>
    <w:rsid w:val="00815CE7"/>
    <w:rsid w:val="00823C7A"/>
    <w:rsid w:val="00832B93"/>
    <w:rsid w:val="00841A81"/>
    <w:rsid w:val="00845EEF"/>
    <w:rsid w:val="00852CFA"/>
    <w:rsid w:val="008555B6"/>
    <w:rsid w:val="00865457"/>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55D82"/>
    <w:rsid w:val="00961F7A"/>
    <w:rsid w:val="0097121B"/>
    <w:rsid w:val="009734D7"/>
    <w:rsid w:val="009735B9"/>
    <w:rsid w:val="00980D6F"/>
    <w:rsid w:val="009905E5"/>
    <w:rsid w:val="00990E09"/>
    <w:rsid w:val="0099302D"/>
    <w:rsid w:val="00997FA8"/>
    <w:rsid w:val="009A1659"/>
    <w:rsid w:val="009B1D42"/>
    <w:rsid w:val="009B654B"/>
    <w:rsid w:val="009C045E"/>
    <w:rsid w:val="009D32A9"/>
    <w:rsid w:val="009E7508"/>
    <w:rsid w:val="009F5A13"/>
    <w:rsid w:val="009F7793"/>
    <w:rsid w:val="00A06888"/>
    <w:rsid w:val="00A121F8"/>
    <w:rsid w:val="00A1613D"/>
    <w:rsid w:val="00A17A05"/>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73FD2"/>
    <w:rsid w:val="00A74C95"/>
    <w:rsid w:val="00A75A09"/>
    <w:rsid w:val="00A90BEE"/>
    <w:rsid w:val="00A91BD8"/>
    <w:rsid w:val="00A92013"/>
    <w:rsid w:val="00A9211F"/>
    <w:rsid w:val="00A92C51"/>
    <w:rsid w:val="00A9393C"/>
    <w:rsid w:val="00A94068"/>
    <w:rsid w:val="00AB5DCC"/>
    <w:rsid w:val="00AB779C"/>
    <w:rsid w:val="00AC2C0C"/>
    <w:rsid w:val="00AC2CDE"/>
    <w:rsid w:val="00AD3AD0"/>
    <w:rsid w:val="00AE2471"/>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50B48"/>
    <w:rsid w:val="00B55866"/>
    <w:rsid w:val="00B61A84"/>
    <w:rsid w:val="00B620B1"/>
    <w:rsid w:val="00B656A3"/>
    <w:rsid w:val="00B66380"/>
    <w:rsid w:val="00B67892"/>
    <w:rsid w:val="00B73295"/>
    <w:rsid w:val="00B7464F"/>
    <w:rsid w:val="00B74F9A"/>
    <w:rsid w:val="00B81CBC"/>
    <w:rsid w:val="00B85C0B"/>
    <w:rsid w:val="00B87642"/>
    <w:rsid w:val="00B92C85"/>
    <w:rsid w:val="00B92F42"/>
    <w:rsid w:val="00B94347"/>
    <w:rsid w:val="00BA052E"/>
    <w:rsid w:val="00BA06AF"/>
    <w:rsid w:val="00BA2C69"/>
    <w:rsid w:val="00BA2FDF"/>
    <w:rsid w:val="00BA50C6"/>
    <w:rsid w:val="00BA5DE0"/>
    <w:rsid w:val="00BB2F3F"/>
    <w:rsid w:val="00BB3C99"/>
    <w:rsid w:val="00BB4519"/>
    <w:rsid w:val="00BB73F7"/>
    <w:rsid w:val="00BC0708"/>
    <w:rsid w:val="00BC3A52"/>
    <w:rsid w:val="00BC590C"/>
    <w:rsid w:val="00BC6EB4"/>
    <w:rsid w:val="00BD4132"/>
    <w:rsid w:val="00BD5453"/>
    <w:rsid w:val="00BF0FBB"/>
    <w:rsid w:val="00BF1717"/>
    <w:rsid w:val="00BF17DD"/>
    <w:rsid w:val="00BF4625"/>
    <w:rsid w:val="00BF5B53"/>
    <w:rsid w:val="00C01735"/>
    <w:rsid w:val="00C02A47"/>
    <w:rsid w:val="00C05D3D"/>
    <w:rsid w:val="00C06D86"/>
    <w:rsid w:val="00C07C2E"/>
    <w:rsid w:val="00C1125F"/>
    <w:rsid w:val="00C143DD"/>
    <w:rsid w:val="00C15DD8"/>
    <w:rsid w:val="00C20157"/>
    <w:rsid w:val="00C24B00"/>
    <w:rsid w:val="00C26B24"/>
    <w:rsid w:val="00C35BED"/>
    <w:rsid w:val="00C369E3"/>
    <w:rsid w:val="00C37C8E"/>
    <w:rsid w:val="00C41B78"/>
    <w:rsid w:val="00C472FA"/>
    <w:rsid w:val="00C503DF"/>
    <w:rsid w:val="00C55D64"/>
    <w:rsid w:val="00C62F6C"/>
    <w:rsid w:val="00C644C4"/>
    <w:rsid w:val="00C71352"/>
    <w:rsid w:val="00C73D99"/>
    <w:rsid w:val="00C86770"/>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F0735"/>
    <w:rsid w:val="00DF45C3"/>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5909"/>
    <w:rsid w:val="00E571F0"/>
    <w:rsid w:val="00E60159"/>
    <w:rsid w:val="00E65AC8"/>
    <w:rsid w:val="00E67FB8"/>
    <w:rsid w:val="00E71C66"/>
    <w:rsid w:val="00E72FA4"/>
    <w:rsid w:val="00E7571E"/>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6640"/>
    <w:rsid w:val="00EE73D6"/>
    <w:rsid w:val="00EF5C66"/>
    <w:rsid w:val="00EF6F57"/>
    <w:rsid w:val="00F03071"/>
    <w:rsid w:val="00F046C5"/>
    <w:rsid w:val="00F07BF1"/>
    <w:rsid w:val="00F108D1"/>
    <w:rsid w:val="00F15B71"/>
    <w:rsid w:val="00F22549"/>
    <w:rsid w:val="00F316BF"/>
    <w:rsid w:val="00F35EC3"/>
    <w:rsid w:val="00F4100C"/>
    <w:rsid w:val="00F4183C"/>
    <w:rsid w:val="00F4543A"/>
    <w:rsid w:val="00F45B78"/>
    <w:rsid w:val="00F55D61"/>
    <w:rsid w:val="00F63924"/>
    <w:rsid w:val="00F670F9"/>
    <w:rsid w:val="00F70BCF"/>
    <w:rsid w:val="00F749B0"/>
    <w:rsid w:val="00F7581A"/>
    <w:rsid w:val="00F91EB8"/>
    <w:rsid w:val="00F9286A"/>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6013</Words>
  <Characters>31631</Characters>
  <Application>Microsoft Office Word</Application>
  <DocSecurity>0</DocSecurity>
  <Lines>854</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Tu, Jieqi</cp:lastModifiedBy>
  <cp:revision>4</cp:revision>
  <dcterms:created xsi:type="dcterms:W3CDTF">2021-08-16T15:50:00Z</dcterms:created>
  <dcterms:modified xsi:type="dcterms:W3CDTF">2021-08-19T05:41:00Z</dcterms:modified>
</cp:coreProperties>
</file>