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r w:rsidRPr="00307C4E">
        <w:rPr>
          <w:rFonts w:cs="Times New Roman"/>
          <w:bCs/>
          <w:sz w:val="24"/>
          <w:szCs w:val="24"/>
          <w:lang w:eastAsia="en-US"/>
        </w:rPr>
        <w:t>Jieqi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Zhengjia Chen</w:t>
      </w:r>
      <w:r w:rsidRPr="00D265FB">
        <w:rPr>
          <w:sz w:val="24"/>
          <w:szCs w:val="24"/>
          <w:vertAlign w:val="superscript"/>
        </w:rPr>
        <w:t>1</w:t>
      </w:r>
      <w:r w:rsidR="008C0F72">
        <w:rPr>
          <w:sz w:val="24"/>
          <w:szCs w:val="24"/>
          <w:vertAlign w:val="superscript"/>
        </w:rPr>
        <w:t>, 2</w:t>
      </w:r>
    </w:p>
    <w:p w14:paraId="017C8941" w14:textId="666EAE01" w:rsidR="00FC22EA" w:rsidRDefault="00E534F3"/>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proofErr w:type="gramStart"/>
      <w:r w:rsidRPr="00D720BD">
        <w:rPr>
          <w:sz w:val="24"/>
          <w:szCs w:val="24"/>
          <w:lang w:val="fr-FR"/>
        </w:rPr>
        <w:t>Email:</w:t>
      </w:r>
      <w:proofErr w:type="gramEnd"/>
      <w:r w:rsidRPr="00D720BD">
        <w:rPr>
          <w:sz w:val="24"/>
          <w:szCs w:val="24"/>
          <w:lang w:val="fr-FR"/>
        </w:rPr>
        <w:t xml:space="preserve">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35F4D274"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w:t>
      </w:r>
      <w:r w:rsidR="0043180E">
        <w:rPr>
          <w:rFonts w:eastAsia="Times New Roman"/>
          <w:color w:val="000000"/>
          <w:sz w:val="24"/>
          <w:szCs w:val="24"/>
        </w:rPr>
        <w:t>and his colleagues</w:t>
      </w:r>
      <w:r w:rsidR="005E4EC0">
        <w:rPr>
          <w:rFonts w:eastAsia="Times New Roman"/>
          <w:color w:val="000000"/>
          <w:sz w:val="24"/>
          <w:szCs w:val="24"/>
        </w:rPr>
        <w:t xml:space="preserve"> </w:t>
      </w:r>
      <w:r w:rsidR="0043180E">
        <w:rPr>
          <w:rFonts w:eastAsia="Times New Roman"/>
          <w:color w:val="000000"/>
          <w:sz w:val="24"/>
          <w:szCs w:val="24"/>
        </w:rPr>
        <w:t>in 2015</w:t>
      </w:r>
      <w:r w:rsidR="005E4EC0">
        <w:rPr>
          <w:rFonts w:eastAsia="Times New Roman"/>
          <w:color w:val="000000"/>
          <w:sz w:val="24"/>
          <w:szCs w:val="24"/>
        </w:rPr>
        <w:t xml:space="preserve">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based on these two methods to combine their advantages</w:t>
      </w:r>
      <w:r w:rsidR="0043180E">
        <w:rPr>
          <w:rFonts w:eastAsia="Times New Roman"/>
          <w:color w:val="000000"/>
          <w:sz w:val="24"/>
          <w:szCs w:val="24"/>
        </w:rPr>
        <w:t xml:space="preserve"> </w: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 </w:instrText>
      </w:r>
      <w:r w:rsidR="0043180E">
        <w:rPr>
          <w:rFonts w:eastAsia="Times New Roman"/>
          <w:color w:val="00000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43180E">
        <w:rPr>
          <w:rFonts w:eastAsia="Times New Roman"/>
          <w:color w:val="000000"/>
          <w:sz w:val="24"/>
          <w:szCs w:val="24"/>
        </w:rPr>
        <w:instrText xml:space="preserve"> ADDIN EN.CITE.DATA </w:instrText>
      </w:r>
      <w:r w:rsidR="0043180E">
        <w:rPr>
          <w:rFonts w:eastAsia="Times New Roman"/>
          <w:color w:val="000000"/>
          <w:sz w:val="24"/>
          <w:szCs w:val="24"/>
        </w:rPr>
      </w:r>
      <w:r w:rsidR="0043180E">
        <w:rPr>
          <w:rFonts w:eastAsia="Times New Roman"/>
          <w:color w:val="000000"/>
          <w:sz w:val="24"/>
          <w:szCs w:val="24"/>
        </w:rPr>
        <w:fldChar w:fldCharType="end"/>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1" w:tooltip="Chen, 2015 #3" w:history="1">
        <w:r w:rsidR="001D149F">
          <w:rPr>
            <w:rFonts w:eastAsia="Times New Roman"/>
            <w:noProof/>
            <w:color w:val="000000"/>
            <w:sz w:val="24"/>
            <w:szCs w:val="24"/>
          </w:rPr>
          <w:t>1</w:t>
        </w:r>
      </w:hyperlink>
      <w:r w:rsidR="0043180E">
        <w:rPr>
          <w:rFonts w:eastAsia="Times New Roman"/>
          <w:noProof/>
          <w:color w:val="000000"/>
          <w:sz w:val="24"/>
          <w:szCs w:val="24"/>
        </w:rPr>
        <w:t>]</w:t>
      </w:r>
      <w:r w:rsidR="0043180E">
        <w:rPr>
          <w:rFonts w:eastAsia="Times New Roman"/>
          <w:color w:val="000000"/>
          <w:sz w:val="24"/>
          <w:szCs w:val="24"/>
        </w:rPr>
        <w:fldChar w:fldCharType="end"/>
      </w:r>
      <w:r w:rsidR="00EC666C">
        <w:rPr>
          <w:rFonts w:eastAsia="Times New Roman"/>
          <w:color w:val="000000"/>
          <w:sz w:val="24"/>
          <w:szCs w:val="24"/>
        </w:rPr>
        <w:t xml:space="preserve">.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3B685BB3"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w:t>
      </w:r>
      <w:proofErr w:type="spellStart"/>
      <w:r w:rsidR="00003850" w:rsidRPr="002E516D">
        <w:rPr>
          <w:rFonts w:eastAsia="Times New Roman"/>
          <w:color w:val="000000"/>
          <w:sz w:val="24"/>
          <w:szCs w:val="24"/>
        </w:rPr>
        <w:t>Rogatko</w:t>
      </w:r>
      <w:proofErr w:type="spellEnd"/>
      <w:r w:rsidR="00003850" w:rsidRPr="002E516D">
        <w:rPr>
          <w:rFonts w:eastAsia="Times New Roman"/>
          <w:color w:val="000000"/>
          <w:sz w:val="24"/>
          <w:szCs w:val="24"/>
        </w:rPr>
        <w:t xml:space="preserve">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9B1FF5">
        <w:rPr>
          <w:rFonts w:eastAsia="Times New Roman"/>
          <w:color w:val="000000"/>
          <w:sz w:val="24"/>
          <w:szCs w:val="24"/>
        </w:rPr>
        <w:t xml:space="preserve"> </w:t>
      </w:r>
      <w:r w:rsidR="009B1FF5">
        <w:rPr>
          <w:rFonts w:eastAsia="Times New Roman"/>
          <w:color w:val="000000"/>
          <w:sz w:val="24"/>
          <w:szCs w:val="24"/>
        </w:rPr>
        <w:fldChar w:fldCharType="begin"/>
      </w:r>
      <w:r w:rsidR="0043180E">
        <w:rPr>
          <w:rFonts w:eastAsia="Times New Roman"/>
          <w:color w:val="000000"/>
          <w:sz w:val="24"/>
          <w:szCs w:val="24"/>
        </w:rPr>
        <w:instrText xml:space="preserve"> ADDIN EN.CITE &lt;EndNote&gt;&lt;Cite&gt;&lt;Author&gt;Babb&lt;/Author&gt;&lt;Year&gt;1998&lt;/Year&gt;&lt;RecNum&gt;1&lt;/RecNum&gt;&lt;DisplayText&gt;[2]&lt;/DisplayText&gt;&lt;record&gt;&lt;rec-number&gt;1&lt;/rec-number&gt;&lt;foreign-keys&gt;&lt;key app="EN" db-id="9xewf2v90rdx2jefpsupd25g2atv55dersaf" timestamp="1629137484"&gt;1&lt;/key&gt;&lt;/foreign-keys&gt;&lt;ref-type name="Journal Article"&gt;17&lt;/ref-type&gt;&lt;contributors&gt;&lt;authors&gt;&lt;author&gt;Babb, J.&lt;/author&gt;&lt;author&gt;Rogatko, A.&lt;/author&gt;&lt;author&gt;Zacks, S.&lt;/author&gt;&lt;/authors&gt;&lt;/contributors&gt;&lt;auth-address&gt;Fox Chase Cancer Center, Department of Biostatistics, Cheltenham, PA 19012, USA. babb@canape.fccc.edu&lt;/auth-address&gt;&lt;titles&gt;&lt;title&gt;Cancer phase I clinical trials: efficient dose escalation with overdose control&lt;/title&gt;&lt;secondary-title&gt;Stat Med&lt;/secondary-title&gt;&lt;/titles&gt;&lt;periodical&gt;&lt;full-title&gt;Stat Med&lt;/full-title&gt;&lt;/periodical&gt;&lt;pages&gt;1103-20&lt;/pages&gt;&lt;volume&gt;17&lt;/volume&gt;&lt;number&gt;10&lt;/number&gt;&lt;edition&gt;1998/06/10&lt;/edition&gt;&lt;keywords&gt;&lt;keyword&gt;Antineoplastic Agents/*administration &amp;amp; dosage/adverse effects&lt;/keyword&gt;&lt;keyword&gt;Bayes Theorem&lt;/keyword&gt;&lt;keyword&gt;Clinical Trials, Phase I as Topic/*statistics &amp;amp; numerical data&lt;/keyword&gt;&lt;keyword&gt;Dose-Response Relationship, Drug&lt;/keyword&gt;&lt;keyword&gt;Drug Administration Schedule&lt;/keyword&gt;&lt;keyword&gt;Drug Overdose/prevention &amp;amp; control&lt;/keyword&gt;&lt;keyword&gt;Humans&lt;/keyword&gt;&lt;keyword&gt;Models, Statistical&lt;/keyword&gt;&lt;keyword&gt;Neoplasms/*drug therapy&lt;/keyword&gt;&lt;keyword&gt;Probability&lt;/keyword&gt;&lt;keyword&gt;Stochastic Processes&lt;/keyword&gt;&lt;/keywords&gt;&lt;dates&gt;&lt;year&gt;1998&lt;/year&gt;&lt;pub-dates&gt;&lt;date&gt;May 30&lt;/date&gt;&lt;/pub-dates&gt;&lt;/dates&gt;&lt;isbn&gt;0277-6715 (Print)&amp;#xD;0277-6715 (Linking)&lt;/isbn&gt;&lt;accession-num&gt;9618772&lt;/accession-num&gt;&lt;urls&gt;&lt;related-urls&gt;&lt;url&gt;https://www.ncbi.nlm.nih.gov/pubmed/9618772&lt;/url&gt;&lt;/related-urls&gt;&lt;/urls&gt;&lt;electronic-resource-num&gt;10.1002/(sici)1097-0258(19980530)17:10&amp;lt;1103::aid-sim793&amp;gt;3.0.co;2-9&lt;/electronic-resource-num&gt;&lt;/record&gt;&lt;/Cite&gt;&lt;/EndNote&gt;</w:instrText>
      </w:r>
      <w:r w:rsidR="009B1FF5">
        <w:rPr>
          <w:rFonts w:eastAsia="Times New Roman"/>
          <w:color w:val="000000"/>
          <w:sz w:val="24"/>
          <w:szCs w:val="24"/>
        </w:rPr>
        <w:fldChar w:fldCharType="separate"/>
      </w:r>
      <w:r w:rsidR="0043180E">
        <w:rPr>
          <w:rFonts w:eastAsia="Times New Roman"/>
          <w:noProof/>
          <w:color w:val="000000"/>
          <w:sz w:val="24"/>
          <w:szCs w:val="24"/>
        </w:rPr>
        <w:t>[</w:t>
      </w:r>
      <w:hyperlink w:anchor="_ENREF_2" w:tooltip="Babb, 1998 #1" w:history="1">
        <w:r w:rsidR="001D149F">
          <w:rPr>
            <w:rFonts w:eastAsia="Times New Roman"/>
            <w:noProof/>
            <w:color w:val="000000"/>
            <w:sz w:val="24"/>
            <w:szCs w:val="24"/>
          </w:rPr>
          <w:t>2</w:t>
        </w:r>
      </w:hyperlink>
      <w:r w:rsidR="0043180E">
        <w:rPr>
          <w:rFonts w:eastAsia="Times New Roman"/>
          <w:noProof/>
          <w:color w:val="000000"/>
          <w:sz w:val="24"/>
          <w:szCs w:val="24"/>
        </w:rPr>
        <w:t>]</w:t>
      </w:r>
      <w:r w:rsidR="009B1FF5">
        <w:rPr>
          <w:rFonts w:eastAsia="Times New Roman"/>
          <w:color w:val="000000"/>
          <w:sz w:val="24"/>
          <w:szCs w:val="24"/>
        </w:rPr>
        <w:fldChar w:fldCharType="end"/>
      </w:r>
      <w:r w:rsidR="009B1FF5">
        <w:rPr>
          <w:rFonts w:eastAsia="Times New Roman"/>
          <w:color w:val="000000"/>
          <w:sz w:val="24"/>
          <w:szCs w:val="24"/>
        </w:rPr>
        <w:t>,</w:t>
      </w:r>
      <w:r w:rsidR="00003850">
        <w:rPr>
          <w:rFonts w:eastAsia="Times New Roman"/>
          <w:color w:val="000000"/>
          <w:sz w:val="24"/>
          <w:szCs w:val="24"/>
        </w:rPr>
        <w:t xml:space="preserve"> </w:t>
      </w:r>
      <w:r w:rsidR="00D23B7F">
        <w:rPr>
          <w:rFonts w:eastAsia="Times New Roman"/>
          <w:color w:val="000000"/>
          <w:sz w:val="24"/>
          <w:szCs w:val="24"/>
        </w:rPr>
        <w:t>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 xml:space="preserve">For example, most cancer Phase I trials treat DLT as a binary indicator of toxicity. DLT is defined as grade 3 or 4 non-hematologic and grade 4 hematologic toxicity, according to the National Cancer Institute (NCI) common </w:t>
      </w:r>
      <w:proofErr w:type="spellStart"/>
      <w:r w:rsidR="00B1278B">
        <w:rPr>
          <w:rFonts w:eastAsia="Times New Roman"/>
          <w:color w:val="000000"/>
          <w:sz w:val="24"/>
          <w:szCs w:val="24"/>
        </w:rPr>
        <w:t>t</w:t>
      </w:r>
      <w:r w:rsidR="00BD5453">
        <w:rPr>
          <w:rFonts w:eastAsia="Times New Roman"/>
          <w:color w:val="000000"/>
          <w:sz w:val="24"/>
          <w:szCs w:val="24"/>
        </w:rPr>
        <w:t>ermilogy</w:t>
      </w:r>
      <w:proofErr w:type="spellEnd"/>
      <w:r w:rsidR="00B1278B">
        <w:rPr>
          <w:rFonts w:eastAsia="Times New Roman"/>
          <w:color w:val="000000"/>
          <w:sz w:val="24"/>
          <w:szCs w:val="24"/>
        </w:rPr>
        <w:t xml:space="preserve"> criteria </w:t>
      </w:r>
      <w:r w:rsidR="005E185D">
        <w:rPr>
          <w:rFonts w:eastAsia="Times New Roman"/>
          <w:color w:val="000000"/>
          <w:sz w:val="24"/>
          <w:szCs w:val="24"/>
        </w:rPr>
        <w:t>for adverse events</w:t>
      </w:r>
      <w:r w:rsidR="0043180E">
        <w:rPr>
          <w:rFonts w:eastAsia="Times New Roman"/>
          <w:color w:val="000000"/>
          <w:sz w:val="24"/>
          <w:szCs w:val="24"/>
        </w:rPr>
        <w:t xml:space="preserve"> </w:t>
      </w:r>
      <w:r w:rsidR="0043180E">
        <w:rPr>
          <w:rFonts w:eastAsia="Times New Roman"/>
          <w:color w:val="000000"/>
          <w:sz w:val="24"/>
          <w:szCs w:val="24"/>
        </w:rPr>
        <w:fldChar w:fldCharType="begin"/>
      </w:r>
      <w:r w:rsidR="00337C00">
        <w:rPr>
          <w:rFonts w:eastAsia="Times New Roman"/>
          <w:color w:val="000000"/>
          <w:sz w:val="24"/>
          <w:szCs w:val="24"/>
        </w:rPr>
        <w:instrText xml:space="preserve"> ADDIN EN.CITE &lt;EndNote&gt;&lt;Cite&gt;&lt;Year&gt;2021&lt;/Year&gt;&lt;RecNum&gt;2&lt;/RecNum&gt;&lt;DisplayText&gt;[3]&lt;/DisplayText&gt;&lt;record&gt;&lt;rec-number&gt;2&lt;/rec-number&gt;&lt;foreign-keys&gt;&lt;key app="EN" db-id="9xewf2v90rdx2jefpsupd25g2atv55dersaf" timestamp="1629144407"&gt;2&lt;/key&gt;&lt;/foreign-keys&gt;&lt;ref-type name="Web Page"&gt;12&lt;/ref-type&gt;&lt;contributors&gt;&lt;/contributors&gt;&lt;titles&gt;&lt;title&gt;Common Toxicity Criteria for Adverse Events v5.0&lt;/title&gt;&lt;short-title&gt;CTCAE&lt;/short-title&gt;&lt;/titles&gt;&lt;volume&gt;2021&lt;/volume&gt;&lt;dates&gt;&lt;year&gt;2021&lt;/year&gt;&lt;/dates&gt;&lt;pub-location&gt;National Cancer Institute&lt;/pub-location&gt;&lt;urls&gt;&lt;related-urls&gt;&lt;url&gt;https://ctep.cancer.gov/protocoldevelopment/electronic_applications/ctc.htm#ctc_50&lt;/url&gt;&lt;/related-urls&gt;&lt;/urls&gt;&lt;/record&gt;&lt;/Cite&gt;&lt;/EndNote&gt;</w:instrText>
      </w:r>
      <w:r w:rsidR="0043180E">
        <w:rPr>
          <w:rFonts w:eastAsia="Times New Roman"/>
          <w:color w:val="000000"/>
          <w:sz w:val="24"/>
          <w:szCs w:val="24"/>
        </w:rPr>
        <w:fldChar w:fldCharType="separate"/>
      </w:r>
      <w:r w:rsidR="0043180E">
        <w:rPr>
          <w:rFonts w:eastAsia="Times New Roman"/>
          <w:noProof/>
          <w:color w:val="000000"/>
          <w:sz w:val="24"/>
          <w:szCs w:val="24"/>
        </w:rPr>
        <w:t>[</w:t>
      </w:r>
      <w:hyperlink w:anchor="_ENREF_3" w:tooltip=", 2021 #2" w:history="1">
        <w:r w:rsidR="001D149F">
          <w:rPr>
            <w:rFonts w:eastAsia="Times New Roman"/>
            <w:noProof/>
            <w:color w:val="000000"/>
            <w:sz w:val="24"/>
            <w:szCs w:val="24"/>
          </w:rPr>
          <w:t>3</w:t>
        </w:r>
      </w:hyperlink>
      <w:r w:rsidR="0043180E">
        <w:rPr>
          <w:rFonts w:eastAsia="Times New Roman"/>
          <w:noProof/>
          <w:color w:val="000000"/>
          <w:sz w:val="24"/>
          <w:szCs w:val="24"/>
        </w:rPr>
        <w:t>]</w:t>
      </w:r>
      <w:r w:rsidR="0043180E">
        <w:rPr>
          <w:rFonts w:eastAsia="Times New Roman"/>
          <w:color w:val="000000"/>
          <w:sz w:val="24"/>
          <w:szCs w:val="24"/>
        </w:rPr>
        <w:fldChar w:fldCharType="end"/>
      </w:r>
      <w:r w:rsidR="00B1278B">
        <w:rPr>
          <w:rFonts w:eastAsia="Times New Roman"/>
          <w:color w:val="000000"/>
          <w:sz w:val="24"/>
          <w:szCs w:val="24"/>
        </w:rPr>
        <w:t xml:space="preserve">.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w:t>
      </w:r>
      <w:proofErr w:type="spellStart"/>
      <w:r w:rsidR="005D3041">
        <w:rPr>
          <w:rFonts w:eastAsia="Times New Roman"/>
          <w:color w:val="000000"/>
          <w:sz w:val="24"/>
          <w:szCs w:val="24"/>
        </w:rPr>
        <w:t>Krailo</w:t>
      </w:r>
      <w:proofErr w:type="spellEnd"/>
      <w:r w:rsidR="005D3041">
        <w:rPr>
          <w:rFonts w:eastAsia="Times New Roman"/>
          <w:color w:val="000000"/>
          <w:sz w:val="24"/>
          <w:szCs w:val="24"/>
        </w:rPr>
        <w:t xml:space="preserve">, </w:t>
      </w:r>
      <w:proofErr w:type="spellStart"/>
      <w:r w:rsidR="005D3041">
        <w:rPr>
          <w:rFonts w:eastAsia="Times New Roman"/>
          <w:color w:val="000000"/>
          <w:sz w:val="24"/>
          <w:szCs w:val="24"/>
        </w:rPr>
        <w:t>Azen</w:t>
      </w:r>
      <w:proofErr w:type="spellEnd"/>
      <w:r w:rsidR="005D3041">
        <w:rPr>
          <w:rFonts w:eastAsia="Times New Roman"/>
          <w:color w:val="000000"/>
          <w:sz w:val="24"/>
          <w:szCs w:val="24"/>
        </w:rPr>
        <w:t xml:space="preserve">, and </w:t>
      </w:r>
      <w:proofErr w:type="spellStart"/>
      <w:r w:rsidR="00A52DEA">
        <w:rPr>
          <w:rFonts w:eastAsia="Times New Roman"/>
          <w:color w:val="000000"/>
          <w:sz w:val="24"/>
          <w:szCs w:val="24"/>
        </w:rPr>
        <w:t>Tighiouart</w:t>
      </w:r>
      <w:proofErr w:type="spellEnd"/>
      <w:r w:rsidR="00A52DEA">
        <w:rPr>
          <w:rFonts w:eastAsia="Times New Roman"/>
          <w:color w:val="000000"/>
          <w:sz w:val="24"/>
          <w:szCs w:val="24"/>
        </w:rPr>
        <w:t xml:space="preserve">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B47538">
        <w:rPr>
          <w:rFonts w:eastAsia="Times New Roman"/>
          <w:color w:val="000000"/>
          <w:sz w:val="24"/>
          <w:szCs w:val="24"/>
        </w:rPr>
        <w:t xml:space="preserve">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4" w:tooltip="Chen, 2010 #4" w:history="1">
        <w:r w:rsidR="001D149F">
          <w:rPr>
            <w:rFonts w:eastAsia="Times New Roman"/>
            <w:noProof/>
            <w:color w:val="000000"/>
            <w:sz w:val="24"/>
            <w:szCs w:val="24"/>
          </w:rPr>
          <w:t>4</w:t>
        </w:r>
      </w:hyperlink>
      <w:r w:rsidR="00B47538">
        <w:rPr>
          <w:rFonts w:eastAsia="Times New Roman"/>
          <w:noProof/>
          <w:color w:val="000000"/>
          <w:sz w:val="24"/>
          <w:szCs w:val="24"/>
        </w:rPr>
        <w:t>]</w:t>
      </w:r>
      <w:r w:rsidR="00B47538">
        <w:rPr>
          <w:rFonts w:eastAsia="Times New Roman"/>
          <w:color w:val="000000"/>
          <w:sz w:val="24"/>
          <w:szCs w:val="24"/>
        </w:rPr>
        <w:fldChar w:fldCharType="end"/>
      </w:r>
      <w:r w:rsidR="005D3041">
        <w:rPr>
          <w:rFonts w:eastAsia="Times New Roman"/>
          <w:color w:val="000000"/>
          <w:sz w:val="24"/>
          <w:szCs w:val="24"/>
        </w:rPr>
        <w:t>. After that, Chen</w:t>
      </w:r>
      <w:r w:rsidR="008E68AA">
        <w:rPr>
          <w:rFonts w:eastAsia="Times New Roman"/>
          <w:color w:val="000000"/>
          <w:sz w:val="24"/>
          <w:szCs w:val="24"/>
        </w:rPr>
        <w:t xml:space="preserve">, </w:t>
      </w:r>
      <w:proofErr w:type="spellStart"/>
      <w:r w:rsidR="008E68AA">
        <w:rPr>
          <w:rFonts w:eastAsia="Times New Roman"/>
          <w:color w:val="000000"/>
          <w:sz w:val="24"/>
          <w:szCs w:val="24"/>
        </w:rPr>
        <w:t>Tiguiouart</w:t>
      </w:r>
      <w:proofErr w:type="spellEnd"/>
      <w:r w:rsidR="008E68AA">
        <w:rPr>
          <w:rFonts w:eastAsia="Times New Roman"/>
          <w:color w:val="000000"/>
          <w:sz w:val="24"/>
          <w:szCs w:val="24"/>
        </w:rPr>
        <w:t xml:space="preserve">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 xml:space="preserve">and the trial efficiency </w:t>
      </w:r>
      <w:r w:rsidR="00B47538">
        <w:rPr>
          <w:rFonts w:eastAsia="Times New Roman"/>
          <w:color w:val="000000"/>
          <w:sz w:val="24"/>
          <w:szCs w:val="24"/>
        </w:rPr>
        <w:fldChar w:fldCharType="begin"/>
      </w:r>
      <w:r w:rsidR="00B47538">
        <w:rPr>
          <w:rFonts w:eastAsia="Times New Roman"/>
          <w:color w:val="000000"/>
          <w:sz w:val="24"/>
          <w:szCs w:val="24"/>
        </w:rPr>
        <w:instrText xml:space="preserve"> ADDIN EN.CITE &lt;EndNote&gt;&lt;Cite&gt;&lt;Author&gt;Chen&lt;/Author&gt;&lt;Year&gt;2012&lt;/Year&gt;&lt;RecNum&gt;5&lt;/RecNum&gt;&lt;DisplayText&gt;[5]&lt;/DisplayText&gt;&lt;record&gt;&lt;rec-number&gt;5&lt;/rec-number&gt;&lt;foreign-keys&gt;&lt;key app="EN" db-id="9xewf2v90rdx2jefpsupd25g2atv55dersaf" timestamp="1629231257"&gt;5&lt;/key&gt;&lt;/foreign-keys&gt;&lt;ref-type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B47538">
        <w:rPr>
          <w:rFonts w:eastAsia="Times New Roman"/>
          <w:color w:val="000000"/>
          <w:sz w:val="24"/>
          <w:szCs w:val="24"/>
        </w:rPr>
        <w:fldChar w:fldCharType="separate"/>
      </w:r>
      <w:r w:rsidR="00B47538">
        <w:rPr>
          <w:rFonts w:eastAsia="Times New Roman"/>
          <w:noProof/>
          <w:color w:val="000000"/>
          <w:sz w:val="24"/>
          <w:szCs w:val="24"/>
        </w:rPr>
        <w:t>[</w:t>
      </w:r>
      <w:hyperlink w:anchor="_ENREF_5" w:tooltip="Chen, 2012 #5" w:history="1">
        <w:r w:rsidR="001D149F">
          <w:rPr>
            <w:rFonts w:eastAsia="Times New Roman"/>
            <w:noProof/>
            <w:color w:val="000000"/>
            <w:sz w:val="24"/>
            <w:szCs w:val="24"/>
          </w:rPr>
          <w:t>5</w:t>
        </w:r>
      </w:hyperlink>
      <w:r w:rsidR="00B47538">
        <w:rPr>
          <w:rFonts w:eastAsia="Times New Roman"/>
          <w:noProof/>
          <w:color w:val="000000"/>
          <w:sz w:val="24"/>
          <w:szCs w:val="24"/>
        </w:rPr>
        <w:t>]</w:t>
      </w:r>
      <w:r w:rsidR="00B47538">
        <w:rPr>
          <w:rFonts w:eastAsia="Times New Roman"/>
          <w:color w:val="000000"/>
          <w:sz w:val="24"/>
          <w:szCs w:val="24"/>
        </w:rPr>
        <w:fldChar w:fldCharType="end"/>
      </w:r>
      <w:r w:rsidR="00A52DEA">
        <w:rPr>
          <w:rFonts w:eastAsia="Times New Roman"/>
          <w:color w:val="000000"/>
          <w:sz w:val="24"/>
          <w:szCs w:val="24"/>
        </w:rPr>
        <w:t xml:space="preserve">. </w:t>
      </w:r>
      <w:r w:rsidR="008E68AA">
        <w:rPr>
          <w:rFonts w:eastAsia="Times New Roman"/>
          <w:color w:val="000000"/>
          <w:sz w:val="24"/>
          <w:szCs w:val="24"/>
        </w:rPr>
        <w:t xml:space="preserve">Nevertheless, the EWOC design and the </w:t>
      </w:r>
      <w:proofErr w:type="gramStart"/>
      <w:r w:rsidR="008E68AA">
        <w:rPr>
          <w:rFonts w:eastAsia="Times New Roman"/>
          <w:color w:val="000000"/>
          <w:sz w:val="24"/>
          <w:szCs w:val="24"/>
        </w:rPr>
        <w:t>aforementioned</w:t>
      </w:r>
      <w:r w:rsidR="004F7570">
        <w:rPr>
          <w:rFonts w:eastAsia="Times New Roman"/>
          <w:color w:val="000000"/>
          <w:sz w:val="24"/>
          <w:szCs w:val="24"/>
        </w:rPr>
        <w:t xml:space="preserve"> </w:t>
      </w:r>
      <w:r w:rsidR="008E68AA">
        <w:rPr>
          <w:rFonts w:eastAsia="Times New Roman"/>
          <w:color w:val="000000"/>
          <w:sz w:val="24"/>
          <w:szCs w:val="24"/>
        </w:rPr>
        <w:t>extensions</w:t>
      </w:r>
      <w:proofErr w:type="gramEnd"/>
      <w:r w:rsidR="008E68AA">
        <w:rPr>
          <w:rFonts w:eastAsia="Times New Roman"/>
          <w:color w:val="000000"/>
          <w:sz w:val="24"/>
          <w:szCs w:val="24"/>
        </w:rPr>
        <w:t xml:space="preserve">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w:t>
      </w:r>
    </w:p>
    <w:p w14:paraId="5457E050" w14:textId="028910BA"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 xml:space="preserve">In some studies, the efficacy endpoint to evaluate antitumor activity </w:t>
      </w:r>
      <w:proofErr w:type="gramStart"/>
      <w:r w:rsidR="002F2A94">
        <w:rPr>
          <w:rFonts w:eastAsia="Times New Roman"/>
          <w:color w:val="000000"/>
          <w:sz w:val="24"/>
          <w:szCs w:val="24"/>
        </w:rPr>
        <w:t>is considered to be</w:t>
      </w:r>
      <w:proofErr w:type="gramEnd"/>
      <w:r w:rsidR="002F2A94">
        <w:rPr>
          <w:rFonts w:eastAsia="Times New Roman"/>
          <w:color w:val="000000"/>
          <w:sz w:val="24"/>
          <w:szCs w:val="24"/>
        </w:rPr>
        <w:t xml:space="preserv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w:t>
      </w:r>
      <w:r w:rsidR="007245BB">
        <w:rPr>
          <w:sz w:val="24"/>
          <w:szCs w:val="24"/>
        </w:rPr>
        <w:fldChar w:fldCharType="begin"/>
      </w:r>
      <w:r w:rsidR="007245BB">
        <w:rPr>
          <w:sz w:val="24"/>
          <w:szCs w:val="24"/>
        </w:rPr>
        <w:instrText xml:space="preserve"> ADDIN EN.CITE &lt;EndNote&gt;&lt;Cite&gt;&lt;Author&gt;Tao&lt;/Author&gt;&lt;Year&gt;2013&lt;/Year&gt;&lt;RecNum&gt;7&lt;/RecNum&gt;&lt;DisplayText&gt;[6]&lt;/DisplayText&gt;&lt;record&gt;&lt;rec-number&gt;7&lt;/rec-number&gt;&lt;foreign-keys&gt;&lt;key app="EN" db-id="9xewf2v90rdx2jefpsupd25g2atv55dersaf" timestamp="1629415504"&gt;7&lt;/key&gt;&lt;/foreign-keys&gt;&lt;ref-type name="Journal Article"&gt;17&lt;/ref-type&gt;&lt;contributors&gt;&lt;authors&gt;&lt;author&gt;Tao, Y.&lt;/author&gt;&lt;author&gt;Liu, J.&lt;/author&gt;&lt;author&gt;Li, Z.&lt;/author&gt;&lt;author&gt;Lin, J.&lt;/author&gt;&lt;author&gt;Lu, T.&lt;/author&gt;&lt;author&gt;Yan, F.&lt;/author&gt;&lt;/authors&gt;&lt;/contributors&gt;&lt;auth-address&gt;State Key Laboratory of Natural Medicines, China Pharmaceutical University, Nanjing, China ; Research Center of Biostatistics and Computational Pharmacy, China Pharmaceutical University, Nanjing, China ; Department of Mathematics, China Pharmaceutical University, Nanjing, China.&lt;/auth-address&gt;&lt;titles&gt;&lt;title&gt;Dose-finding based on bivariate efficacy-toxicity outcome using Archimedean Copula&lt;/title&gt;&lt;secondary-title&gt;PLoS One&lt;/secondary-title&gt;&lt;/titles&gt;&lt;periodical&gt;&lt;full-title&gt;PLoS One&lt;/full-title&gt;&lt;/periodical&gt;&lt;pages&gt;e78805&lt;/pages&gt;&lt;volume&gt;8&lt;/volume&gt;&lt;number&gt;11&lt;/number&gt;&lt;edition&gt;2013/11/23&lt;/edition&gt;&lt;keywords&gt;&lt;keyword&gt;Analysis of Variance&lt;/keyword&gt;&lt;keyword&gt;Angiotensin-Converting Enzyme Inhibitors/pharmacology/toxicity&lt;/keyword&gt;&lt;keyword&gt;Dose-Response Relationship, Drug&lt;/keyword&gt;&lt;keyword&gt;*Models, Statistical&lt;/keyword&gt;&lt;keyword&gt;*Pharmacological Phenomena&lt;/keyword&gt;&lt;keyword&gt;*Toxicity Tests&lt;/keyword&gt;&lt;/keywords&gt;&lt;dates&gt;&lt;year&gt;2013&lt;/year&gt;&lt;/dates&gt;&lt;isbn&gt;1932-6203 (Electronic)&amp;#xD;1932-6203 (Linking)&lt;/isbn&gt;&lt;accession-num&gt;24265719&lt;/accession-num&gt;&lt;urls&gt;&lt;related-urls&gt;&lt;url&gt;https://www.ncbi.nlm.nih.gov/pubmed/24265719&lt;/url&gt;&lt;/related-urls&gt;&lt;/urls&gt;&lt;custom2&gt;PMC3827126&lt;/custom2&gt;&lt;electronic-resource-num&gt;10.1371/journal.pone.0078805&lt;/electronic-resource-num&gt;&lt;/record&gt;&lt;/Cite&gt;&lt;/EndNote&gt;</w:instrText>
      </w:r>
      <w:r w:rsidR="007245BB">
        <w:rPr>
          <w:sz w:val="24"/>
          <w:szCs w:val="24"/>
        </w:rPr>
        <w:fldChar w:fldCharType="separate"/>
      </w:r>
      <w:r w:rsidR="007245BB">
        <w:rPr>
          <w:noProof/>
          <w:sz w:val="24"/>
          <w:szCs w:val="24"/>
        </w:rPr>
        <w:t>[</w:t>
      </w:r>
      <w:hyperlink w:anchor="_ENREF_6" w:tooltip="Tao, 2013 #7" w:history="1">
        <w:r w:rsidR="001D149F">
          <w:rPr>
            <w:noProof/>
            <w:sz w:val="24"/>
            <w:szCs w:val="24"/>
          </w:rPr>
          <w:t>6</w:t>
        </w:r>
      </w:hyperlink>
      <w:r w:rsidR="007245BB">
        <w:rPr>
          <w:noProof/>
          <w:sz w:val="24"/>
          <w:szCs w:val="24"/>
        </w:rPr>
        <w:t>]</w:t>
      </w:r>
      <w:r w:rsidR="007245BB">
        <w:rPr>
          <w:sz w:val="24"/>
          <w:szCs w:val="24"/>
        </w:rPr>
        <w:fldChar w:fldCharType="end"/>
      </w:r>
      <w:r w:rsidR="007245BB">
        <w:rPr>
          <w:sz w:val="24"/>
          <w:szCs w:val="24"/>
        </w:rPr>
        <w:t xml:space="preserve">.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7245BB">
        <w:rPr>
          <w:sz w:val="24"/>
          <w:szCs w:val="24"/>
        </w:rPr>
        <w:fldChar w:fldCharType="begin"/>
      </w:r>
      <w:r w:rsidR="007245BB">
        <w:rPr>
          <w:sz w:val="24"/>
          <w:szCs w:val="24"/>
        </w:rPr>
        <w:instrText xml:space="preserve"> ADDIN EN.CITE &lt;EndNote&gt;&lt;Cite&gt;&lt;Author&gt;Rogatko&lt;/Author&gt;&lt;Year&gt;2015&lt;/Year&gt;&lt;RecNum&gt;10&lt;/RecNum&gt;&lt;DisplayText&gt;[7]&lt;/DisplayText&gt;&lt;record&gt;&lt;rec-number&gt;10&lt;/rec-number&gt;&lt;foreign-keys&gt;&lt;key app="EN" db-id="9xewf2v90rdx2jefpsupd25g2atv55dersaf" timestamp="1629416513"&gt;10&lt;/key&gt;&lt;/foreign-keys&gt;&lt;ref-type name="Journal Article"&gt;17&lt;/ref-type&gt;&lt;contributors&gt;&lt;authors&gt;&lt;author&gt;Rogatko, A.&lt;/author&gt;&lt;author&gt;Cook-Wiens, G.&lt;/author&gt;&lt;author&gt;Tighiouart, M.&lt;/author&gt;&lt;author&gt;Piantadosi, S.&lt;/author&gt;&lt;/authors&gt;&lt;/contributors&gt;&lt;auth-address&gt;Biostatistics and Bioinformatics Research Center, Cedars-Sinai Medical Center, 8700 Beverly Blvd., PACT, Suite 900C, Los Angeles, CA 90048, USA.&lt;/auth-address&gt;&lt;titles&gt;&lt;title&gt;Escalation with Overdose Control is More Efficient and Safer than Accelerated Titration for Dose Finding&lt;/title&gt;&lt;secondary-title&gt;Entropy (Basel)&lt;/secondary-title&gt;&lt;/titles&gt;&lt;periodical&gt;&lt;full-title&gt;Entropy (Basel)&lt;/full-title&gt;&lt;/periodical&gt;&lt;pages&gt;5288-5303&lt;/pages&gt;&lt;volume&gt;17&lt;/volume&gt;&lt;number&gt;8&lt;/number&gt;&lt;edition&gt;2016/05/10&lt;/edition&gt;&lt;keywords&gt;&lt;keyword&gt;Ewoc&lt;/keyword&gt;&lt;keyword&gt;accelerated titration&lt;/keyword&gt;&lt;keyword&gt;cancer early trials&lt;/keyword&gt;&lt;keyword&gt;dose finding&lt;/keyword&gt;&lt;keyword&gt;escalation with overdose control&lt;/keyword&gt;&lt;keyword&gt;phase I trials&lt;/keyword&gt;&lt;/keywords&gt;&lt;dates&gt;&lt;year&gt;2015&lt;/year&gt;&lt;pub-dates&gt;&lt;date&gt;Aug&lt;/date&gt;&lt;/pub-dates&gt;&lt;/dates&gt;&lt;isbn&gt;1099-4300 (Print)&amp;#xD;1099-4300 (Linking)&lt;/isbn&gt;&lt;accession-num&gt;27156869&lt;/accession-num&gt;&lt;urls&gt;&lt;related-urls&gt;&lt;url&gt;https://www.ncbi.nlm.nih.gov/pubmed/27156869&lt;/url&gt;&lt;/related-urls&gt;&lt;/urls&gt;&lt;custom2&gt;PMC4859761&lt;/custom2&gt;&lt;electronic-resource-num&gt;10.3390/e17085288&lt;/electronic-resource-num&gt;&lt;/record&gt;&lt;/Cite&gt;&lt;/EndNote&gt;</w:instrText>
      </w:r>
      <w:r w:rsidR="007245BB">
        <w:rPr>
          <w:sz w:val="24"/>
          <w:szCs w:val="24"/>
        </w:rPr>
        <w:fldChar w:fldCharType="separate"/>
      </w:r>
      <w:r w:rsidR="007245BB">
        <w:rPr>
          <w:noProof/>
          <w:sz w:val="24"/>
          <w:szCs w:val="24"/>
        </w:rPr>
        <w:t>[</w:t>
      </w:r>
      <w:hyperlink w:anchor="_ENREF_7" w:tooltip="Rogatko, 2015 #10" w:history="1">
        <w:r w:rsidR="001D149F">
          <w:rPr>
            <w:noProof/>
            <w:sz w:val="24"/>
            <w:szCs w:val="24"/>
          </w:rPr>
          <w:t>7</w:t>
        </w:r>
      </w:hyperlink>
      <w:r w:rsidR="007245BB">
        <w:rPr>
          <w:noProof/>
          <w:sz w:val="24"/>
          <w:szCs w:val="24"/>
        </w:rPr>
        <w:t>]</w:t>
      </w:r>
      <w:r w:rsidR="007245BB">
        <w:rPr>
          <w:sz w:val="24"/>
          <w:szCs w:val="24"/>
        </w:rPr>
        <w:fldChar w:fldCharType="end"/>
      </w:r>
      <w:r w:rsidR="00012E81">
        <w:rPr>
          <w:sz w:val="24"/>
          <w:szCs w:val="24"/>
        </w:rPr>
        <w:t xml:space="preserve">. </w:t>
      </w:r>
      <w:proofErr w:type="spellStart"/>
      <w:r w:rsidR="00A5045E">
        <w:rPr>
          <w:rFonts w:hint="eastAsia"/>
          <w:sz w:val="24"/>
          <w:szCs w:val="24"/>
        </w:rPr>
        <w:t>H</w:t>
      </w:r>
      <w:r w:rsidR="00A5045E">
        <w:rPr>
          <w:sz w:val="24"/>
          <w:szCs w:val="24"/>
        </w:rPr>
        <w:t>irakawa</w:t>
      </w:r>
      <w:proofErr w:type="spellEnd"/>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w:t>
      </w:r>
      <w:r w:rsidR="00337C00">
        <w:rPr>
          <w:sz w:val="24"/>
          <w:szCs w:val="24"/>
        </w:rPr>
        <w:t xml:space="preserve"> </w:t>
      </w:r>
      <w:r w:rsidR="00337C00">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sz w:val="24"/>
          <w:szCs w:val="24"/>
        </w:rPr>
        <w:fldChar w:fldCharType="separate"/>
      </w:r>
      <w:r w:rsidR="007245BB">
        <w:rPr>
          <w:noProof/>
          <w:sz w:val="24"/>
          <w:szCs w:val="24"/>
        </w:rPr>
        <w:t>[</w:t>
      </w:r>
      <w:hyperlink w:anchor="_ENREF_8" w:tooltip="Hirakawa, 2012 #8" w:history="1">
        <w:r w:rsidR="001D149F">
          <w:rPr>
            <w:noProof/>
            <w:sz w:val="24"/>
            <w:szCs w:val="24"/>
          </w:rPr>
          <w:t>8</w:t>
        </w:r>
      </w:hyperlink>
      <w:r w:rsidR="007245BB">
        <w:rPr>
          <w:noProof/>
          <w:sz w:val="24"/>
          <w:szCs w:val="24"/>
        </w:rPr>
        <w:t>]</w:t>
      </w:r>
      <w:r w:rsidR="00337C00">
        <w:rPr>
          <w:sz w:val="24"/>
          <w:szCs w:val="24"/>
        </w:rPr>
        <w:fldChar w:fldCharType="end"/>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 xml:space="preserve">approaches introduced by Olkin and Tate </w:t>
      </w:r>
      <w:r w:rsidR="005B35F1">
        <w:rPr>
          <w:sz w:val="24"/>
          <w:szCs w:val="24"/>
        </w:rPr>
        <w:fldChar w:fldCharType="begin"/>
      </w:r>
      <w:r w:rsidR="007245BB">
        <w:rPr>
          <w:sz w:val="24"/>
          <w:szCs w:val="24"/>
        </w:rPr>
        <w:instrText xml:space="preserve"> ADDIN EN.CITE &lt;EndNote&gt;&lt;Cite&gt;&lt;Author&gt;Olkin&lt;/Author&gt;&lt;Year&gt;1961&lt;/Year&gt;&lt;RecNum&gt;9&lt;/RecNum&gt;&lt;DisplayText&gt;[9]&lt;/DisplayText&gt;&lt;record&gt;&lt;rec-number&gt;9&lt;/rec-number&gt;&lt;foreign-keys&gt;&lt;key app="EN" db-id="9xewf2v90rdx2jefpsupd25g2atv55dersaf" timestamp="1629415877"&gt;9&lt;/key&gt;&lt;/foreign-keys&gt;&lt;ref-type name="Journal Article"&gt;17&lt;/ref-type&gt;&lt;contributors&gt;&lt;authors&gt;&lt;author&gt;Olkin, I.&lt;/author&gt;&lt;author&gt;Tate, R.F.&lt;/author&gt;&lt;/authors&gt;&lt;/contributors&gt;&lt;titles&gt;&lt;title&gt;Multivariate Correlation Models with Mixed Discrete and Continuous Variables&lt;/title&gt;&lt;secondary-title&gt;The Annals of Mathematical Statistics&lt;/secondary-title&gt;&lt;/titles&gt;&lt;periodical&gt;&lt;full-title&gt;The Annals of Mathematical Statistics&lt;/full-title&gt;&lt;/periodical&gt;&lt;pages&gt;16&lt;/pages&gt;&lt;volume&gt;32&lt;/volume&gt;&lt;number&gt;2&lt;/number&gt;&lt;section&gt;516&lt;/section&gt;&lt;dates&gt;&lt;year&gt;1961&lt;/year&gt;&lt;/dates&gt;&lt;urls&gt;&lt;/urls&gt;&lt;/record&gt;&lt;/Cite&gt;&lt;/EndNote&gt;</w:instrText>
      </w:r>
      <w:r w:rsidR="005B35F1">
        <w:rPr>
          <w:sz w:val="24"/>
          <w:szCs w:val="24"/>
        </w:rPr>
        <w:fldChar w:fldCharType="separate"/>
      </w:r>
      <w:r w:rsidR="007245BB">
        <w:rPr>
          <w:noProof/>
          <w:sz w:val="24"/>
          <w:szCs w:val="24"/>
        </w:rPr>
        <w:t>[</w:t>
      </w:r>
      <w:hyperlink w:anchor="_ENREF_9" w:tooltip="Olkin, 1961 #9" w:history="1">
        <w:r w:rsidR="001D149F">
          <w:rPr>
            <w:noProof/>
            <w:sz w:val="24"/>
            <w:szCs w:val="24"/>
          </w:rPr>
          <w:t>9</w:t>
        </w:r>
      </w:hyperlink>
      <w:r w:rsidR="007245BB">
        <w:rPr>
          <w:noProof/>
          <w:sz w:val="24"/>
          <w:szCs w:val="24"/>
        </w:rPr>
        <w:t>]</w:t>
      </w:r>
      <w:r w:rsidR="005B35F1">
        <w:rPr>
          <w:sz w:val="24"/>
          <w:szCs w:val="24"/>
        </w:rPr>
        <w:fldChar w:fldCharType="end"/>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w:t>
      </w:r>
      <w:proofErr w:type="spellStart"/>
      <w:r w:rsidR="00CB10BB">
        <w:rPr>
          <w:sz w:val="24"/>
          <w:szCs w:val="24"/>
        </w:rPr>
        <w:t>i</w:t>
      </w:r>
      <w:proofErr w:type="spellEnd"/>
      <w:r w:rsidR="00CB10BB">
        <w:rPr>
          <w:sz w:val="24"/>
          <w:szCs w:val="24"/>
        </w:rPr>
        <w:t xml:space="preserve">) a marginal distribution for binary outcomes and a conditional distribution for continuous outcomes given the binary outcome, and (ii) a marginal distribution for continuous outcomes and a conditional distribution </w:t>
      </w:r>
      <w:r w:rsidR="003C17EB">
        <w:rPr>
          <w:sz w:val="24"/>
          <w:szCs w:val="24"/>
        </w:rPr>
        <w:t xml:space="preserve">for binary outcomes given the continuous outcome. </w:t>
      </w:r>
      <w:proofErr w:type="spellStart"/>
      <w:r w:rsidR="003C17EB">
        <w:rPr>
          <w:sz w:val="24"/>
          <w:szCs w:val="24"/>
        </w:rPr>
        <w:t>Hirakawa</w:t>
      </w:r>
      <w:proofErr w:type="spellEnd"/>
      <w:r w:rsidR="003C17EB">
        <w:rPr>
          <w:sz w:val="24"/>
          <w:szCs w:val="24"/>
        </w:rPr>
        <w:t xml:space="preserve"> used the first formulation and proposed a</w:t>
      </w:r>
      <w:r w:rsidR="00435B66">
        <w:rPr>
          <w:sz w:val="24"/>
          <w:szCs w:val="24"/>
        </w:rPr>
        <w:t xml:space="preserve"> dose-finding approach based on the Bayesian method</w:t>
      </w:r>
      <w:r w:rsidR="002C2B2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1D149F">
          <w:rPr>
            <w:noProof/>
            <w:sz w:val="24"/>
            <w:szCs w:val="24"/>
          </w:rPr>
          <w:t>8</w:t>
        </w:r>
      </w:hyperlink>
      <w:r w:rsidR="007245BB">
        <w:rPr>
          <w:noProof/>
          <w:sz w:val="24"/>
          <w:szCs w:val="24"/>
        </w:rPr>
        <w:t>]</w:t>
      </w:r>
      <w:r w:rsidR="005B35F1">
        <w:rPr>
          <w:sz w:val="24"/>
          <w:szCs w:val="24"/>
        </w:rPr>
        <w:fldChar w:fldCharType="end"/>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w:t>
      </w:r>
      <w:proofErr w:type="spellStart"/>
      <w:r w:rsidR="002C2B21">
        <w:rPr>
          <w:sz w:val="24"/>
          <w:szCs w:val="24"/>
        </w:rPr>
        <w:t>Hirakawa’s</w:t>
      </w:r>
      <w:proofErr w:type="spellEnd"/>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Bayesian dose-finding method 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656EABDF" w:rsidR="00060F60" w:rsidRDefault="00060F60">
      <w:pPr>
        <w:rPr>
          <w:sz w:val="24"/>
          <w:szCs w:val="24"/>
        </w:rPr>
      </w:pPr>
      <w:r>
        <w:rPr>
          <w:sz w:val="24"/>
          <w:szCs w:val="24"/>
        </w:rPr>
        <w:tab/>
        <w:t xml:space="preserve">Our methodology is established based on the EWOUC 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2953230A"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 xml:space="preserve">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1D149F">
          <w:rPr>
            <w:noProof/>
            <w:sz w:val="24"/>
            <w:szCs w:val="24"/>
          </w:rPr>
          <w:t>4</w:t>
        </w:r>
      </w:hyperlink>
      <w:r w:rsidR="005B35F1">
        <w:rPr>
          <w:noProof/>
          <w:sz w:val="24"/>
          <w:szCs w:val="24"/>
        </w:rPr>
        <w:t>]</w:t>
      </w:r>
      <w:r w:rsidR="005B35F1">
        <w:rPr>
          <w:sz w:val="24"/>
          <w:szCs w:val="24"/>
        </w:rPr>
        <w:fldChar w:fldCharType="end"/>
      </w:r>
      <w:r w:rsidR="005B35F1">
        <w:rPr>
          <w:sz w:val="24"/>
          <w:szCs w:val="24"/>
        </w:rPr>
        <w:t xml:space="preserve"> </w:t>
      </w:r>
      <w:r w:rsidR="00D1597C">
        <w:rPr>
          <w:sz w:val="24"/>
          <w:szCs w:val="24"/>
        </w:rPr>
        <w:t xml:space="preserve">for cancer Phase I trials design, using all grades of toxicities of patients in the trial. Then, we describe EWOUC-NETS, our new design for dose-finding based on EWOUC, proposed by Chen et al </w: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 </w:instrText>
      </w:r>
      <w:r w:rsidR="005B35F1">
        <w:rPr>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5B35F1">
        <w:rPr>
          <w:sz w:val="24"/>
          <w:szCs w:val="24"/>
        </w:rPr>
        <w:instrText xml:space="preserve"> ADDIN EN.CITE.DATA </w:instrText>
      </w:r>
      <w:r w:rsidR="005B35F1">
        <w:rPr>
          <w:sz w:val="24"/>
          <w:szCs w:val="24"/>
        </w:rPr>
      </w:r>
      <w:r w:rsidR="005B35F1">
        <w:rPr>
          <w:sz w:val="24"/>
          <w:szCs w:val="24"/>
        </w:rPr>
        <w:fldChar w:fldCharType="end"/>
      </w:r>
      <w:r w:rsidR="005B35F1">
        <w:rPr>
          <w:sz w:val="24"/>
          <w:szCs w:val="24"/>
        </w:rPr>
        <w:fldChar w:fldCharType="separate"/>
      </w:r>
      <w:r w:rsidR="005B35F1">
        <w:rPr>
          <w:noProof/>
          <w:sz w:val="24"/>
          <w:szCs w:val="24"/>
        </w:rPr>
        <w:t>[</w:t>
      </w:r>
      <w:hyperlink w:anchor="_ENREF_1" w:tooltip="Chen, 2015 #3" w:history="1">
        <w:r w:rsidR="001D149F">
          <w:rPr>
            <w:noProof/>
            <w:sz w:val="24"/>
            <w:szCs w:val="24"/>
          </w:rPr>
          <w:t>1</w:t>
        </w:r>
      </w:hyperlink>
      <w:r w:rsidR="005B35F1">
        <w:rPr>
          <w:noProof/>
          <w:sz w:val="24"/>
          <w:szCs w:val="24"/>
        </w:rPr>
        <w:t>]</w:t>
      </w:r>
      <w:r w:rsidR="005B35F1">
        <w:rPr>
          <w:sz w:val="24"/>
          <w:szCs w:val="24"/>
        </w:rPr>
        <w:fldChar w:fldCharType="end"/>
      </w:r>
      <w:r w:rsidR="00D1597C">
        <w:rPr>
          <w:sz w:val="24"/>
          <w:szCs w:val="24"/>
        </w:rPr>
        <w:t>,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 xml:space="preserve">Grade 0: no </w:t>
      </w:r>
      <w:proofErr w:type="gramStart"/>
      <w:r>
        <w:rPr>
          <w:sz w:val="24"/>
          <w:szCs w:val="24"/>
          <w:lang w:eastAsia="en-US"/>
        </w:rPr>
        <w:t>toxicity;</w:t>
      </w:r>
      <w:proofErr w:type="gramEnd"/>
    </w:p>
    <w:p w14:paraId="5DCB478D" w14:textId="77777777" w:rsidR="00440F03" w:rsidRDefault="00440F03" w:rsidP="00D12E99">
      <w:pPr>
        <w:spacing w:after="0"/>
        <w:ind w:firstLine="720"/>
        <w:rPr>
          <w:sz w:val="24"/>
          <w:szCs w:val="24"/>
          <w:lang w:eastAsia="en-US"/>
        </w:rPr>
      </w:pPr>
      <w:r>
        <w:rPr>
          <w:sz w:val="24"/>
          <w:szCs w:val="24"/>
          <w:lang w:eastAsia="en-US"/>
        </w:rPr>
        <w:t xml:space="preserve">Grade 1: mild </w:t>
      </w:r>
      <w:proofErr w:type="gramStart"/>
      <w:r>
        <w:rPr>
          <w:sz w:val="24"/>
          <w:szCs w:val="24"/>
          <w:lang w:eastAsia="en-US"/>
        </w:rPr>
        <w:t>toxicity;</w:t>
      </w:r>
      <w:proofErr w:type="gramEnd"/>
    </w:p>
    <w:p w14:paraId="4AA14D14" w14:textId="77777777" w:rsidR="00440F03" w:rsidRDefault="00440F03" w:rsidP="00D12E99">
      <w:pPr>
        <w:spacing w:after="0"/>
        <w:ind w:firstLine="720"/>
        <w:rPr>
          <w:sz w:val="24"/>
          <w:szCs w:val="24"/>
          <w:lang w:eastAsia="en-US"/>
        </w:rPr>
      </w:pPr>
      <w:r>
        <w:rPr>
          <w:sz w:val="24"/>
          <w:szCs w:val="24"/>
          <w:lang w:eastAsia="en-US"/>
        </w:rPr>
        <w:t xml:space="preserve">Grade 2: moderate </w:t>
      </w:r>
      <w:proofErr w:type="gramStart"/>
      <w:r>
        <w:rPr>
          <w:sz w:val="24"/>
          <w:szCs w:val="24"/>
          <w:lang w:eastAsia="en-US"/>
        </w:rPr>
        <w:t>toxicity;</w:t>
      </w:r>
      <w:proofErr w:type="gramEnd"/>
    </w:p>
    <w:p w14:paraId="04C76973" w14:textId="31BE031C" w:rsidR="00440F03" w:rsidRDefault="00440F03" w:rsidP="00D12E99">
      <w:pPr>
        <w:spacing w:after="0"/>
        <w:ind w:firstLine="720"/>
        <w:rPr>
          <w:sz w:val="24"/>
          <w:szCs w:val="24"/>
          <w:lang w:eastAsia="en-US"/>
        </w:rPr>
      </w:pPr>
      <w:r>
        <w:rPr>
          <w:sz w:val="24"/>
          <w:szCs w:val="24"/>
          <w:lang w:eastAsia="en-US"/>
        </w:rPr>
        <w:lastRenderedPageBreak/>
        <w:t xml:space="preserve">Grade 3: severe </w:t>
      </w:r>
      <w:proofErr w:type="gramStart"/>
      <w:r>
        <w:rPr>
          <w:sz w:val="24"/>
          <w:szCs w:val="24"/>
          <w:lang w:eastAsia="en-US"/>
        </w:rPr>
        <w:t>toxicity;</w:t>
      </w:r>
      <w:proofErr w:type="gramEnd"/>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E534F3"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546FFF76"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5B35F1">
        <w:rPr>
          <w:sz w:val="24"/>
          <w:szCs w:val="24"/>
        </w:rPr>
        <w:fldChar w:fldCharType="begin"/>
      </w:r>
      <w:r w:rsidR="005B35F1">
        <w:rPr>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5B35F1">
        <w:rPr>
          <w:sz w:val="24"/>
          <w:szCs w:val="24"/>
        </w:rPr>
        <w:fldChar w:fldCharType="separate"/>
      </w:r>
      <w:r w:rsidR="005B35F1">
        <w:rPr>
          <w:noProof/>
          <w:sz w:val="24"/>
          <w:szCs w:val="24"/>
        </w:rPr>
        <w:t>[</w:t>
      </w:r>
      <w:hyperlink w:anchor="_ENREF_4" w:tooltip="Chen, 2010 #4" w:history="1">
        <w:r w:rsidR="001D149F">
          <w:rPr>
            <w:noProof/>
            <w:sz w:val="24"/>
            <w:szCs w:val="24"/>
          </w:rPr>
          <w:t>4</w:t>
        </w:r>
      </w:hyperlink>
      <w:r w:rsidR="005B35F1">
        <w:rPr>
          <w:noProof/>
          <w:sz w:val="24"/>
          <w:szCs w:val="24"/>
        </w:rPr>
        <w:t>]</w:t>
      </w:r>
      <w:r w:rsidR="005B35F1">
        <w:rPr>
          <w:sz w:val="24"/>
          <w:szCs w:val="24"/>
        </w:rPr>
        <w:fldChar w:fldCharType="end"/>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E534F3"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E534F3"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1CE74A3D"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w:t>
      </w:r>
      <w:proofErr w:type="spellStart"/>
      <w:r w:rsidR="005B35F1">
        <w:rPr>
          <w:sz w:val="24"/>
          <w:szCs w:val="24"/>
        </w:rPr>
        <w:t>Hirakawa</w:t>
      </w:r>
      <w:proofErr w:type="spellEnd"/>
      <w:r w:rsidR="005B35F1">
        <w:rPr>
          <w:sz w:val="24"/>
          <w:szCs w:val="24"/>
        </w:rPr>
        <w:t xml:space="preserve"> </w:t>
      </w:r>
      <w:r w:rsidR="00841A81">
        <w:rPr>
          <w:sz w:val="24"/>
          <w:szCs w:val="24"/>
        </w:rPr>
        <w:t>proposed a novel adaptive dose-finding approach to handle correlated continuous efficacy outcome and binary toxicity outcome</w:t>
      </w:r>
      <w:r w:rsidR="005B35F1">
        <w:rPr>
          <w:sz w:val="24"/>
          <w:szCs w:val="24"/>
        </w:rPr>
        <w:t xml:space="preserve"> </w:t>
      </w:r>
      <w:r w:rsidR="005B35F1">
        <w:rPr>
          <w:sz w:val="24"/>
          <w:szCs w:val="24"/>
        </w:rPr>
        <w:fldChar w:fldCharType="begin"/>
      </w:r>
      <w:r w:rsidR="007245BB">
        <w:rPr>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5B35F1">
        <w:rPr>
          <w:sz w:val="24"/>
          <w:szCs w:val="24"/>
        </w:rPr>
        <w:fldChar w:fldCharType="separate"/>
      </w:r>
      <w:r w:rsidR="007245BB">
        <w:rPr>
          <w:noProof/>
          <w:sz w:val="24"/>
          <w:szCs w:val="24"/>
        </w:rPr>
        <w:t>[</w:t>
      </w:r>
      <w:hyperlink w:anchor="_ENREF_8" w:tooltip="Hirakawa, 2012 #8" w:history="1">
        <w:r w:rsidR="001D149F">
          <w:rPr>
            <w:noProof/>
            <w:sz w:val="24"/>
            <w:szCs w:val="24"/>
          </w:rPr>
          <w:t>8</w:t>
        </w:r>
      </w:hyperlink>
      <w:r w:rsidR="007245BB">
        <w:rPr>
          <w:noProof/>
          <w:sz w:val="24"/>
          <w:szCs w:val="24"/>
        </w:rPr>
        <w:t>]</w:t>
      </w:r>
      <w:r w:rsidR="005B35F1">
        <w:rPr>
          <w:sz w:val="24"/>
          <w:szCs w:val="24"/>
        </w:rPr>
        <w:fldChar w:fldCharType="end"/>
      </w:r>
      <w:r w:rsidR="00841A81">
        <w:rPr>
          <w:sz w:val="24"/>
          <w:szCs w:val="24"/>
        </w:rPr>
        <w:t xml:space="preserv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4B5835B0" w:rsidR="0097121B" w:rsidRPr="0097121B" w:rsidRDefault="007245BB" w:rsidP="0097121B">
      <w:pPr>
        <w:rPr>
          <w:sz w:val="24"/>
          <w:szCs w:val="24"/>
        </w:rPr>
      </w:pPr>
      <w:r>
        <w:rPr>
          <w:sz w:val="24"/>
          <w:szCs w:val="24"/>
        </w:rPr>
        <w:t>w</w:t>
      </w:r>
      <w:r w:rsidR="00703B37" w:rsidRPr="0097121B">
        <w:rPr>
          <w:sz w:val="24"/>
          <w:szCs w:val="24"/>
        </w:rPr>
        <w:t>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19CA12BB"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 xml:space="preserve">is the multiplicative heteroscedasticity proposed by Harvey </w:t>
      </w:r>
      <w:r w:rsidR="005B35F1">
        <w:rPr>
          <w:sz w:val="24"/>
          <w:szCs w:val="24"/>
        </w:rPr>
        <w:fldChar w:fldCharType="begin"/>
      </w:r>
      <w:r w:rsidR="007245BB">
        <w:rPr>
          <w:sz w:val="24"/>
          <w:szCs w:val="24"/>
        </w:rPr>
        <w:instrText xml:space="preserve"> ADDIN EN.CITE &lt;EndNote&gt;&lt;Cite&gt;&lt;Author&gt;Harvey&lt;/Author&gt;&lt;Year&gt;1976&lt;/Year&gt;&lt;RecNum&gt;11&lt;/RecNum&gt;&lt;DisplayText&gt;[10]&lt;/DisplayText&gt;&lt;record&gt;&lt;rec-number&gt;11&lt;/rec-number&gt;&lt;foreign-keys&gt;&lt;key app="EN" db-id="9xewf2v90rdx2jefpsupd25g2atv55dersaf" timestamp="1629417847"&gt;11&lt;/key&gt;&lt;/foreign-keys&gt;&lt;ref-type name="Journal Article"&gt;17&lt;/ref-type&gt;&lt;contributors&gt;&lt;authors&gt;&lt;author&gt;Harvey, AC.&lt;/author&gt;&lt;/authors&gt;&lt;/contributors&gt;&lt;titles&gt;&lt;title&gt;Estimating regression models with multiplicative heteroscedasticity.&lt;/title&gt;&lt;secondary-title&gt;Econometrics.&lt;/secondary-title&gt;&lt;/titles&gt;&lt;periodical&gt;&lt;full-title&gt;Econometrics.&lt;/full-title&gt;&lt;/periodical&gt;&lt;pages&gt;4&lt;/pages&gt;&lt;volume&gt;44&lt;/volume&gt;&lt;section&gt;461&lt;/section&gt;&lt;dates&gt;&lt;year&gt;1976&lt;/year&gt;&lt;/dates&gt;&lt;urls&gt;&lt;/urls&gt;&lt;/record&gt;&lt;/Cite&gt;&lt;/EndNote&gt;</w:instrText>
      </w:r>
      <w:r w:rsidR="005B35F1">
        <w:rPr>
          <w:sz w:val="24"/>
          <w:szCs w:val="24"/>
        </w:rPr>
        <w:fldChar w:fldCharType="separate"/>
      </w:r>
      <w:r w:rsidR="007245BB">
        <w:rPr>
          <w:noProof/>
          <w:sz w:val="24"/>
          <w:szCs w:val="24"/>
        </w:rPr>
        <w:t>[</w:t>
      </w:r>
      <w:hyperlink w:anchor="_ENREF_10" w:tooltip="Harvey, 1976 #11" w:history="1">
        <w:r w:rsidR="001D149F">
          <w:rPr>
            <w:noProof/>
            <w:sz w:val="24"/>
            <w:szCs w:val="24"/>
          </w:rPr>
          <w:t>10</w:t>
        </w:r>
      </w:hyperlink>
      <w:r w:rsidR="007245BB">
        <w:rPr>
          <w:noProof/>
          <w:sz w:val="24"/>
          <w:szCs w:val="24"/>
        </w:rPr>
        <w:t>]</w:t>
      </w:r>
      <w:r w:rsidR="005B35F1">
        <w:rPr>
          <w:sz w:val="24"/>
          <w:szCs w:val="24"/>
        </w:rPr>
        <w:fldChar w:fldCharType="end"/>
      </w:r>
      <w:r w:rsidR="00725C9D" w:rsidRPr="00B94347">
        <w:rPr>
          <w:sz w:val="24"/>
          <w:szCs w:val="24"/>
        </w:rPr>
        <w:t>.</w:t>
      </w:r>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036D02D0"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608E2234"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w:t>
      </w:r>
      <w:proofErr w:type="gramStart"/>
      <w:r w:rsidR="003010A5" w:rsidRPr="003010A5">
        <w:rPr>
          <w:sz w:val="24"/>
          <w:szCs w:val="24"/>
        </w:rPr>
        <w:t>outco</w:t>
      </w:r>
      <w:proofErr w:type="spellStart"/>
      <w:r w:rsidR="003010A5" w:rsidRPr="003010A5">
        <w:rPr>
          <w:sz w:val="24"/>
          <w:szCs w:val="24"/>
        </w:rPr>
        <w:t>mes</w:t>
      </w:r>
      <w:proofErr w:type="spellEnd"/>
      <w:r w:rsidR="003010A5" w:rsidRPr="003010A5">
        <w:rPr>
          <w:sz w:val="24"/>
          <w:szCs w:val="24"/>
        </w:rPr>
        <w:t>.</w:t>
      </w:r>
      <w:proofErr w:type="gramEnd"/>
      <w:r w:rsidR="003010A5" w:rsidRPr="003010A5">
        <w:rPr>
          <w:sz w:val="24"/>
          <w:szCs w:val="24"/>
        </w:rPr>
        <w:t xml:space="preserve">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E534F3"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E534F3"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E534F3"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E534F3"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E534F3"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E534F3"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E534F3"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E534F3"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1E3ACF02"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44305551" w:rsidR="00733222" w:rsidRDefault="00AD482E" w:rsidP="00733222">
      <w:pPr>
        <w:rPr>
          <w:iCs/>
          <w:sz w:val="24"/>
          <w:szCs w:val="24"/>
        </w:rPr>
      </w:pPr>
      <w:r>
        <w:rPr>
          <w:iCs/>
          <w:sz w:val="24"/>
          <w:szCs w:val="24"/>
        </w:rPr>
        <w:t>w</w:t>
      </w:r>
      <w:r w:rsidR="00733222">
        <w:rPr>
          <w:iCs/>
          <w:sz w:val="24"/>
          <w:szCs w:val="24"/>
        </w:rPr>
        <w:t xml:space="preserve">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7D8B8C0F"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71CCC249" w:rsidR="007A2863" w:rsidRDefault="00C93B43" w:rsidP="00A55C25">
      <w:pPr>
        <w:spacing w:after="0"/>
        <w:ind w:firstLine="720"/>
        <w:rPr>
          <w:sz w:val="24"/>
          <w:szCs w:val="24"/>
        </w:rPr>
      </w:pPr>
      <w:r>
        <w:rPr>
          <w:color w:val="343434"/>
          <w:kern w:val="0"/>
          <w:sz w:val="24"/>
          <w:szCs w:val="24"/>
        </w:rPr>
        <w:t xml:space="preserve">As </w:t>
      </w:r>
      <w:r w:rsidR="00AD482E">
        <w:rPr>
          <w:color w:val="343434"/>
          <w:kern w:val="0"/>
          <w:sz w:val="24"/>
          <w:szCs w:val="24"/>
        </w:rPr>
        <w:t>Chen and his colleagues</w:t>
      </w:r>
      <w:r>
        <w:rPr>
          <w:color w:val="343434"/>
          <w:kern w:val="0"/>
          <w:sz w:val="24"/>
          <w:szCs w:val="24"/>
        </w:rPr>
        <w:t xml:space="preserve"> proposed for the EWOUC method</w:t>
      </w:r>
      <w:r w:rsidR="00AD482E">
        <w:rPr>
          <w:color w:val="343434"/>
          <w:kern w:val="0"/>
          <w:sz w:val="24"/>
          <w:szCs w:val="24"/>
        </w:rPr>
        <w:t xml:space="preserve"> </w: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 </w:instrText>
      </w:r>
      <w:r w:rsidR="00AD482E">
        <w:rPr>
          <w:color w:val="343434"/>
          <w:kern w:val="0"/>
          <w:sz w:val="24"/>
          <w:szCs w:val="24"/>
        </w:rPr>
        <w:fldChar w:fldCharType="begin">
          <w:fldData xml:space="preserve">PEVuZE5vdGU+PENpdGU+PEF1dGhvcj5DaGVuPC9BdXRob3I+PFllYXI+MjAxNTwvWWVhcj48UmVj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</w:fldData>
        </w:fldChar>
      </w:r>
      <w:r w:rsidR="00AD482E">
        <w:rPr>
          <w:color w:val="343434"/>
          <w:kern w:val="0"/>
          <w:sz w:val="24"/>
          <w:szCs w:val="24"/>
        </w:rPr>
        <w:instrText xml:space="preserve"> ADDIN EN.CITE.DATA </w:instrText>
      </w:r>
      <w:r w:rsidR="00AD482E">
        <w:rPr>
          <w:color w:val="343434"/>
          <w:kern w:val="0"/>
          <w:sz w:val="24"/>
          <w:szCs w:val="24"/>
        </w:rPr>
      </w:r>
      <w:r w:rsidR="00AD482E">
        <w:rPr>
          <w:color w:val="343434"/>
          <w:kern w:val="0"/>
          <w:sz w:val="24"/>
          <w:szCs w:val="24"/>
        </w:rPr>
        <w:fldChar w:fldCharType="end"/>
      </w:r>
      <w:r w:rsidR="00AD482E">
        <w:rPr>
          <w:color w:val="343434"/>
          <w:kern w:val="0"/>
          <w:sz w:val="24"/>
          <w:szCs w:val="24"/>
        </w:rPr>
        <w:fldChar w:fldCharType="separate"/>
      </w:r>
      <w:r w:rsidR="00AD482E">
        <w:rPr>
          <w:noProof/>
          <w:color w:val="343434"/>
          <w:kern w:val="0"/>
          <w:sz w:val="24"/>
          <w:szCs w:val="24"/>
        </w:rPr>
        <w:t>[</w:t>
      </w:r>
      <w:hyperlink w:anchor="_ENREF_1" w:tooltip="Chen, 2015 #3" w:history="1">
        <w:r w:rsidR="001D149F">
          <w:rPr>
            <w:noProof/>
            <w:color w:val="343434"/>
            <w:kern w:val="0"/>
            <w:sz w:val="24"/>
            <w:szCs w:val="24"/>
          </w:rPr>
          <w:t>1</w:t>
        </w:r>
      </w:hyperlink>
      <w:r w:rsidR="00AD482E">
        <w:rPr>
          <w:noProof/>
          <w:color w:val="343434"/>
          <w:kern w:val="0"/>
          <w:sz w:val="24"/>
          <w:szCs w:val="24"/>
        </w:rPr>
        <w:t>]</w:t>
      </w:r>
      <w:r w:rsidR="00AD482E">
        <w:rPr>
          <w:color w:val="343434"/>
          <w:kern w:val="0"/>
          <w:sz w:val="24"/>
          <w:szCs w:val="24"/>
        </w:rPr>
        <w:fldChar w:fldCharType="end"/>
      </w:r>
      <w:r>
        <w:rPr>
          <w:color w:val="343434"/>
          <w:kern w:val="0"/>
          <w:sz w:val="24"/>
          <w:szCs w:val="24"/>
        </w:rPr>
        <w:t>,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w:t>
      </w:r>
      <w:proofErr w:type="spellStart"/>
      <w:r w:rsidR="00035C76">
        <w:rPr>
          <w:sz w:val="24"/>
          <w:szCs w:val="24"/>
        </w:rPr>
        <w:t>nts</w:t>
      </w:r>
      <w:proofErr w:type="spellEnd"/>
      <w:r w:rsidR="00035C76">
        <w:rPr>
          <w:sz w:val="24"/>
          <w:szCs w:val="24"/>
        </w:rPr>
        <w:t xml:space="preserve">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70FDF1E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1D149F">
        <w:rPr>
          <w:color w:val="343434"/>
          <w:kern w:val="0"/>
          <w:sz w:val="24"/>
          <w:szCs w:val="24"/>
        </w:rPr>
        <w:t xml:space="preserve">Chen et al. </w:t>
      </w:r>
      <w:r w:rsidR="001D149F">
        <w:rPr>
          <w:color w:val="343434"/>
          <w:kern w:val="0"/>
          <w:sz w:val="24"/>
          <w:szCs w:val="24"/>
        </w:rPr>
        <w:fldChar w:fldCharType="begin"/>
      </w:r>
      <w:r w:rsidR="001D149F">
        <w:rPr>
          <w:color w:val="343434"/>
          <w:kern w:val="0"/>
          <w:sz w:val="24"/>
          <w:szCs w:val="24"/>
        </w:rPr>
        <w:instrText xml:space="preserve"> ADDIN EN.CITE &lt;EndNote&gt;&lt;Cite&gt;&lt;Author&gt;Chen&lt;/Author&gt;&lt;Year&gt;2012&lt;/Year&gt;&lt;RecNum&gt;6&lt;/RecNum&gt;&lt;DisplayText&gt;[5]&lt;/DisplayText&gt;&lt;record&gt;&lt;rec-number&gt;6&lt;/rec-number&gt;&lt;foreign-keys&gt;&lt;key app="EN" db-id="9xewf2v90rdx2jefpsupd25g2atv55dersaf" timestamp="1629231265"&gt;6&lt;/key&gt;&lt;/foreign-keys&gt;&lt;ref-type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1D149F">
        <w:rPr>
          <w:color w:val="343434"/>
          <w:kern w:val="0"/>
          <w:sz w:val="24"/>
          <w:szCs w:val="24"/>
        </w:rPr>
        <w:fldChar w:fldCharType="separate"/>
      </w:r>
      <w:r w:rsidR="001D149F">
        <w:rPr>
          <w:noProof/>
          <w:color w:val="343434"/>
          <w:kern w:val="0"/>
          <w:sz w:val="24"/>
          <w:szCs w:val="24"/>
        </w:rPr>
        <w:t>[</w:t>
      </w:r>
      <w:hyperlink w:anchor="_ENREF_5" w:tooltip="Chen, 2012 #5" w:history="1">
        <w:r w:rsidR="001D149F">
          <w:rPr>
            <w:noProof/>
            <w:color w:val="343434"/>
            <w:kern w:val="0"/>
            <w:sz w:val="24"/>
            <w:szCs w:val="24"/>
          </w:rPr>
          <w:t>5</w:t>
        </w:r>
      </w:hyperlink>
      <w:r w:rsidR="001D149F">
        <w:rPr>
          <w:noProof/>
          <w:color w:val="343434"/>
          <w:kern w:val="0"/>
          <w:sz w:val="24"/>
          <w:szCs w:val="24"/>
        </w:rPr>
        <w:t>]</w:t>
      </w:r>
      <w:r w:rsidR="001D149F">
        <w:rPr>
          <w:color w:val="343434"/>
          <w:kern w:val="0"/>
          <w:sz w:val="24"/>
          <w:szCs w:val="24"/>
        </w:rPr>
        <w:fldChar w:fldCharType="end"/>
      </w:r>
      <w:r w:rsidR="00845EEF">
        <w:rPr>
          <w:color w:val="343434"/>
          <w:kern w:val="0"/>
          <w:sz w:val="24"/>
          <w:szCs w:val="24"/>
        </w:rPr>
        <w:t xml:space="preserve">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 xml:space="preserve">This under-dose control method has also been proved to be efficient in </w:t>
      </w:r>
      <w:r w:rsidR="001D149F">
        <w:rPr>
          <w:color w:val="343434"/>
          <w:kern w:val="0"/>
          <w:sz w:val="24"/>
          <w:szCs w:val="24"/>
        </w:rPr>
        <w:fldChar w:fldCharType="begin"/>
      </w:r>
      <w:r w:rsidR="001D149F">
        <w:rPr>
          <w:color w:val="343434"/>
          <w:kern w:val="0"/>
          <w:sz w:val="24"/>
          <w:szCs w:val="24"/>
        </w:rPr>
        <w:instrText xml:space="preserve"> ADDIN EN.CITE &lt;EndNote&gt;&lt;Cite&gt;&lt;Author&gt;Chen&lt;/Author&gt;&lt;Year&gt;2012&lt;/Year&gt;&lt;RecNum&gt;6&lt;/RecNum&gt;&lt;DisplayText&gt;[5]&lt;/DisplayText&gt;&lt;record&gt;&lt;rec-number&gt;6&lt;/rec-number&gt;&lt;foreign-keys&gt;&lt;key app="EN" db-id="9xewf2v90rdx2jefpsupd25g2atv55dersaf" timestamp="1629231265"&gt;6&lt;/key&gt;&lt;/foreign-keys&gt;&lt;ref-type name="Journal Article"&gt;17&lt;/ref-type&gt;&lt;contributors&gt;&lt;authors&gt;&lt;author&gt;Chen, Z.&lt;/author&gt;&lt;author&gt;Tighiouart, M.&lt;/author&gt;&lt;author&gt;Kowalski, J.&lt;/author&gt;&lt;/authors&gt;&lt;/contributors&gt;&lt;auth-address&gt;Department of Biostatistics and Bioinformatics, Emory University, Atlanta, GA 30322, USA. zchen38@emory.edu&lt;/auth-address&gt;&lt;titles&gt;&lt;title&gt;Dose escalation with overdose control using a quasi-continuous toxicity score in cancer Phase I clinical trials&lt;/title&gt;&lt;secondary-title&gt;Contemp Clin Trials&lt;/secondary-title&gt;&lt;/titles&gt;&lt;periodical&gt;&lt;full-title&gt;Contemp Clin Trials&lt;/full-title&gt;&lt;/periodical&gt;&lt;pages&gt;949-58&lt;/pages&gt;&lt;volume&gt;33&lt;/volume&gt;&lt;number&gt;5&lt;/number&gt;&lt;edition&gt;2012/05/09&lt;/edition&gt;&lt;keywords&gt;&lt;keyword&gt;*Algorithms&lt;/keyword&gt;&lt;keyword&gt;Antineoplastic Agents/administration &amp;amp; dosage/adverse effects/*therapeutic use&lt;/keyword&gt;&lt;keyword&gt;Bayes Theorem&lt;/keyword&gt;&lt;keyword&gt;Clinical Trials, Phase I as Topic/*methods&lt;/keyword&gt;&lt;keyword&gt;Computer Simulation&lt;/keyword&gt;&lt;keyword&gt;Dose-Response Relationship, Drug&lt;/keyword&gt;&lt;keyword&gt;*Drug Overdose&lt;/keyword&gt;&lt;keyword&gt;Humans&lt;/keyword&gt;&lt;keyword&gt;Likelihood Functions&lt;/keyword&gt;&lt;keyword&gt;Maximum Tolerated Dose&lt;/keyword&gt;&lt;keyword&gt;Neoplasms/*drug therapy&lt;/keyword&gt;&lt;keyword&gt;Randomized Controlled Trials as Topic/*methods&lt;/keyword&gt;&lt;/keywords&gt;&lt;dates&gt;&lt;year&gt;2012&lt;/year&gt;&lt;pub-dates&gt;&lt;date&gt;Sep&lt;/date&gt;&lt;/pub-dates&gt;&lt;/dates&gt;&lt;isbn&gt;1559-2030 (Electronic)&amp;#xD;1551-7144 (Linking)&lt;/isbn&gt;&lt;accession-num&gt;22561391&lt;/accession-num&gt;&lt;urls&gt;&lt;related-urls&gt;&lt;url&gt;https://www.ncbi.nlm.nih.gov/pubmed/22561391&lt;/url&gt;&lt;/related-urls&gt;&lt;/urls&gt;&lt;custom2&gt;PMC4046335&lt;/custom2&gt;&lt;electronic-resource-num&gt;10.1016/j.cct.2012.04.007&lt;/electronic-resource-num&gt;&lt;/record&gt;&lt;/Cite&gt;&lt;/EndNote&gt;</w:instrText>
      </w:r>
      <w:r w:rsidR="001D149F">
        <w:rPr>
          <w:color w:val="343434"/>
          <w:kern w:val="0"/>
          <w:sz w:val="24"/>
          <w:szCs w:val="24"/>
        </w:rPr>
        <w:fldChar w:fldCharType="separate"/>
      </w:r>
      <w:r w:rsidR="001D149F">
        <w:rPr>
          <w:noProof/>
          <w:color w:val="343434"/>
          <w:kern w:val="0"/>
          <w:sz w:val="24"/>
          <w:szCs w:val="24"/>
        </w:rPr>
        <w:t>[</w:t>
      </w:r>
      <w:hyperlink w:anchor="_ENREF_5" w:tooltip="Chen, 2012 #5" w:history="1">
        <w:r w:rsidR="001D149F">
          <w:rPr>
            <w:noProof/>
            <w:color w:val="343434"/>
            <w:kern w:val="0"/>
            <w:sz w:val="24"/>
            <w:szCs w:val="24"/>
          </w:rPr>
          <w:t>5</w:t>
        </w:r>
      </w:hyperlink>
      <w:r w:rsidR="001D149F">
        <w:rPr>
          <w:noProof/>
          <w:color w:val="343434"/>
          <w:kern w:val="0"/>
          <w:sz w:val="24"/>
          <w:szCs w:val="24"/>
        </w:rPr>
        <w:t>]</w:t>
      </w:r>
      <w:r w:rsidR="001D149F">
        <w:rPr>
          <w:color w:val="343434"/>
          <w:kern w:val="0"/>
          <w:sz w:val="24"/>
          <w:szCs w:val="24"/>
        </w:rPr>
        <w:fldChar w:fldCharType="end"/>
      </w:r>
      <w:r w:rsidR="00961F7A">
        <w:rPr>
          <w:color w:val="343434"/>
          <w:kern w:val="0"/>
          <w:sz w:val="24"/>
          <w:szCs w:val="24"/>
        </w:rPr>
        <w:t>.</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w:t>
      </w:r>
      <w:proofErr w:type="gramStart"/>
      <w:r>
        <w:rPr>
          <w:iCs/>
          <w:color w:val="343434"/>
          <w:kern w:val="0"/>
          <w:sz w:val="24"/>
          <w:szCs w:val="24"/>
        </w:rPr>
        <w:t>toxicity.</w:t>
      </w:r>
      <w:proofErr w:type="gramEnd"/>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323EC095" w14:textId="77777777" w:rsidR="00A55C25" w:rsidRPr="00A55C25" w:rsidRDefault="00A55C25" w:rsidP="00A55C25">
      <w:pPr>
        <w:pStyle w:val="ListParagraph"/>
        <w:spacing w:after="0"/>
        <w:ind w:left="1080"/>
        <w:rPr>
          <w:iCs/>
          <w:color w:val="343434"/>
          <w:kern w:val="0"/>
          <w:sz w:val="24"/>
          <w:szCs w:val="24"/>
        </w:rPr>
      </w:pPr>
    </w:p>
    <w:p w14:paraId="67E6E284" w14:textId="1F8CCDC7" w:rsidR="006C027E" w:rsidRPr="00D720BD" w:rsidRDefault="006C027E" w:rsidP="008C6729">
      <w:pPr>
        <w:spacing w:after="0"/>
        <w:rPr>
          <w:iCs/>
          <w:color w:val="343434"/>
          <w:kern w:val="0"/>
          <w:sz w:val="24"/>
          <w:szCs w:val="24"/>
        </w:rPr>
      </w:pP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7024CD3D" w14:textId="238BF936"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5FF9B77B" w14:textId="618C2047" w:rsidR="004F223F" w:rsidRDefault="00407612" w:rsidP="00407612">
      <w:pPr>
        <w:spacing w:after="0"/>
        <w:ind w:firstLine="720"/>
        <w:rPr>
          <w:iCs/>
          <w:color w:val="343434"/>
          <w:kern w:val="0"/>
          <w:sz w:val="24"/>
          <w:szCs w:val="24"/>
        </w:rPr>
      </w:pPr>
      <w:r>
        <w:rPr>
          <w:iCs/>
          <w:color w:val="343434"/>
          <w:kern w:val="0"/>
          <w:sz w:val="24"/>
          <w:szCs w:val="24"/>
        </w:rPr>
        <w:t>EWOUC-NETS is simulated with three different versions: EWOUC-NETS-Comp</w:t>
      </w:r>
      <w:r w:rsidR="00931EA0">
        <w:rPr>
          <w:iCs/>
          <w:color w:val="343434"/>
          <w:kern w:val="0"/>
          <w:sz w:val="24"/>
          <w:szCs w:val="24"/>
        </w:rPr>
        <w:t xml:space="preserve"> (EWOUC-NETS with complete data, which waits and fully observes the patients’ efficacy outcome</w:t>
      </w:r>
      <w:r w:rsidR="00D941FB">
        <w:rPr>
          <w:iCs/>
          <w:color w:val="343434"/>
          <w:kern w:val="0"/>
          <w:sz w:val="24"/>
          <w:szCs w:val="24"/>
        </w:rPr>
        <w:t xml:space="preserve"> before the enrollment of the next new patient</w:t>
      </w:r>
      <w:r w:rsidR="00931EA0">
        <w:rPr>
          <w:iCs/>
          <w:color w:val="343434"/>
          <w:kern w:val="0"/>
          <w:sz w:val="24"/>
          <w:szCs w:val="24"/>
        </w:rPr>
        <w:t>)</w:t>
      </w:r>
      <w:r>
        <w:rPr>
          <w:iCs/>
          <w:color w:val="343434"/>
          <w:kern w:val="0"/>
          <w:sz w:val="24"/>
          <w:szCs w:val="24"/>
        </w:rPr>
        <w:t>, EWOUC-NETS-NW</w:t>
      </w:r>
      <w:r w:rsidR="00D941FB">
        <w:rPr>
          <w:iCs/>
          <w:color w:val="343434"/>
          <w:kern w:val="0"/>
          <w:sz w:val="24"/>
          <w:szCs w:val="24"/>
        </w:rPr>
        <w:t xml:space="preserve"> (EWOUC-NETS with incomplete data, not waiting for the e</w:t>
      </w:r>
      <w:r w:rsidR="007A27C1">
        <w:rPr>
          <w:iCs/>
          <w:color w:val="343434"/>
          <w:kern w:val="0"/>
          <w:sz w:val="24"/>
          <w:szCs w:val="24"/>
        </w:rPr>
        <w:t>fficacy outcome to be observed, which considers unobserved efficacy outcome as non-response and enrolls patients in real time</w:t>
      </w:r>
      <w:r w:rsidR="00D941FB">
        <w:rPr>
          <w:iCs/>
          <w:color w:val="343434"/>
          <w:kern w:val="0"/>
          <w:sz w:val="24"/>
          <w:szCs w:val="24"/>
        </w:rPr>
        <w:t>)</w:t>
      </w:r>
      <w:r>
        <w:rPr>
          <w:iCs/>
          <w:color w:val="343434"/>
          <w:kern w:val="0"/>
          <w:sz w:val="24"/>
          <w:szCs w:val="24"/>
        </w:rPr>
        <w:t xml:space="preserve">, </w:t>
      </w:r>
      <w:r w:rsidR="00931EA0">
        <w:rPr>
          <w:iCs/>
          <w:color w:val="343434"/>
          <w:kern w:val="0"/>
          <w:sz w:val="24"/>
          <w:szCs w:val="24"/>
        </w:rPr>
        <w:t>and EWOUC-NETS-DA</w:t>
      </w:r>
      <w:r w:rsidR="007A27C1">
        <w:rPr>
          <w:iCs/>
          <w:color w:val="343434"/>
          <w:kern w:val="0"/>
          <w:sz w:val="24"/>
          <w:szCs w:val="24"/>
        </w:rPr>
        <w:t xml:space="preserve"> (EWOUC-NETS using DA to handle missing efficacy data, which algorithm is described in [4])</w:t>
      </w:r>
      <w:r w:rsidR="00931EA0">
        <w:rPr>
          <w:iCs/>
          <w:color w:val="343434"/>
          <w:kern w:val="0"/>
          <w:sz w:val="24"/>
          <w:szCs w:val="24"/>
        </w:rPr>
        <w:t>.</w:t>
      </w:r>
      <w:r w:rsidR="00595E1A">
        <w:rPr>
          <w:iCs/>
          <w:color w:val="343434"/>
          <w:kern w:val="0"/>
          <w:sz w:val="24"/>
          <w:szCs w:val="24"/>
        </w:rPr>
        <w:t xml:space="preserve"> These three versions of EWOUC-NETS are compared with EWOC, EWOUC-Comp, EWOUC-NW and EWOUC-DA.</w:t>
      </w:r>
      <w:r w:rsidR="00C472FA">
        <w:rPr>
          <w:rFonts w:hint="eastAsia"/>
          <w:iCs/>
          <w:color w:val="343434"/>
          <w:kern w:val="0"/>
          <w:sz w:val="24"/>
          <w:szCs w:val="24"/>
        </w:rPr>
        <w:t xml:space="preserve"> </w:t>
      </w:r>
      <w:r w:rsidR="00C472FA">
        <w:rPr>
          <w:iCs/>
          <w:color w:val="343434"/>
          <w:kern w:val="0"/>
          <w:sz w:val="24"/>
          <w:szCs w:val="24"/>
        </w:rPr>
        <w:t>Here the EWOC also waits for efficacy outcome to be fully observed and uses complete data to estimate the MTD.</w:t>
      </w:r>
      <w:r w:rsidR="007D76D5">
        <w:rPr>
          <w:iCs/>
          <w:color w:val="343434"/>
          <w:kern w:val="0"/>
          <w:sz w:val="24"/>
          <w:szCs w:val="24"/>
        </w:rPr>
        <w:t xml:space="preserve"> The comparisons</w:t>
      </w:r>
      <w:r w:rsidR="007D76D5">
        <w:rPr>
          <w:rFonts w:hint="eastAsia"/>
          <w:iCs/>
          <w:color w:val="343434"/>
          <w:kern w:val="0"/>
          <w:sz w:val="24"/>
          <w:szCs w:val="24"/>
        </w:rPr>
        <w:t xml:space="preserve"> </w:t>
      </w:r>
      <w:r w:rsidR="007D76D5">
        <w:rPr>
          <w:iCs/>
          <w:color w:val="343434"/>
          <w:kern w:val="0"/>
          <w:sz w:val="24"/>
          <w:szCs w:val="24"/>
        </w:rPr>
        <w:t>between EWOUC-NETS-Comp</w:t>
      </w:r>
      <w:r w:rsidR="00E94397">
        <w:rPr>
          <w:iCs/>
          <w:color w:val="343434"/>
          <w:kern w:val="0"/>
          <w:sz w:val="24"/>
          <w:szCs w:val="24"/>
        </w:rPr>
        <w:t>,</w:t>
      </w:r>
      <w:r w:rsidR="007D76D5">
        <w:rPr>
          <w:iCs/>
          <w:color w:val="343434"/>
          <w:kern w:val="0"/>
          <w:sz w:val="24"/>
          <w:szCs w:val="24"/>
        </w:rPr>
        <w:t xml:space="preserve"> EWOUC</w:t>
      </w:r>
      <w:r w:rsidR="007D76D5">
        <w:rPr>
          <w:rFonts w:hint="eastAsia"/>
          <w:iCs/>
          <w:color w:val="343434"/>
          <w:kern w:val="0"/>
          <w:sz w:val="24"/>
          <w:szCs w:val="24"/>
        </w:rPr>
        <w:t>-</w:t>
      </w:r>
      <w:r w:rsidR="00E94397">
        <w:rPr>
          <w:iCs/>
          <w:color w:val="343434"/>
          <w:kern w:val="0"/>
          <w:sz w:val="24"/>
          <w:szCs w:val="24"/>
        </w:rPr>
        <w:t>N</w:t>
      </w:r>
      <w:r w:rsidR="00341E72">
        <w:rPr>
          <w:iCs/>
          <w:color w:val="343434"/>
          <w:kern w:val="0"/>
          <w:sz w:val="24"/>
          <w:szCs w:val="24"/>
        </w:rPr>
        <w:t>ETS-N</w:t>
      </w:r>
      <w:r w:rsidR="00E94397">
        <w:rPr>
          <w:rFonts w:hint="eastAsia"/>
          <w:iCs/>
          <w:color w:val="343434"/>
          <w:kern w:val="0"/>
          <w:sz w:val="24"/>
          <w:szCs w:val="24"/>
        </w:rPr>
        <w:t>W</w:t>
      </w:r>
      <w:r w:rsidR="00341E72">
        <w:rPr>
          <w:rFonts w:hint="eastAsia"/>
          <w:iCs/>
          <w:color w:val="343434"/>
          <w:kern w:val="0"/>
          <w:sz w:val="24"/>
          <w:szCs w:val="24"/>
        </w:rPr>
        <w:t xml:space="preserve"> </w:t>
      </w:r>
      <w:r w:rsidR="00341E72">
        <w:rPr>
          <w:iCs/>
          <w:color w:val="343434"/>
          <w:kern w:val="0"/>
          <w:sz w:val="24"/>
          <w:szCs w:val="24"/>
        </w:rPr>
        <w:t>and EWOUC-NETS-DA evaluates the efficiency of EWOUC-NETS-NW and EWOUC-NETS-DA on dealing with delayed efficacy outcome.</w:t>
      </w:r>
      <w:r w:rsidR="00434B2F">
        <w:rPr>
          <w:iCs/>
          <w:color w:val="343434"/>
          <w:kern w:val="0"/>
          <w:sz w:val="24"/>
          <w:szCs w:val="24"/>
        </w:rPr>
        <w:t xml:space="preserve"> The comparison between EWOUC-NETS methods and EWOC, EWOUC methods </w:t>
      </w:r>
      <w:r w:rsidR="00A34680">
        <w:rPr>
          <w:iCs/>
          <w:color w:val="343434"/>
          <w:kern w:val="0"/>
          <w:sz w:val="24"/>
          <w:szCs w:val="24"/>
        </w:rPr>
        <w:t xml:space="preserve">provides assessments on efficiency of additional under-dose control and the utilization of NETS and continuous efficacy outcome. </w:t>
      </w:r>
    </w:p>
    <w:p w14:paraId="33114B19" w14:textId="2514FEE8" w:rsidR="001B3454" w:rsidRDefault="00C24B00" w:rsidP="001C54A9">
      <w:pPr>
        <w:spacing w:after="0"/>
        <w:ind w:firstLine="720"/>
        <w:rPr>
          <w:iCs/>
          <w:color w:val="343434"/>
          <w:kern w:val="0"/>
          <w:sz w:val="24"/>
          <w:szCs w:val="24"/>
        </w:rPr>
      </w:pPr>
      <w:r>
        <w:rPr>
          <w:iCs/>
          <w:color w:val="343434"/>
          <w:kern w:val="0"/>
          <w:sz w:val="24"/>
          <w:szCs w:val="24"/>
        </w:rPr>
        <w:lastRenderedPageBreak/>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xml:space="preserve">, and trial duration, under </w:t>
      </w:r>
      <w:r w:rsidR="00A41155">
        <w:rPr>
          <w:iCs/>
          <w:color w:val="343434"/>
          <w:kern w:val="0"/>
          <w:sz w:val="24"/>
          <w:szCs w:val="24"/>
        </w:rPr>
        <w:t>three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moderate</w:t>
      </w:r>
      <w:r w:rsidR="00EA083E">
        <w:rPr>
          <w:iCs/>
          <w:color w:val="343434"/>
          <w:kern w:val="0"/>
          <w:sz w:val="24"/>
          <w:szCs w:val="24"/>
        </w:rPr>
        <w:t xml:space="preserve">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[3], the targeted normalized equivalent score would be 0.476</w:t>
      </w:r>
      <w:r w:rsidR="00DC2EA0">
        <w:rPr>
          <w:iCs/>
          <w:color w:val="343434"/>
          <w:kern w:val="0"/>
          <w:sz w:val="24"/>
          <w:szCs w:val="24"/>
        </w:rPr>
        <w:t>, and it is also set to be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070C82">
        <w:rPr>
          <w:iCs/>
          <w:color w:val="343434"/>
          <w:kern w:val="0"/>
          <w:sz w:val="24"/>
          <w:szCs w:val="24"/>
        </w:rPr>
        <w:t xml:space="preserve"> 0.3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W=1</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The number of patients used for each trial is set to be 30 unless the trial is terminated in advance.</w:t>
      </w:r>
      <w:r w:rsidR="007D19F4">
        <w:rPr>
          <w:iCs/>
          <w:color w:val="343434"/>
          <w:kern w:val="0"/>
          <w:sz w:val="24"/>
          <w:szCs w:val="24"/>
        </w:rPr>
        <w:t xml:space="preserve"> 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1D1AFD3A"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EWOUC-comp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771393">
        <w:rPr>
          <w:iCs/>
          <w:color w:val="343434"/>
          <w:kern w:val="0"/>
          <w:sz w:val="24"/>
          <w:szCs w:val="24"/>
        </w:rPr>
        <w:t xml:space="preserve"> and</w:t>
      </w:r>
      <w:r w:rsidR="001F51DF">
        <w:rPr>
          <w:iCs/>
          <w:color w:val="343434"/>
          <w:kern w:val="0"/>
          <w:sz w:val="24"/>
          <w:szCs w:val="24"/>
        </w:rPr>
        <w:t xml:space="preserve"> S2. </w:t>
      </w:r>
      <w:r w:rsidR="00DB76A1">
        <w:rPr>
          <w:iCs/>
          <w:color w:val="343434"/>
          <w:kern w:val="0"/>
          <w:sz w:val="24"/>
          <w:szCs w:val="24"/>
        </w:rPr>
        <w:t>The OUD identified in these t</w:t>
      </w:r>
      <w:r w:rsidR="00CA21EA">
        <w:rPr>
          <w:iCs/>
          <w:color w:val="343434"/>
          <w:kern w:val="0"/>
          <w:sz w:val="24"/>
          <w:szCs w:val="24"/>
        </w:rPr>
        <w:t>wo</w:t>
      </w:r>
      <w:r w:rsidR="00DB76A1">
        <w:rPr>
          <w:iCs/>
          <w:color w:val="343434"/>
          <w:kern w:val="0"/>
          <w:sz w:val="24"/>
          <w:szCs w:val="24"/>
        </w:rPr>
        <w:t xml:space="preserve"> scenarios are </w:t>
      </w:r>
      <w:r w:rsidR="00CA21EA">
        <w:rPr>
          <w:iCs/>
          <w:color w:val="343434"/>
          <w:kern w:val="0"/>
          <w:sz w:val="24"/>
          <w:szCs w:val="24"/>
        </w:rPr>
        <w:t xml:space="preserve">both </w:t>
      </w:r>
      <w:r w:rsidR="00DB76A1">
        <w:rPr>
          <w:iCs/>
          <w:color w:val="343434"/>
          <w:kern w:val="0"/>
          <w:sz w:val="24"/>
          <w:szCs w:val="24"/>
        </w:rPr>
        <w:t>dose level 4</w:t>
      </w:r>
      <w:r w:rsidR="00CA21EA">
        <w:rPr>
          <w:iCs/>
          <w:color w:val="343434"/>
          <w:kern w:val="0"/>
          <w:sz w:val="24"/>
          <w:szCs w:val="24"/>
        </w:rPr>
        <w:t>.</w:t>
      </w:r>
      <w:r w:rsidR="00DB76A1">
        <w:rPr>
          <w:iCs/>
          <w:color w:val="343434"/>
          <w:kern w:val="0"/>
          <w:sz w:val="24"/>
          <w:szCs w:val="24"/>
        </w:rPr>
        <w:t xml:space="preserve"> </w:t>
      </w:r>
      <w:r w:rsidR="00173CF0">
        <w:rPr>
          <w:rFonts w:hint="eastAsia"/>
          <w:iCs/>
          <w:color w:val="343434"/>
          <w:kern w:val="0"/>
          <w:sz w:val="24"/>
          <w:szCs w:val="24"/>
        </w:rPr>
        <w:t>F</w:t>
      </w:r>
      <w:r w:rsidR="00173CF0">
        <w:rPr>
          <w:iCs/>
          <w:color w:val="343434"/>
          <w:kern w:val="0"/>
          <w:sz w:val="24"/>
          <w:szCs w:val="24"/>
        </w:rPr>
        <w:t>or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062F3B">
        <w:rPr>
          <w:iCs/>
          <w:color w:val="343434"/>
          <w:kern w:val="0"/>
          <w:sz w:val="24"/>
          <w:szCs w:val="24"/>
        </w:rPr>
        <w:t>EWOC and EWOUC</w:t>
      </w:r>
      <w:r w:rsidR="008D36BC">
        <w:rPr>
          <w:iCs/>
          <w:color w:val="343434"/>
          <w:kern w:val="0"/>
          <w:sz w:val="24"/>
          <w:szCs w:val="24"/>
        </w:rPr>
        <w:t xml:space="preserve"> designs</w:t>
      </w:r>
      <w:r w:rsidR="00062F3B">
        <w:rPr>
          <w:iCs/>
          <w:color w:val="343434"/>
          <w:kern w:val="0"/>
          <w:sz w:val="24"/>
          <w:szCs w:val="24"/>
        </w:rPr>
        <w:t>.</w:t>
      </w:r>
      <w:r w:rsidR="001F51DF">
        <w:rPr>
          <w:iCs/>
          <w:color w:val="343434"/>
          <w:kern w:val="0"/>
          <w:sz w:val="24"/>
          <w:szCs w:val="24"/>
        </w:rPr>
        <w:t xml:space="preserve"> However, it is </w:t>
      </w:r>
      <w:r w:rsidR="008D36BC">
        <w:rPr>
          <w:iCs/>
          <w:color w:val="343434"/>
          <w:kern w:val="0"/>
          <w:sz w:val="24"/>
          <w:szCs w:val="24"/>
        </w:rPr>
        <w:t xml:space="preserve">still </w:t>
      </w:r>
      <w:r w:rsidR="001F51DF">
        <w:rPr>
          <w:rFonts w:hint="eastAsia"/>
          <w:iCs/>
          <w:color w:val="343434"/>
          <w:kern w:val="0"/>
          <w:sz w:val="24"/>
          <w:szCs w:val="24"/>
        </w:rPr>
        <w:t>r</w:t>
      </w:r>
      <w:r w:rsidR="001F51DF">
        <w:rPr>
          <w:iCs/>
          <w:color w:val="343434"/>
          <w:kern w:val="0"/>
          <w:sz w:val="24"/>
          <w:szCs w:val="24"/>
        </w:rPr>
        <w:t xml:space="preserve">easonable, </w:t>
      </w:r>
      <w:r w:rsidR="0040480B">
        <w:rPr>
          <w:iCs/>
          <w:color w:val="343434"/>
          <w:kern w:val="0"/>
          <w:sz w:val="24"/>
          <w:szCs w:val="24"/>
        </w:rPr>
        <w:t xml:space="preserve">as it reaches the highest value of utility and </w:t>
      </w:r>
      <w:r w:rsidR="002C7D42">
        <w:rPr>
          <w:iCs/>
          <w:color w:val="343434"/>
          <w:kern w:val="0"/>
          <w:sz w:val="24"/>
          <w:szCs w:val="24"/>
        </w:rPr>
        <w:t xml:space="preserve">satisfies the over-dose </w:t>
      </w:r>
      <w:r w:rsidR="002C7D42">
        <w:rPr>
          <w:iCs/>
          <w:color w:val="343434"/>
          <w:kern w:val="0"/>
          <w:sz w:val="24"/>
          <w:szCs w:val="24"/>
        </w:rPr>
        <w:lastRenderedPageBreak/>
        <w:t>and under-dose control.</w:t>
      </w:r>
      <w:r w:rsidR="00284A18">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EWOUC-NETS design </w:t>
      </w:r>
      <w:r w:rsidR="004C01EA">
        <w:rPr>
          <w:iCs/>
          <w:color w:val="343434"/>
          <w:kern w:val="0"/>
          <w:sz w:val="24"/>
          <w:szCs w:val="24"/>
        </w:rPr>
        <w:t xml:space="preserve">has better toxicity-efficacy trade off </w:t>
      </w:r>
      <w:r w:rsidR="007B666A">
        <w:rPr>
          <w:iCs/>
          <w:color w:val="343434"/>
          <w:kern w:val="0"/>
          <w:sz w:val="24"/>
          <w:szCs w:val="24"/>
        </w:rPr>
        <w:t>at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EWOUC-comp design. </w:t>
      </w:r>
      <w:r w:rsidR="005752F8">
        <w:rPr>
          <w:iCs/>
          <w:color w:val="343434"/>
          <w:kern w:val="0"/>
          <w:sz w:val="24"/>
          <w:szCs w:val="24"/>
        </w:rPr>
        <w:t>EWOUC-NETS has the same recommended dose levels with EWOUC-Comp and EWOC in S2.</w:t>
      </w:r>
      <w:r w:rsidR="00D463F6">
        <w:rPr>
          <w:rFonts w:hint="eastAsia"/>
          <w:iCs/>
          <w:color w:val="343434"/>
          <w:kern w:val="0"/>
          <w:sz w:val="24"/>
          <w:szCs w:val="24"/>
        </w:rPr>
        <w:t xml:space="preserve"> </w:t>
      </w:r>
      <w:r w:rsidR="00D463F6">
        <w:rPr>
          <w:iCs/>
          <w:color w:val="343434"/>
          <w:kern w:val="0"/>
          <w:sz w:val="24"/>
          <w:szCs w:val="24"/>
        </w:rPr>
        <w:t>The dose identified</w:t>
      </w:r>
      <w:r w:rsidR="00C01735">
        <w:rPr>
          <w:iCs/>
          <w:color w:val="343434"/>
          <w:kern w:val="0"/>
          <w:sz w:val="24"/>
          <w:szCs w:val="24"/>
        </w:rPr>
        <w:t xml:space="preserve"> percentage</w:t>
      </w:r>
      <w:r w:rsidR="00FA76AF">
        <w:rPr>
          <w:iCs/>
          <w:color w:val="343434"/>
          <w:kern w:val="0"/>
          <w:sz w:val="24"/>
          <w:szCs w:val="24"/>
        </w:rPr>
        <w:t>s for the OUD by the EWOUC-NETS-Comp</w:t>
      </w:r>
      <w:r w:rsidR="003462E7">
        <w:rPr>
          <w:iCs/>
          <w:color w:val="343434"/>
          <w:kern w:val="0"/>
          <w:sz w:val="24"/>
          <w:szCs w:val="24"/>
        </w:rPr>
        <w:t xml:space="preserve"> are </w:t>
      </w:r>
      <w:r w:rsidR="00CD0D86">
        <w:rPr>
          <w:iCs/>
          <w:color w:val="343434"/>
          <w:kern w:val="0"/>
          <w:sz w:val="24"/>
          <w:szCs w:val="24"/>
        </w:rPr>
        <w:t>72</w:t>
      </w:r>
      <w:r w:rsidR="002C27D7">
        <w:rPr>
          <w:iCs/>
          <w:color w:val="343434"/>
          <w:kern w:val="0"/>
          <w:sz w:val="24"/>
          <w:szCs w:val="24"/>
        </w:rPr>
        <w:t>.7</w:t>
      </w:r>
      <w:r w:rsidR="00CD0D86">
        <w:rPr>
          <w:iCs/>
          <w:color w:val="343434"/>
          <w:kern w:val="0"/>
          <w:sz w:val="24"/>
          <w:szCs w:val="24"/>
        </w:rPr>
        <w:t>%</w:t>
      </w:r>
      <w:r w:rsidR="00EF6F57">
        <w:rPr>
          <w:iCs/>
          <w:color w:val="343434"/>
          <w:kern w:val="0"/>
          <w:sz w:val="24"/>
          <w:szCs w:val="24"/>
        </w:rPr>
        <w:t xml:space="preserve"> </w:t>
      </w:r>
      <w:r w:rsidR="002C27D7">
        <w:rPr>
          <w:rFonts w:hint="eastAsia"/>
          <w:iCs/>
          <w:color w:val="343434"/>
          <w:kern w:val="0"/>
          <w:sz w:val="24"/>
          <w:szCs w:val="24"/>
        </w:rPr>
        <w:t>an</w:t>
      </w:r>
      <w:r w:rsidR="002C27D7">
        <w:rPr>
          <w:iCs/>
          <w:color w:val="343434"/>
          <w:kern w:val="0"/>
          <w:sz w:val="24"/>
          <w:szCs w:val="24"/>
        </w:rPr>
        <w:t>d 83.0%</w:t>
      </w:r>
      <w:r w:rsidR="00B656A3">
        <w:rPr>
          <w:iCs/>
          <w:color w:val="343434"/>
          <w:kern w:val="0"/>
          <w:sz w:val="24"/>
          <w:szCs w:val="24"/>
        </w:rPr>
        <w:t xml:space="preserve"> for S1</w:t>
      </w:r>
      <w:r w:rsidR="00EF6F57">
        <w:rPr>
          <w:iCs/>
          <w:color w:val="343434"/>
          <w:kern w:val="0"/>
          <w:sz w:val="24"/>
          <w:szCs w:val="24"/>
        </w:rPr>
        <w:t xml:space="preserve"> and</w:t>
      </w:r>
      <w:r w:rsidR="00B656A3">
        <w:rPr>
          <w:iCs/>
          <w:color w:val="343434"/>
          <w:kern w:val="0"/>
          <w:sz w:val="24"/>
          <w:szCs w:val="24"/>
        </w:rPr>
        <w:t xml:space="preserve"> S2, respectively. Since no targeted dose found in S</w:t>
      </w:r>
      <w:r w:rsidR="00561FDB">
        <w:rPr>
          <w:iCs/>
          <w:color w:val="343434"/>
          <w:kern w:val="0"/>
          <w:sz w:val="24"/>
          <w:szCs w:val="24"/>
        </w:rPr>
        <w:t>3</w:t>
      </w:r>
      <w:r w:rsidR="00B656A3">
        <w:rPr>
          <w:iCs/>
          <w:color w:val="343434"/>
          <w:kern w:val="0"/>
          <w:sz w:val="24"/>
          <w:szCs w:val="24"/>
        </w:rPr>
        <w:t>, the trial should be terminated early under S</w:t>
      </w:r>
      <w:r w:rsidR="00561FDB">
        <w:rPr>
          <w:iCs/>
          <w:color w:val="343434"/>
          <w:kern w:val="0"/>
          <w:sz w:val="24"/>
          <w:szCs w:val="24"/>
        </w:rPr>
        <w:t>3</w:t>
      </w:r>
      <w:r w:rsidR="00B656A3">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in the future clinical studies. The dose level selected by EWOUC-Comp and EWOUC-NETS are less toxic since they </w:t>
      </w:r>
      <w:proofErr w:type="gramStart"/>
      <w:r w:rsidR="002126B3">
        <w:rPr>
          <w:iCs/>
          <w:color w:val="343434"/>
          <w:kern w:val="0"/>
          <w:sz w:val="24"/>
          <w:szCs w:val="24"/>
        </w:rPr>
        <w:t>take into account</w:t>
      </w:r>
      <w:proofErr w:type="gramEnd"/>
      <w:r w:rsidR="002126B3">
        <w:rPr>
          <w:iCs/>
          <w:color w:val="343434"/>
          <w:kern w:val="0"/>
          <w:sz w:val="24"/>
          <w:szCs w:val="24"/>
        </w:rPr>
        <w:t xml:space="preserve"> the minimum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EWOUC-NETS provides a more reasonable result </w:t>
      </w:r>
      <w:r w:rsidR="007B666A">
        <w:rPr>
          <w:iCs/>
          <w:color w:val="343434"/>
          <w:kern w:val="0"/>
          <w:sz w:val="24"/>
          <w:szCs w:val="24"/>
        </w:rPr>
        <w:t xml:space="preserve">in S1 </w:t>
      </w:r>
      <w:r w:rsidR="002126B3">
        <w:rPr>
          <w:iCs/>
          <w:color w:val="343434"/>
          <w:kern w:val="0"/>
          <w:sz w:val="24"/>
          <w:szCs w:val="24"/>
        </w:rPr>
        <w:t xml:space="preserve">than EWOUC-Comp as </w:t>
      </w:r>
      <w:r w:rsidR="0033188E">
        <w:rPr>
          <w:iCs/>
          <w:color w:val="343434"/>
          <w:kern w:val="0"/>
          <w:sz w:val="24"/>
          <w:szCs w:val="24"/>
        </w:rPr>
        <w:t>the dose level remains within the acceptable dose set but with higher dosage, which is usually more efficacious</w:t>
      </w:r>
      <w:r w:rsidR="002126B3">
        <w:rPr>
          <w:iCs/>
          <w:color w:val="343434"/>
          <w:kern w:val="0"/>
          <w:sz w:val="24"/>
          <w:szCs w:val="24"/>
        </w:rPr>
        <w:t>.</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57240672"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are summarized in Table 1</w:t>
      </w:r>
      <w:r w:rsidR="00B61A84" w:rsidRPr="008D36BC">
        <w:rPr>
          <w:iCs/>
          <w:color w:val="343434"/>
          <w:kern w:val="0"/>
          <w:sz w:val="24"/>
          <w:szCs w:val="24"/>
        </w:rPr>
        <w:t xml:space="preserve"> and Table 2,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 EWOUC-comp, EWOUC-NW and EWOUC-DA, 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w:t>
      </w:r>
      <w:r w:rsidR="00B92F42" w:rsidRPr="008D36BC">
        <w:rPr>
          <w:iCs/>
          <w:color w:val="343434"/>
          <w:kern w:val="0"/>
          <w:sz w:val="24"/>
          <w:szCs w:val="24"/>
        </w:rPr>
        <w:lastRenderedPageBreak/>
        <w:t xml:space="preserve">and average NETS can be compared in a rough sense. </w:t>
      </w:r>
      <w:r w:rsidR="009B654B" w:rsidRPr="008D36BC">
        <w:rPr>
          <w:iCs/>
          <w:color w:val="343434"/>
          <w:kern w:val="0"/>
          <w:sz w:val="24"/>
          <w:szCs w:val="24"/>
        </w:rPr>
        <w:t>Under S1 and S2, the average NETS of EWOUC-NETS are much lower than the DLT rates of all four</w:t>
      </w:r>
      <w:r w:rsidR="00736601" w:rsidRPr="008D36BC">
        <w:rPr>
          <w:iCs/>
          <w:color w:val="343434"/>
          <w:kern w:val="0"/>
          <w:sz w:val="24"/>
          <w:szCs w:val="24"/>
        </w:rPr>
        <w:t xml:space="preserve"> previous designs.</w:t>
      </w:r>
      <w:r w:rsidR="00A54B37" w:rsidRPr="008D36BC">
        <w:rPr>
          <w:iCs/>
          <w:color w:val="343434"/>
          <w:kern w:val="0"/>
          <w:sz w:val="24"/>
          <w:szCs w:val="24"/>
        </w:rPr>
        <w:t xml:space="preserve"> However, under S3, the average NETS is </w:t>
      </w:r>
      <w:r w:rsidR="005B7025" w:rsidRPr="008D36BC">
        <w:rPr>
          <w:iCs/>
          <w:color w:val="343434"/>
          <w:kern w:val="0"/>
          <w:sz w:val="24"/>
          <w:szCs w:val="24"/>
        </w:rPr>
        <w:t>relatively higher than DLTS rates of all others</w:t>
      </w:r>
      <w:r w:rsidR="002E4E7F" w:rsidRPr="008D36BC">
        <w:rPr>
          <w:iCs/>
          <w:color w:val="343434"/>
          <w:kern w:val="0"/>
          <w:sz w:val="24"/>
          <w:szCs w:val="24"/>
        </w:rPr>
        <w:t xml:space="preserve">, </w:t>
      </w:r>
      <w:r w:rsidR="002E4E7F" w:rsidRPr="008D36BC">
        <w:rPr>
          <w:rFonts w:hint="eastAsia"/>
          <w:iCs/>
          <w:color w:val="343434"/>
          <w:kern w:val="0"/>
          <w:sz w:val="24"/>
          <w:szCs w:val="24"/>
        </w:rPr>
        <w:t>and</w:t>
      </w:r>
      <w:r w:rsidR="002E4E7F" w:rsidRPr="008D36BC">
        <w:rPr>
          <w:iCs/>
          <w:color w:val="343434"/>
          <w:kern w:val="0"/>
          <w:sz w:val="24"/>
          <w:szCs w:val="24"/>
        </w:rPr>
        <w:t xml:space="preserve"> closest to the DLT rate of EWOUC-comp. Under each scenario, </w:t>
      </w:r>
      <w:r w:rsidR="00687058" w:rsidRPr="008D36BC">
        <w:rPr>
          <w:iCs/>
          <w:color w:val="343434"/>
          <w:kern w:val="0"/>
          <w:sz w:val="24"/>
          <w:szCs w:val="24"/>
        </w:rPr>
        <w:t>EWOUC-NETS has the highest expected utility.</w:t>
      </w:r>
      <w:r w:rsidR="001110A8" w:rsidRPr="008D36BC">
        <w:rPr>
          <w:rFonts w:hint="eastAsia"/>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utility calculated using EWOUC-NETS is more precise to reflect the therapeutic effects. </w:t>
      </w:r>
      <w:r w:rsidR="008D36BC">
        <w:rPr>
          <w:iCs/>
          <w:color w:val="343434"/>
          <w:kern w:val="0"/>
          <w:sz w:val="24"/>
          <w:szCs w:val="24"/>
        </w:rPr>
        <w:t xml:space="preserve">The performance of EWOUC-NETS is 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EWOUC-comp as </w:t>
      </w:r>
      <w:r w:rsidR="00425C8D">
        <w:rPr>
          <w:iCs/>
          <w:color w:val="343434"/>
          <w:kern w:val="0"/>
          <w:sz w:val="24"/>
          <w:szCs w:val="24"/>
        </w:rPr>
        <w:t>they</w:t>
      </w:r>
      <w:r w:rsidR="00136580">
        <w:rPr>
          <w:iCs/>
          <w:color w:val="343434"/>
          <w:kern w:val="0"/>
          <w:sz w:val="24"/>
          <w:szCs w:val="24"/>
        </w:rPr>
        <w:t xml:space="preserve"> are </w:t>
      </w:r>
      <w:r w:rsidR="00425C8D">
        <w:rPr>
          <w:iCs/>
          <w:color w:val="343434"/>
          <w:kern w:val="0"/>
          <w:sz w:val="24"/>
          <w:szCs w:val="24"/>
        </w:rPr>
        <w:t xml:space="preserve">all </w:t>
      </w:r>
      <w:r w:rsidR="00136580">
        <w:rPr>
          <w:iCs/>
          <w:color w:val="343434"/>
          <w:kern w:val="0"/>
          <w:sz w:val="24"/>
          <w:szCs w:val="24"/>
        </w:rPr>
        <w:t xml:space="preserve">based on </w:t>
      </w:r>
      <w:r w:rsidR="000F339F">
        <w:rPr>
          <w:iCs/>
          <w:color w:val="343434"/>
          <w:kern w:val="0"/>
          <w:sz w:val="24"/>
          <w:szCs w:val="24"/>
        </w:rPr>
        <w:t>completely</w:t>
      </w:r>
      <w:r w:rsidR="00136580">
        <w:rPr>
          <w:rFonts w:hint="eastAsia"/>
          <w:iCs/>
          <w:color w:val="343434"/>
          <w:kern w:val="0"/>
          <w:sz w:val="24"/>
          <w:szCs w:val="24"/>
        </w:rPr>
        <w:t xml:space="preserve"> </w:t>
      </w:r>
      <w:r w:rsidR="00136580">
        <w:rPr>
          <w:iCs/>
          <w:color w:val="343434"/>
          <w:kern w:val="0"/>
          <w:sz w:val="24"/>
          <w:szCs w:val="24"/>
        </w:rPr>
        <w:t>observed clinical data.</w:t>
      </w:r>
      <w:r w:rsidR="000F339F">
        <w:rPr>
          <w:iCs/>
          <w:color w:val="343434"/>
          <w:kern w:val="0"/>
          <w:sz w:val="24"/>
          <w:szCs w:val="24"/>
        </w:rPr>
        <w:t xml:space="preserve"> Under</w:t>
      </w:r>
      <w:r w:rsidR="00FD7CF0">
        <w:rPr>
          <w:iCs/>
          <w:color w:val="343434"/>
          <w:kern w:val="0"/>
          <w:sz w:val="24"/>
          <w:szCs w:val="24"/>
        </w:rPr>
        <w:t xml:space="preserve"> S1 and S2, most patients are treated at the OUD</w:t>
      </w:r>
      <w:r w:rsidR="00312309">
        <w:rPr>
          <w:iCs/>
          <w:color w:val="343434"/>
          <w:kern w:val="0"/>
          <w:sz w:val="24"/>
          <w:szCs w:val="24"/>
        </w:rPr>
        <w:t>, with 51.78% in S1 and 57.36% in S2</w:t>
      </w:r>
      <w:r w:rsidR="00B620B1">
        <w:rPr>
          <w:iCs/>
          <w:color w:val="343434"/>
          <w:kern w:val="0"/>
          <w:sz w:val="24"/>
          <w:szCs w:val="24"/>
        </w:rPr>
        <w:t>, respectively</w:t>
      </w:r>
      <w:r w:rsidR="00FD7CF0">
        <w:rPr>
          <w:iCs/>
          <w:color w:val="343434"/>
          <w:kern w:val="0"/>
          <w:sz w:val="24"/>
          <w:szCs w:val="24"/>
        </w:rPr>
        <w:t>.</w:t>
      </w:r>
      <w:r w:rsidR="00312309">
        <w:rPr>
          <w:iCs/>
          <w:color w:val="343434"/>
          <w:kern w:val="0"/>
          <w:sz w:val="24"/>
          <w:szCs w:val="24"/>
        </w:rPr>
        <w:t xml:space="preserve">  </w:t>
      </w:r>
      <w:r w:rsidR="00B620B1">
        <w:rPr>
          <w:iCs/>
          <w:color w:val="343434"/>
          <w:kern w:val="0"/>
          <w:sz w:val="24"/>
          <w:szCs w:val="24"/>
        </w:rPr>
        <w:t>Additionally, it is also found that</w:t>
      </w:r>
      <w:r w:rsidR="00C37C8E">
        <w:rPr>
          <w:iCs/>
          <w:color w:val="343434"/>
          <w:kern w:val="0"/>
          <w:sz w:val="24"/>
          <w:szCs w:val="24"/>
        </w:rPr>
        <w:t xml:space="preserve"> the second largest proportion of patients are treated at the dose level lower and next to the OUD, with 31.27% in S1 and 24.63% in S2, respectively. This is due to the utilization of 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EWOC treats the largest portion of patients at the same dose level as EWOUC-NETS in S1, the percentage of patients treated at MTD, which is above the OUD, is still very high. </w:t>
      </w:r>
      <w:r w:rsidR="004D7CFE">
        <w:rPr>
          <w:iCs/>
          <w:color w:val="343434"/>
          <w:kern w:val="0"/>
          <w:sz w:val="24"/>
          <w:szCs w:val="24"/>
        </w:rPr>
        <w:t xml:space="preserve">Meanwhile, the MED under S1 is assumed to be dose level 2. For EWOUC-NETS design, </w:t>
      </w:r>
      <w:r w:rsidR="006223BC">
        <w:rPr>
          <w:iCs/>
          <w:color w:val="343434"/>
          <w:kern w:val="0"/>
          <w:sz w:val="24"/>
          <w:szCs w:val="24"/>
        </w:rPr>
        <w:t>91</w:t>
      </w:r>
      <w:r w:rsidR="004D7CFE">
        <w:rPr>
          <w:iCs/>
          <w:color w:val="343434"/>
          <w:kern w:val="0"/>
          <w:sz w:val="24"/>
          <w:szCs w:val="24"/>
        </w:rPr>
        <w:t>.</w:t>
      </w:r>
      <w:r w:rsidR="006223BC">
        <w:rPr>
          <w:iCs/>
          <w:color w:val="343434"/>
          <w:kern w:val="0"/>
          <w:sz w:val="24"/>
          <w:szCs w:val="24"/>
        </w:rPr>
        <w:t>67</w:t>
      </w:r>
      <w:r w:rsidR="004D7CFE">
        <w:rPr>
          <w:iCs/>
          <w:color w:val="343434"/>
          <w:kern w:val="0"/>
          <w:sz w:val="24"/>
          <w:szCs w:val="24"/>
        </w:rPr>
        <w:t xml:space="preserve">% and </w:t>
      </w:r>
      <w:r w:rsidR="006D276D">
        <w:rPr>
          <w:iCs/>
          <w:color w:val="343434"/>
          <w:kern w:val="0"/>
          <w:sz w:val="24"/>
          <w:szCs w:val="24"/>
        </w:rPr>
        <w:t>83</w:t>
      </w:r>
      <w:r w:rsidR="004D7CFE">
        <w:rPr>
          <w:iCs/>
          <w:color w:val="343434"/>
          <w:kern w:val="0"/>
          <w:sz w:val="24"/>
          <w:szCs w:val="24"/>
        </w:rPr>
        <w:t>.</w:t>
      </w:r>
      <w:r w:rsidR="006D276D">
        <w:rPr>
          <w:iCs/>
          <w:color w:val="343434"/>
          <w:kern w:val="0"/>
          <w:sz w:val="24"/>
          <w:szCs w:val="24"/>
        </w:rPr>
        <w:t>21</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 xml:space="preserve">tients are treated </w:t>
      </w:r>
      <w:r w:rsidR="006223BC">
        <w:rPr>
          <w:iCs/>
          <w:color w:val="343434"/>
          <w:kern w:val="0"/>
          <w:sz w:val="24"/>
          <w:szCs w:val="24"/>
        </w:rPr>
        <w:t xml:space="preserve">equal or </w:t>
      </w:r>
      <w:r w:rsidR="004D7CFE">
        <w:rPr>
          <w:iCs/>
          <w:color w:val="343434"/>
          <w:kern w:val="0"/>
          <w:sz w:val="24"/>
          <w:szCs w:val="24"/>
        </w:rPr>
        <w:t>above the MED under S1 and S2, respectively</w:t>
      </w:r>
      <w:r w:rsidR="00AD3AD0">
        <w:rPr>
          <w:iCs/>
          <w:color w:val="343434"/>
          <w:kern w:val="0"/>
          <w:sz w:val="24"/>
          <w:szCs w:val="24"/>
        </w:rPr>
        <w:t xml:space="preserve">. EWOC and EWOUC-comp have relatively </w:t>
      </w:r>
      <w:r w:rsidR="006D276D">
        <w:rPr>
          <w:iCs/>
          <w:color w:val="343434"/>
          <w:kern w:val="0"/>
          <w:sz w:val="24"/>
          <w:szCs w:val="24"/>
        </w:rPr>
        <w:t>smaller</w:t>
      </w:r>
      <w:r w:rsidR="00AD3AD0">
        <w:rPr>
          <w:iCs/>
          <w:color w:val="343434"/>
          <w:kern w:val="0"/>
          <w:sz w:val="24"/>
          <w:szCs w:val="24"/>
        </w:rPr>
        <w:t xml:space="preserve"> portion of patients treated </w:t>
      </w:r>
      <w:r w:rsidR="006D276D">
        <w:rPr>
          <w:iCs/>
          <w:color w:val="343434"/>
          <w:kern w:val="0"/>
          <w:sz w:val="24"/>
          <w:szCs w:val="24"/>
        </w:rPr>
        <w:t>above</w:t>
      </w:r>
      <w:r w:rsidR="00AD3AD0">
        <w:rPr>
          <w:iCs/>
          <w:color w:val="343434"/>
          <w:kern w:val="0"/>
          <w:sz w:val="24"/>
          <w:szCs w:val="24"/>
        </w:rPr>
        <w:t xml:space="preserve"> the MED (S1: EWOC-</w:t>
      </w:r>
      <w:r w:rsidR="006D276D">
        <w:rPr>
          <w:iCs/>
          <w:color w:val="343434"/>
          <w:kern w:val="0"/>
          <w:sz w:val="24"/>
          <w:szCs w:val="24"/>
        </w:rPr>
        <w:t>79.24</w:t>
      </w:r>
      <w:r w:rsidR="00AD3AD0">
        <w:rPr>
          <w:iCs/>
          <w:color w:val="343434"/>
          <w:kern w:val="0"/>
          <w:sz w:val="24"/>
          <w:szCs w:val="24"/>
        </w:rPr>
        <w:t>%</w:t>
      </w:r>
      <w:r w:rsidR="006D276D">
        <w:rPr>
          <w:iCs/>
          <w:color w:val="343434"/>
          <w:kern w:val="0"/>
          <w:sz w:val="24"/>
          <w:szCs w:val="24"/>
        </w:rPr>
        <w:t xml:space="preserve"> and EWOUC-comp-</w:t>
      </w:r>
      <w:r w:rsidR="00CC0E63">
        <w:rPr>
          <w:iCs/>
          <w:color w:val="343434"/>
          <w:kern w:val="0"/>
          <w:sz w:val="24"/>
          <w:szCs w:val="24"/>
        </w:rPr>
        <w:t>91.3%</w:t>
      </w:r>
      <w:r w:rsidR="006D276D">
        <w:rPr>
          <w:iCs/>
          <w:color w:val="343434"/>
          <w:kern w:val="0"/>
          <w:sz w:val="24"/>
          <w:szCs w:val="24"/>
        </w:rPr>
        <w:t>; S2: EWOC-81.38%</w:t>
      </w:r>
      <w:r w:rsidR="00CC0E63">
        <w:rPr>
          <w:iCs/>
          <w:color w:val="343434"/>
          <w:kern w:val="0"/>
          <w:sz w:val="24"/>
          <w:szCs w:val="24"/>
        </w:rPr>
        <w:t xml:space="preserve"> and EWOUC-comp-80.95%</w:t>
      </w:r>
      <w:r w:rsidR="00AD3AD0">
        <w:rPr>
          <w:iCs/>
          <w:color w:val="343434"/>
          <w:kern w:val="0"/>
          <w:sz w:val="24"/>
          <w:szCs w:val="24"/>
        </w:rPr>
        <w:t xml:space="preserve">). </w:t>
      </w:r>
      <w:r w:rsidR="00CC0E63">
        <w:rPr>
          <w:iCs/>
          <w:color w:val="343434"/>
          <w:kern w:val="0"/>
          <w:sz w:val="24"/>
          <w:szCs w:val="24"/>
        </w:rPr>
        <w:t xml:space="preserve">This also implies that the under-dose control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 xml:space="preserve">lso, in S2, EWOC design treats patients mostly at dose level 5 (the MTD) while </w:t>
      </w:r>
      <w:r w:rsidR="00425C8D">
        <w:rPr>
          <w:iCs/>
          <w:color w:val="343434"/>
          <w:kern w:val="0"/>
          <w:sz w:val="24"/>
          <w:szCs w:val="24"/>
        </w:rPr>
        <w:lastRenderedPageBreak/>
        <w:t>patients in EWOUC-comp and EWOUC-NETS designs are mostly treated at dose level 4. Hence, the risk of over-dosing for patients is reduced when using EWOUC and EWOUC-NETS designs and the minimum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 xml:space="preserve">WOUC-comp also accounts for over-dose and under-dose controls, the accuracy of identifying the OUD is lower than EWOUC-NETS, as most information is discarded if using binary dual endpoints. Under S3, </w:t>
      </w:r>
      <w:r w:rsidR="00B333D4">
        <w:rPr>
          <w:iCs/>
          <w:color w:val="343434"/>
          <w:kern w:val="0"/>
          <w:sz w:val="24"/>
          <w:szCs w:val="24"/>
        </w:rPr>
        <w:t xml:space="preserve">the MTD is set to be dose level 2, however, EWOUC-comp design still has 14.09% patients treated above the MTD while EWOUC-NETS only has 5.06%. Thus, EWOUC-NETS is more trustable in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372B2590" w:rsidR="00F670F9" w:rsidRDefault="00F670F9" w:rsidP="00F670F9">
      <w:pPr>
        <w:spacing w:after="0"/>
        <w:ind w:firstLine="360"/>
        <w:rPr>
          <w:color w:val="343434"/>
          <w:kern w:val="0"/>
          <w:sz w:val="24"/>
          <w:szCs w:val="24"/>
        </w:rPr>
      </w:pPr>
      <w:r w:rsidRPr="00F670F9">
        <w:rPr>
          <w:iCs/>
          <w:color w:val="343434"/>
          <w:kern w:val="0"/>
          <w:sz w:val="24"/>
          <w:szCs w:val="24"/>
        </w:rPr>
        <w:lastRenderedPageBreak/>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w:t>
      </w:r>
      <w:proofErr w:type="spellStart"/>
      <w:r w:rsidR="006F30CD">
        <w:rPr>
          <w:iCs/>
          <w:color w:val="343434"/>
          <w:kern w:val="0"/>
          <w:sz w:val="24"/>
          <w:szCs w:val="24"/>
        </w:rPr>
        <w:t>everolimus</w:t>
      </w:r>
      <w:proofErr w:type="spellEnd"/>
      <w:r w:rsidR="006F30CD">
        <w:rPr>
          <w:iCs/>
          <w:color w:val="343434"/>
          <w:kern w:val="0"/>
          <w:sz w:val="24"/>
          <w:szCs w:val="24"/>
        </w:rPr>
        <w:t xml:space="preserve">,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proofErr w:type="spellStart"/>
      <w:r w:rsidR="00245A7B">
        <w:rPr>
          <w:iCs/>
          <w:color w:val="343434"/>
          <w:kern w:val="0"/>
          <w:sz w:val="24"/>
          <w:szCs w:val="24"/>
        </w:rPr>
        <w:t>ts</w:t>
      </w:r>
      <w:proofErr w:type="spellEnd"/>
      <w:r w:rsidR="00245A7B">
        <w:rPr>
          <w:iCs/>
          <w:color w:val="343434"/>
          <w:kern w:val="0"/>
          <w:sz w:val="24"/>
          <w:szCs w:val="24"/>
        </w:rPr>
        <w:t xml:space="preserve">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xml:space="preserve">, at the starting dose level, are chosen as 0.03 and 0.08, respectively. Furthermore, based on the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the trial will be terminated early.</w:t>
      </w:r>
      <w:r w:rsidR="00F7581A">
        <w:rPr>
          <w:color w:val="343434"/>
          <w:kern w:val="0"/>
          <w:sz w:val="24"/>
          <w:szCs w:val="24"/>
        </w:rPr>
        <w:t xml:space="preserve"> Otherwise, patients will be treated at the MTD for under-dose 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4767596C" w:rsidR="003764AB" w:rsidRPr="00F670F9" w:rsidRDefault="003764AB" w:rsidP="00F670F9">
      <w:pPr>
        <w:spacing w:after="0"/>
        <w:ind w:firstLine="360"/>
        <w:rPr>
          <w:b/>
          <w:bCs/>
          <w:i/>
          <w:color w:val="343434"/>
          <w:kern w:val="0"/>
          <w:sz w:val="24"/>
          <w:szCs w:val="24"/>
        </w:rPr>
      </w:pPr>
      <w:r>
        <w:rPr>
          <w:color w:val="343434"/>
          <w:kern w:val="0"/>
          <w:sz w:val="24"/>
          <w:szCs w:val="24"/>
        </w:rPr>
        <w:t xml:space="preserve">The dose level 3 is assumed to be the OUD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W=1</m:t>
        </m:r>
      </m:oMath>
      <w:r w:rsidR="00503DF3">
        <w:rPr>
          <w:color w:val="343434"/>
          <w:kern w:val="0"/>
          <w:sz w:val="24"/>
          <w:szCs w:val="24"/>
        </w:rPr>
        <w:t xml:space="preserve"> is chosen in the utility function. Other operating characteristics </w:t>
      </w:r>
      <w:r w:rsidR="00503DF3">
        <w:rPr>
          <w:color w:val="343434"/>
          <w:kern w:val="0"/>
          <w:sz w:val="24"/>
          <w:szCs w:val="24"/>
        </w:rPr>
        <w:lastRenderedPageBreak/>
        <w:t>and details are summarized in Table 5.</w:t>
      </w:r>
      <w:r w:rsidR="004F39B8">
        <w:rPr>
          <w:color w:val="343434"/>
          <w:kern w:val="0"/>
          <w:sz w:val="24"/>
          <w:szCs w:val="24"/>
        </w:rPr>
        <w:t xml:space="preserve"> From the study result, we could see that EWOUC-NETS has the probability of approximately </w:t>
      </w:r>
      <w:r w:rsidR="00BA5DE0">
        <w:rPr>
          <w:color w:val="343434"/>
          <w:kern w:val="0"/>
          <w:sz w:val="24"/>
          <w:szCs w:val="24"/>
        </w:rPr>
        <w:t xml:space="preserve">82.50% to correctly identify the OUD. In the meantime, about 49.42% of patients are treated under the OUD, which is also the highest portion of patients that is treated under a certain dose level. </w:t>
      </w:r>
      <w:r w:rsidR="00BA5DE0" w:rsidRPr="00812D79">
        <w:rPr>
          <w:color w:val="343434"/>
          <w:kern w:val="0"/>
          <w:sz w:val="24"/>
          <w:szCs w:val="24"/>
        </w:rPr>
        <w:t>The expected (mean) utility is</w:t>
      </w:r>
      <w:r w:rsidR="00BA5DE0">
        <w:rPr>
          <w:color w:val="343434"/>
          <w:kern w:val="0"/>
          <w:sz w:val="24"/>
          <w:szCs w:val="24"/>
        </w:rPr>
        <w:t xml:space="preserve"> </w:t>
      </w:r>
      <w:r w:rsidR="00812D79">
        <w:rPr>
          <w:color w:val="343434"/>
          <w:kern w:val="0"/>
          <w:sz w:val="24"/>
          <w:szCs w:val="24"/>
        </w:rPr>
        <w:t>0.51.</w:t>
      </w:r>
      <w:r w:rsidR="00BA5DE0">
        <w:rPr>
          <w:color w:val="343434"/>
          <w:kern w:val="0"/>
          <w:sz w:val="24"/>
          <w:szCs w:val="24"/>
        </w:rPr>
        <w:t xml:space="preserve"> The average NETS of patients is around 0.048 and approximately 68.73% of patients will benefit from efficacy events based on our 1000 replicates.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70FB49EE"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w:t>
      </w:r>
      <w:r w:rsidR="00337C00">
        <w:rPr>
          <w:iCs/>
          <w:color w:val="343434"/>
          <w:kern w:val="0"/>
          <w:sz w:val="24"/>
          <w:szCs w:val="24"/>
        </w:rPr>
        <w:fldChar w:fldCharType="begin"/>
      </w:r>
      <w:r w:rsidR="00337C00">
        <w:rPr>
          <w:iCs/>
          <w:color w:val="343434"/>
          <w:kern w:val="0"/>
          <w:sz w:val="24"/>
          <w:szCs w:val="24"/>
        </w:rPr>
        <w:instrText xml:space="preserve"> ADDIN EN.CITE &lt;EndNote&gt;&lt;Cite&gt;&lt;Author&gt;Chen&lt;/Author&gt;&lt;Year&gt;2010&lt;/Year&gt;&lt;RecNum&gt;4&lt;/RecNum&gt;&lt;DisplayText&gt;[4]&lt;/DisplayText&gt;&lt;record&gt;&lt;rec-number&gt;4&lt;/rec-number&gt;&lt;foreign-keys&gt;&lt;key app="EN" db-id="9xewf2v90rdx2jefpsupd25g2atv55dersaf" timestamp="1629152101"&gt;4&lt;/key&gt;&lt;/foreign-keys&gt;&lt;ref-type name="Journal Article"&gt;17&lt;/ref-type&gt;&lt;contributors&gt;&lt;authors&gt;&lt;author&gt;Chen, Z.&lt;/author&gt;&lt;author&gt;Krailo, M. D.&lt;/author&gt;&lt;author&gt;Azen, S. P.&lt;/author&gt;&lt;author&gt;Tighiouart, M.&lt;/author&gt;&lt;/authors&gt;&lt;/contributors&gt;&lt;auth-address&gt;Rollins School of Public Health, Emory University, Atlanta, GA 30322, United States. zchen38@emory.edu&lt;/auth-address&gt;&lt;titles&gt;&lt;title&gt;A novel toxicity scoring system treating toxicity response as a quasi-continuous variable in Phase I clinical trials&lt;/title&gt;&lt;secondary-title&gt;Contemp Clin Trials&lt;/secondary-title&gt;&lt;/titles&gt;&lt;periodical&gt;&lt;full-title&gt;Contemp Clin Trials&lt;/full-title&gt;&lt;/periodical&gt;&lt;pages&gt;473-82&lt;/pages&gt;&lt;volume&gt;31&lt;/volume&gt;&lt;number&gt;5&lt;/number&gt;&lt;edition&gt;2010/07/09&lt;/edition&gt;&lt;keywords&gt;&lt;keyword&gt;Clinical Trials, Phase I as Topic/*methods&lt;/keyword&gt;&lt;keyword&gt;Computer Simulation&lt;/keyword&gt;&lt;keyword&gt;Dose-Response Relationship, Drug&lt;/keyword&gt;&lt;keyword&gt;*Drug-Related Side Effects and Adverse Reactions&lt;/keyword&gt;&lt;keyword&gt;Humans&lt;/keyword&gt;&lt;keyword&gt;Logistic Models&lt;/keyword&gt;&lt;keyword&gt;*Maximum Tolerated Dose&lt;/keyword&gt;&lt;keyword&gt;Research Design&lt;/keyword&gt;&lt;/keywords&gt;&lt;dates&gt;&lt;year&gt;2010&lt;/year&gt;&lt;pub-dates&gt;&lt;date&gt;Sep&lt;/date&gt;&lt;/pub-dates&gt;&lt;/dates&gt;&lt;isbn&gt;1559-2030 (Electronic)&amp;#xD;1551-7144 (Linking)&lt;/isbn&gt;&lt;accession-num&gt;20609419&lt;/accession-num&gt;&lt;urls&gt;&lt;related-urls&gt;&lt;url&gt;https://www.ncbi.nlm.nih.gov/pubmed/20609419&lt;/url&gt;&lt;/related-urls&gt;&lt;/urls&gt;&lt;custom2&gt;PMC4871599&lt;/custom2&gt;&lt;electronic-resource-num&gt;10.1016/j.cct.2010.05.010&lt;/electronic-resource-num&gt;&lt;/record&gt;&lt;/Cite&gt;&lt;/EndNote&gt;</w:instrText>
      </w:r>
      <w:r w:rsidR="00337C00">
        <w:rPr>
          <w:iCs/>
          <w:color w:val="343434"/>
          <w:kern w:val="0"/>
          <w:sz w:val="24"/>
          <w:szCs w:val="24"/>
        </w:rPr>
        <w:fldChar w:fldCharType="separate"/>
      </w:r>
      <w:r w:rsidR="00337C00">
        <w:rPr>
          <w:iCs/>
          <w:noProof/>
          <w:color w:val="343434"/>
          <w:kern w:val="0"/>
          <w:sz w:val="24"/>
          <w:szCs w:val="24"/>
        </w:rPr>
        <w:t>[</w:t>
      </w:r>
      <w:hyperlink w:anchor="_ENREF_4" w:tooltip="Chen, 2010 #4" w:history="1">
        <w:r w:rsidR="001D149F">
          <w:rPr>
            <w:iCs/>
            <w:noProof/>
            <w:color w:val="343434"/>
            <w:kern w:val="0"/>
            <w:sz w:val="24"/>
            <w:szCs w:val="24"/>
          </w:rPr>
          <w:t>4</w:t>
        </w:r>
      </w:hyperlink>
      <w:r w:rsidR="00337C00">
        <w:rPr>
          <w:iCs/>
          <w:noProof/>
          <w:color w:val="343434"/>
          <w:kern w:val="0"/>
          <w:sz w:val="24"/>
          <w:szCs w:val="24"/>
        </w:rPr>
        <w:t>]</w:t>
      </w:r>
      <w:r w:rsidR="00337C00">
        <w:rPr>
          <w:iCs/>
          <w:color w:val="343434"/>
          <w:kern w:val="0"/>
          <w:sz w:val="24"/>
          <w:szCs w:val="24"/>
        </w:rPr>
        <w:fldChar w:fldCharType="end"/>
      </w:r>
      <w:r w:rsidR="00D6070E">
        <w:rPr>
          <w:iCs/>
          <w:color w:val="343434"/>
          <w:kern w:val="0"/>
          <w:sz w:val="24"/>
          <w:szCs w:val="24"/>
        </w:rPr>
        <w:t xml:space="preserve"> is employed to model the toxicity outcome while the efficacy is also considered to be continuous by using </w:t>
      </w:r>
      <w:r w:rsidR="00EB107C">
        <w:rPr>
          <w:iCs/>
          <w:color w:val="343434"/>
          <w:kern w:val="0"/>
          <w:sz w:val="24"/>
          <w:szCs w:val="24"/>
        </w:rPr>
        <w:t xml:space="preserve">the factorization model proposed </w:t>
      </w:r>
      <w:r w:rsidR="00337C00">
        <w:rPr>
          <w:iCs/>
          <w:color w:val="343434"/>
          <w:kern w:val="0"/>
          <w:sz w:val="24"/>
          <w:szCs w:val="24"/>
        </w:rPr>
        <w:t xml:space="preserve">by </w:t>
      </w:r>
      <w:proofErr w:type="spellStart"/>
      <w:r w:rsidR="00337C00">
        <w:rPr>
          <w:iCs/>
          <w:color w:val="343434"/>
          <w:kern w:val="0"/>
          <w:sz w:val="24"/>
          <w:szCs w:val="24"/>
        </w:rPr>
        <w:t>Hirakawa</w:t>
      </w:r>
      <w:proofErr w:type="spellEnd"/>
      <w:r w:rsidR="00337C00">
        <w:rPr>
          <w:iCs/>
          <w:color w:val="343434"/>
          <w:kern w:val="0"/>
          <w:sz w:val="24"/>
          <w:szCs w:val="24"/>
        </w:rPr>
        <w:t xml:space="preserve"> in 2012</w:t>
      </w:r>
      <w:r w:rsidR="00EB107C">
        <w:rPr>
          <w:iCs/>
          <w:color w:val="343434"/>
          <w:kern w:val="0"/>
          <w:sz w:val="24"/>
          <w:szCs w:val="24"/>
        </w:rPr>
        <w:t xml:space="preserve"> </w:t>
      </w:r>
      <w:r w:rsidR="00337C00">
        <w:rPr>
          <w:iCs/>
          <w:color w:val="343434"/>
          <w:kern w:val="0"/>
          <w:sz w:val="24"/>
          <w:szCs w:val="24"/>
        </w:rPr>
        <w:fldChar w:fldCharType="begin"/>
      </w:r>
      <w:r w:rsidR="007245BB">
        <w:rPr>
          <w:iCs/>
          <w:color w:val="343434"/>
          <w:kern w:val="0"/>
          <w:sz w:val="24"/>
          <w:szCs w:val="24"/>
        </w:rPr>
        <w:instrText xml:space="preserve"> ADDIN EN.CITE &lt;EndNote&gt;&lt;Cite&gt;&lt;Author&gt;Hirakawa&lt;/Author&gt;&lt;Year&gt;2012&lt;/Year&gt;&lt;RecNum&gt;8&lt;/RecNum&gt;&lt;DisplayText&gt;[8]&lt;/DisplayText&gt;&lt;record&gt;&lt;rec-number&gt;8&lt;/rec-number&gt;&lt;foreign-keys&gt;&lt;key app="EN" db-id="9xewf2v90rdx2jefpsupd25g2atv55dersaf" timestamp="1629415545"&gt;8&lt;/key&gt;&lt;/foreign-keys&gt;&lt;ref-type name="Journal Article"&gt;17&lt;/ref-type&gt;&lt;contributors&gt;&lt;authors&gt;&lt;author&gt;Hirakawa, A.&lt;/author&gt;&lt;/authors&gt;&lt;/contributors&gt;&lt;auth-address&gt;Biostatistics Group, Center for Product Evaluation, Pharmaceuticals and Medical Devices Agency, Tokyo 100-0-013, Japan. hirakawa@ms.kagu.tus.ac.jp&lt;/auth-address&gt;&lt;titles&gt;&lt;title&gt;An adaptive dose-finding approach for correlated bivariate binary and continuous outcomes in phase I oncology trials&lt;/title&gt;&lt;secondary-title&gt;Stat Med&lt;/secondary-title&gt;&lt;/titles&gt;&lt;periodical&gt;&lt;full-title&gt;Stat Med&lt;/full-title&gt;&lt;/periodical&gt;&lt;pages&gt;516-32&lt;/pages&gt;&lt;volume&gt;31&lt;/volume&gt;&lt;number&gt;6&lt;/number&gt;&lt;edition&gt;2011/11/24&lt;/edition&gt;&lt;keywords&gt;&lt;keyword&gt;Antineoplastic Agents/*administration &amp;amp; dosage/adverse effects&lt;/keyword&gt;&lt;keyword&gt;Bayes Theorem&lt;/keyword&gt;&lt;keyword&gt;Clinical Trials, Phase I as Topic/*statistics &amp;amp; numerical data&lt;/keyword&gt;&lt;keyword&gt;Computer Simulation/statistics &amp;amp; numerical data&lt;/keyword&gt;&lt;keyword&gt;*Dose-Response Relationship, Drug&lt;/keyword&gt;&lt;keyword&gt;Humans&lt;/keyword&gt;&lt;keyword&gt;Maximum Tolerated Dose&lt;/keyword&gt;&lt;keyword&gt;Models, Biological&lt;/keyword&gt;&lt;keyword&gt;Neoplasms/*drug therapy&lt;/keyword&gt;&lt;keyword&gt;Treatment Outcome&lt;/keyword&gt;&lt;/keywords&gt;&lt;dates&gt;&lt;year&gt;2012&lt;/year&gt;&lt;pub-dates&gt;&lt;date&gt;Mar 15&lt;/date&gt;&lt;/pub-dates&gt;&lt;/dates&gt;&lt;isbn&gt;1097-0258 (Electronic)&amp;#xD;0277-6715 (Linking)&lt;/isbn&gt;&lt;accession-num&gt;22108785&lt;/accession-num&gt;&lt;urls&gt;&lt;related-urls&gt;&lt;url&gt;https://www.ncbi.nlm.nih.gov/pubmed/22108785&lt;/url&gt;&lt;/related-urls&gt;&lt;/urls&gt;&lt;electronic-resource-num&gt;10.1002/sim.4425&lt;/electronic-resource-num&gt;&lt;/record&gt;&lt;/Cite&gt;&lt;/EndNote&gt;</w:instrText>
      </w:r>
      <w:r w:rsidR="00337C00">
        <w:rPr>
          <w:iCs/>
          <w:color w:val="343434"/>
          <w:kern w:val="0"/>
          <w:sz w:val="24"/>
          <w:szCs w:val="24"/>
        </w:rPr>
        <w:fldChar w:fldCharType="separate"/>
      </w:r>
      <w:r w:rsidR="007245BB">
        <w:rPr>
          <w:iCs/>
          <w:noProof/>
          <w:color w:val="343434"/>
          <w:kern w:val="0"/>
          <w:sz w:val="24"/>
          <w:szCs w:val="24"/>
        </w:rPr>
        <w:t>[</w:t>
      </w:r>
      <w:hyperlink w:anchor="_ENREF_8" w:tooltip="Hirakawa, 2012 #8" w:history="1">
        <w:r w:rsidR="001D149F">
          <w:rPr>
            <w:iCs/>
            <w:noProof/>
            <w:color w:val="343434"/>
            <w:kern w:val="0"/>
            <w:sz w:val="24"/>
            <w:szCs w:val="24"/>
          </w:rPr>
          <w:t>8</w:t>
        </w:r>
      </w:hyperlink>
      <w:r w:rsidR="007245BB">
        <w:rPr>
          <w:iCs/>
          <w:noProof/>
          <w:color w:val="343434"/>
          <w:kern w:val="0"/>
          <w:sz w:val="24"/>
          <w:szCs w:val="24"/>
        </w:rPr>
        <w:t>]</w:t>
      </w:r>
      <w:r w:rsidR="00337C00">
        <w:rPr>
          <w:iCs/>
          <w:color w:val="343434"/>
          <w:kern w:val="0"/>
          <w:sz w:val="24"/>
          <w:szCs w:val="24"/>
        </w:rPr>
        <w:fldChar w:fldCharType="end"/>
      </w:r>
      <w:r w:rsidR="00EB107C">
        <w:rPr>
          <w:iCs/>
          <w:color w:val="343434"/>
          <w:kern w:val="0"/>
          <w:sz w:val="24"/>
          <w:szCs w:val="24"/>
        </w:rPr>
        <w:t xml:space="preserve">. </w:t>
      </w:r>
      <w:r w:rsidR="006B798E">
        <w:rPr>
          <w:iCs/>
          <w:color w:val="343434"/>
          <w:kern w:val="0"/>
          <w:sz w:val="24"/>
          <w:szCs w:val="24"/>
        </w:rPr>
        <w:t xml:space="preserve">In this paper, we proposed a novel model to model the joint probability of 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w:t>
      </w:r>
      <w:r w:rsidR="00E77E31">
        <w:rPr>
          <w:iCs/>
          <w:color w:val="343434"/>
          <w:kern w:val="0"/>
          <w:sz w:val="24"/>
          <w:szCs w:val="24"/>
        </w:rPr>
        <w:lastRenderedPageBreak/>
        <w:t xml:space="preserve">DLT rates cannot fully </w:t>
      </w:r>
      <w:r w:rsidR="00440A9D">
        <w:rPr>
          <w:iCs/>
          <w:color w:val="343434"/>
          <w:kern w:val="0"/>
          <w:sz w:val="24"/>
          <w:szCs w:val="24"/>
        </w:rPr>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6FAB48EE" w14:textId="133EB390" w:rsidR="00CE33F0" w:rsidRPr="00D265FB" w:rsidRDefault="00CE33F0" w:rsidP="00CE33F0">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10439C75" w14:textId="7FDEA980" w:rsidR="001F14CC" w:rsidRDefault="002E516D" w:rsidP="002E516D">
      <w:pPr>
        <w:spacing w:after="0"/>
        <w:rPr>
          <w:iCs/>
          <w:color w:val="343434"/>
          <w:kern w:val="0"/>
          <w:sz w:val="24"/>
          <w:szCs w:val="24"/>
        </w:rPr>
      </w:pPr>
      <w:r>
        <w:rPr>
          <w:iCs/>
          <w:color w:val="343434"/>
          <w:kern w:val="0"/>
          <w:sz w:val="24"/>
          <w:szCs w:val="24"/>
        </w:rPr>
        <w:t xml:space="preserve">[1] </w:t>
      </w:r>
      <w:r w:rsidR="00DF0735" w:rsidRPr="00DF0735">
        <w:rPr>
          <w:iCs/>
          <w:color w:val="343434"/>
          <w:kern w:val="0"/>
          <w:sz w:val="24"/>
          <w:szCs w:val="24"/>
        </w:rPr>
        <w:t xml:space="preserve">Babb, J., </w:t>
      </w:r>
      <w:proofErr w:type="spellStart"/>
      <w:r w:rsidR="00DF0735" w:rsidRPr="00DF0735">
        <w:rPr>
          <w:iCs/>
          <w:color w:val="343434"/>
          <w:kern w:val="0"/>
          <w:sz w:val="24"/>
          <w:szCs w:val="24"/>
        </w:rPr>
        <w:t>Rogatko</w:t>
      </w:r>
      <w:proofErr w:type="spellEnd"/>
      <w:r w:rsidR="00DF0735" w:rsidRPr="00DF0735">
        <w:rPr>
          <w:iCs/>
          <w:color w:val="343434"/>
          <w:kern w:val="0"/>
          <w:sz w:val="24"/>
          <w:szCs w:val="24"/>
        </w:rPr>
        <w:t xml:space="preserve">, A., &amp; Zacks, S. (1998). Cancer phase I clinical trials: efficient dose escalation with overdose control. </w:t>
      </w:r>
      <w:r w:rsidR="00DF0735" w:rsidRPr="00DF0735">
        <w:rPr>
          <w:i/>
          <w:color w:val="343434"/>
          <w:kern w:val="0"/>
          <w:sz w:val="24"/>
          <w:szCs w:val="24"/>
        </w:rPr>
        <w:t>Statistics in medicine, 17</w:t>
      </w:r>
      <w:r w:rsidR="00DF0735" w:rsidRPr="00DF0735">
        <w:rPr>
          <w:iCs/>
          <w:color w:val="343434"/>
          <w:kern w:val="0"/>
          <w:sz w:val="24"/>
          <w:szCs w:val="24"/>
        </w:rPr>
        <w:t xml:space="preserve">(10), 1103–1120. </w:t>
      </w:r>
    </w:p>
    <w:p w14:paraId="7DE55121" w14:textId="56585712" w:rsidR="002E516D" w:rsidRDefault="002E516D" w:rsidP="002E516D">
      <w:pPr>
        <w:spacing w:after="0"/>
        <w:rPr>
          <w:iCs/>
          <w:color w:val="343434"/>
          <w:kern w:val="0"/>
          <w:sz w:val="24"/>
          <w:szCs w:val="24"/>
        </w:rPr>
      </w:pPr>
      <w:r>
        <w:rPr>
          <w:iCs/>
          <w:color w:val="343434"/>
          <w:kern w:val="0"/>
          <w:sz w:val="24"/>
          <w:szCs w:val="24"/>
        </w:rPr>
        <w:t xml:space="preserve">[2] </w:t>
      </w:r>
      <w:r w:rsidR="00B1278B">
        <w:rPr>
          <w:iCs/>
          <w:color w:val="343434"/>
          <w:kern w:val="0"/>
          <w:sz w:val="24"/>
          <w:szCs w:val="24"/>
        </w:rPr>
        <w:t xml:space="preserve">National Cancer Institute. (2021). </w:t>
      </w:r>
      <w:r w:rsidR="00B1278B" w:rsidRPr="00450F6A">
        <w:rPr>
          <w:i/>
          <w:color w:val="343434"/>
          <w:kern w:val="0"/>
          <w:sz w:val="24"/>
          <w:szCs w:val="24"/>
        </w:rPr>
        <w:t>Common Toxicity Criteria for Adverse Events v5.0 (CTCAE)</w:t>
      </w:r>
      <w:r w:rsidR="00B1278B">
        <w:rPr>
          <w:iCs/>
          <w:color w:val="343434"/>
          <w:kern w:val="0"/>
          <w:sz w:val="24"/>
          <w:szCs w:val="24"/>
        </w:rPr>
        <w:t xml:space="preserve">. </w:t>
      </w:r>
      <w:hyperlink r:id="rId8" w:anchor="ctc_50" w:history="1">
        <w:r w:rsidR="00BF0FBB" w:rsidRPr="00E94663">
          <w:rPr>
            <w:rStyle w:val="Hyperlink"/>
            <w:iCs/>
            <w:kern w:val="0"/>
            <w:sz w:val="24"/>
            <w:szCs w:val="24"/>
          </w:rPr>
          <w:t>https://ctep.cancer.gov/protocoldevelopment/electronic_applications/ctc.htm#ctc_50</w:t>
        </w:r>
      </w:hyperlink>
    </w:p>
    <w:p w14:paraId="47DD6577" w14:textId="0CC96C58" w:rsidR="00BF0FBB" w:rsidRPr="00BF0FBB" w:rsidRDefault="00BF0FBB" w:rsidP="00BF0FBB">
      <w:pPr>
        <w:spacing w:after="0"/>
        <w:rPr>
          <w:iCs/>
          <w:color w:val="343434"/>
          <w:kern w:val="0"/>
          <w:sz w:val="24"/>
          <w:szCs w:val="24"/>
        </w:rPr>
      </w:pPr>
      <w:r>
        <w:rPr>
          <w:iCs/>
          <w:color w:val="343434"/>
          <w:kern w:val="0"/>
          <w:sz w:val="24"/>
          <w:szCs w:val="24"/>
        </w:rPr>
        <w:lastRenderedPageBreak/>
        <w:t xml:space="preserve">[3] </w:t>
      </w:r>
      <w:r w:rsidRPr="00BF0FBB">
        <w:rPr>
          <w:iCs/>
          <w:color w:val="343434"/>
          <w:kern w:val="0"/>
          <w:sz w:val="24"/>
          <w:szCs w:val="24"/>
        </w:rPr>
        <w:t>Chen</w:t>
      </w:r>
      <w:r>
        <w:rPr>
          <w:iCs/>
          <w:color w:val="343434"/>
          <w:kern w:val="0"/>
          <w:sz w:val="24"/>
          <w:szCs w:val="24"/>
        </w:rPr>
        <w:t>,</w:t>
      </w:r>
      <w:r w:rsidRPr="00BF0FBB">
        <w:rPr>
          <w:iCs/>
          <w:color w:val="343434"/>
          <w:kern w:val="0"/>
          <w:sz w:val="24"/>
          <w:szCs w:val="24"/>
        </w:rPr>
        <w:t xml:space="preserve"> Z</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Krailo</w:t>
      </w:r>
      <w:proofErr w:type="spellEnd"/>
      <w:r>
        <w:rPr>
          <w:iCs/>
          <w:color w:val="343434"/>
          <w:kern w:val="0"/>
          <w:sz w:val="24"/>
          <w:szCs w:val="24"/>
        </w:rPr>
        <w:t>,</w:t>
      </w:r>
      <w:r w:rsidRPr="00BF0FBB">
        <w:rPr>
          <w:iCs/>
          <w:color w:val="343434"/>
          <w:kern w:val="0"/>
          <w:sz w:val="24"/>
          <w:szCs w:val="24"/>
        </w:rPr>
        <w:t xml:space="preserve"> MD</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Azen</w:t>
      </w:r>
      <w:proofErr w:type="spellEnd"/>
      <w:r>
        <w:rPr>
          <w:iCs/>
          <w:color w:val="343434"/>
          <w:kern w:val="0"/>
          <w:sz w:val="24"/>
          <w:szCs w:val="24"/>
        </w:rPr>
        <w:t>,</w:t>
      </w:r>
      <w:r w:rsidRPr="00BF0FBB">
        <w:rPr>
          <w:iCs/>
          <w:color w:val="343434"/>
          <w:kern w:val="0"/>
          <w:sz w:val="24"/>
          <w:szCs w:val="24"/>
        </w:rPr>
        <w:t xml:space="preserve"> SP</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Tighiouart</w:t>
      </w:r>
      <w:proofErr w:type="spellEnd"/>
      <w:r>
        <w:rPr>
          <w:iCs/>
          <w:color w:val="343434"/>
          <w:kern w:val="0"/>
          <w:sz w:val="24"/>
          <w:szCs w:val="24"/>
        </w:rPr>
        <w:t>,</w:t>
      </w:r>
      <w:r w:rsidRPr="00BF0FBB">
        <w:rPr>
          <w:iCs/>
          <w:color w:val="343434"/>
          <w:kern w:val="0"/>
          <w:sz w:val="24"/>
          <w:szCs w:val="24"/>
        </w:rPr>
        <w:t xml:space="preserve"> M. </w:t>
      </w:r>
      <w:r>
        <w:rPr>
          <w:iCs/>
          <w:color w:val="343434"/>
          <w:kern w:val="0"/>
          <w:sz w:val="24"/>
          <w:szCs w:val="24"/>
        </w:rPr>
        <w:t xml:space="preserve">(2010). </w:t>
      </w:r>
      <w:r w:rsidRPr="00BF0FBB">
        <w:rPr>
          <w:iCs/>
          <w:color w:val="343434"/>
          <w:kern w:val="0"/>
          <w:sz w:val="24"/>
          <w:szCs w:val="24"/>
        </w:rPr>
        <w:t>A novel toxicity scoring</w:t>
      </w:r>
    </w:p>
    <w:p w14:paraId="414E1680" w14:textId="3F614E8F" w:rsidR="00BF0FBB" w:rsidRDefault="00BF0FBB" w:rsidP="00BF0FBB">
      <w:pPr>
        <w:spacing w:after="0"/>
        <w:rPr>
          <w:iCs/>
          <w:color w:val="343434"/>
          <w:kern w:val="0"/>
          <w:sz w:val="24"/>
          <w:szCs w:val="24"/>
        </w:rPr>
      </w:pPr>
      <w:r w:rsidRPr="00BF0FBB">
        <w:rPr>
          <w:iCs/>
          <w:color w:val="343434"/>
          <w:kern w:val="0"/>
          <w:sz w:val="24"/>
          <w:szCs w:val="24"/>
        </w:rPr>
        <w:t>system treating toxicity response as a quasi-continuous variable in phase I clinical trials.</w:t>
      </w:r>
      <w:r w:rsidR="00DF0735" w:rsidRPr="00DF0735">
        <w:rPr>
          <w:i/>
          <w:color w:val="343434"/>
          <w:kern w:val="0"/>
          <w:sz w:val="24"/>
          <w:szCs w:val="24"/>
        </w:rPr>
        <w:t xml:space="preserve"> Contemporary clinical trials</w:t>
      </w:r>
      <w:r w:rsidR="00DF0735">
        <w:rPr>
          <w:iCs/>
          <w:color w:val="343434"/>
          <w:kern w:val="0"/>
          <w:sz w:val="24"/>
          <w:szCs w:val="24"/>
        </w:rPr>
        <w:t>,</w:t>
      </w:r>
      <w:r>
        <w:rPr>
          <w:iCs/>
          <w:color w:val="343434"/>
          <w:kern w:val="0"/>
          <w:sz w:val="24"/>
          <w:szCs w:val="24"/>
        </w:rPr>
        <w:t xml:space="preserve"> </w:t>
      </w:r>
      <w:r w:rsidR="00DF0735" w:rsidRPr="00DF0735">
        <w:rPr>
          <w:i/>
          <w:color w:val="343434"/>
          <w:kern w:val="0"/>
          <w:sz w:val="24"/>
          <w:szCs w:val="24"/>
        </w:rPr>
        <w:t>31</w:t>
      </w:r>
      <w:r w:rsidR="00DF0735">
        <w:rPr>
          <w:iCs/>
          <w:color w:val="343434"/>
          <w:kern w:val="0"/>
          <w:sz w:val="24"/>
          <w:szCs w:val="24"/>
        </w:rPr>
        <w:t>,</w:t>
      </w:r>
      <w:r>
        <w:rPr>
          <w:iCs/>
          <w:color w:val="343434"/>
          <w:kern w:val="0"/>
          <w:sz w:val="24"/>
          <w:szCs w:val="24"/>
        </w:rPr>
        <w:t xml:space="preserve"> </w:t>
      </w:r>
      <w:r w:rsidRPr="00BF0FBB">
        <w:rPr>
          <w:iCs/>
          <w:color w:val="343434"/>
          <w:kern w:val="0"/>
          <w:sz w:val="24"/>
          <w:szCs w:val="24"/>
        </w:rPr>
        <w:t>473–82.</w:t>
      </w:r>
    </w:p>
    <w:p w14:paraId="765B6297" w14:textId="38BACEEC" w:rsidR="005D3041" w:rsidRPr="005D3041" w:rsidRDefault="00BF0FBB" w:rsidP="005D3041">
      <w:pPr>
        <w:spacing w:after="0"/>
        <w:rPr>
          <w:iCs/>
          <w:color w:val="343434"/>
          <w:kern w:val="0"/>
          <w:sz w:val="24"/>
          <w:szCs w:val="24"/>
        </w:rPr>
      </w:pPr>
      <w:r>
        <w:rPr>
          <w:iCs/>
          <w:color w:val="343434"/>
          <w:kern w:val="0"/>
          <w:sz w:val="24"/>
          <w:szCs w:val="24"/>
        </w:rPr>
        <w:t xml:space="preserve">[4] </w:t>
      </w:r>
      <w:r w:rsidR="005D3041">
        <w:rPr>
          <w:iCs/>
          <w:color w:val="343434"/>
          <w:kern w:val="0"/>
          <w:sz w:val="24"/>
          <w:szCs w:val="24"/>
        </w:rPr>
        <w:t xml:space="preserve">Chen, Z., </w:t>
      </w:r>
      <w:proofErr w:type="spellStart"/>
      <w:r w:rsidR="005D3041">
        <w:rPr>
          <w:iCs/>
          <w:color w:val="343434"/>
          <w:kern w:val="0"/>
          <w:sz w:val="24"/>
          <w:szCs w:val="24"/>
        </w:rPr>
        <w:t>Tighiouart</w:t>
      </w:r>
      <w:proofErr w:type="spellEnd"/>
      <w:r w:rsidR="005D3041">
        <w:rPr>
          <w:iCs/>
          <w:color w:val="343434"/>
          <w:kern w:val="0"/>
          <w:sz w:val="24"/>
          <w:szCs w:val="24"/>
        </w:rPr>
        <w:t>, M., Kowalski, J. (2012).</w:t>
      </w:r>
      <w:r w:rsidR="005D3041" w:rsidRPr="005D3041">
        <w:t xml:space="preserve"> </w:t>
      </w:r>
      <w:r w:rsidR="005D3041" w:rsidRPr="005D3041">
        <w:rPr>
          <w:iCs/>
          <w:color w:val="343434"/>
          <w:kern w:val="0"/>
          <w:sz w:val="24"/>
          <w:szCs w:val="24"/>
        </w:rPr>
        <w:t>Dose escalation with overdose control</w:t>
      </w:r>
    </w:p>
    <w:p w14:paraId="24BBBA64" w14:textId="03E4602C" w:rsidR="00B1278B" w:rsidRDefault="005D3041" w:rsidP="005D3041">
      <w:pPr>
        <w:spacing w:after="0"/>
        <w:rPr>
          <w:iCs/>
          <w:color w:val="343434"/>
          <w:kern w:val="0"/>
          <w:sz w:val="24"/>
          <w:szCs w:val="24"/>
        </w:rPr>
      </w:pPr>
      <w:r w:rsidRPr="005D3041">
        <w:rPr>
          <w:iCs/>
          <w:color w:val="343434"/>
          <w:kern w:val="0"/>
          <w:sz w:val="24"/>
          <w:szCs w:val="24"/>
        </w:rPr>
        <w:t xml:space="preserve">using a quasi-continuous toxicity score in cancer Phase I clinical trials. </w:t>
      </w:r>
      <w:r w:rsidR="00DF0735" w:rsidRPr="00DF0735">
        <w:rPr>
          <w:i/>
          <w:color w:val="343434"/>
          <w:kern w:val="0"/>
          <w:sz w:val="24"/>
          <w:szCs w:val="24"/>
        </w:rPr>
        <w:t>Contemporary clinical trials</w:t>
      </w:r>
      <w:r w:rsidR="00DF0735">
        <w:rPr>
          <w:iCs/>
          <w:color w:val="343434"/>
          <w:kern w:val="0"/>
          <w:sz w:val="24"/>
          <w:szCs w:val="24"/>
        </w:rPr>
        <w:t>,</w:t>
      </w:r>
      <w:r>
        <w:rPr>
          <w:iCs/>
          <w:color w:val="343434"/>
          <w:kern w:val="0"/>
          <w:sz w:val="24"/>
          <w:szCs w:val="24"/>
        </w:rPr>
        <w:t xml:space="preserve"> </w:t>
      </w:r>
      <w:r w:rsidRPr="00DF0735">
        <w:rPr>
          <w:i/>
          <w:color w:val="343434"/>
          <w:kern w:val="0"/>
          <w:sz w:val="24"/>
          <w:szCs w:val="24"/>
        </w:rPr>
        <w:t>33</w:t>
      </w:r>
      <w:r w:rsidR="00DF0735">
        <w:rPr>
          <w:iCs/>
          <w:color w:val="343434"/>
          <w:kern w:val="0"/>
          <w:sz w:val="24"/>
          <w:szCs w:val="24"/>
        </w:rPr>
        <w:t xml:space="preserve">, </w:t>
      </w:r>
      <w:r w:rsidRPr="005D3041">
        <w:rPr>
          <w:iCs/>
          <w:color w:val="343434"/>
          <w:kern w:val="0"/>
          <w:sz w:val="24"/>
          <w:szCs w:val="24"/>
        </w:rPr>
        <w:t>949–58.</w:t>
      </w:r>
    </w:p>
    <w:p w14:paraId="4A0143FB" w14:textId="3A187F65" w:rsidR="00DF0735" w:rsidRDefault="00DF0735" w:rsidP="005D3041">
      <w:pPr>
        <w:spacing w:after="0"/>
        <w:rPr>
          <w:iCs/>
          <w:color w:val="343434"/>
          <w:kern w:val="0"/>
          <w:sz w:val="24"/>
          <w:szCs w:val="24"/>
        </w:rPr>
      </w:pPr>
      <w:r>
        <w:rPr>
          <w:iCs/>
          <w:color w:val="343434"/>
          <w:kern w:val="0"/>
          <w:sz w:val="24"/>
          <w:szCs w:val="24"/>
        </w:rPr>
        <w:t xml:space="preserve">[5] </w:t>
      </w:r>
      <w:r w:rsidRPr="00DF0735">
        <w:rPr>
          <w:iCs/>
          <w:color w:val="343434"/>
          <w:kern w:val="0"/>
          <w:sz w:val="24"/>
          <w:szCs w:val="24"/>
        </w:rPr>
        <w:t xml:space="preserve">Chen, Z., Yuan, Y., Li, Z., Kutner, M., </w:t>
      </w:r>
      <w:proofErr w:type="spellStart"/>
      <w:r w:rsidRPr="00DF0735">
        <w:rPr>
          <w:iCs/>
          <w:color w:val="343434"/>
          <w:kern w:val="0"/>
          <w:sz w:val="24"/>
          <w:szCs w:val="24"/>
        </w:rPr>
        <w:t>Owonikoko</w:t>
      </w:r>
      <w:proofErr w:type="spellEnd"/>
      <w:r w:rsidRPr="00DF0735">
        <w:rPr>
          <w:iCs/>
          <w:color w:val="343434"/>
          <w:kern w:val="0"/>
          <w:sz w:val="24"/>
          <w:szCs w:val="24"/>
        </w:rPr>
        <w:t xml:space="preserve">, T., Curran, W. J., </w:t>
      </w:r>
      <w:proofErr w:type="spellStart"/>
      <w:r w:rsidRPr="00DF0735">
        <w:rPr>
          <w:iCs/>
          <w:color w:val="343434"/>
          <w:kern w:val="0"/>
          <w:sz w:val="24"/>
          <w:szCs w:val="24"/>
        </w:rPr>
        <w:t>Khuri</w:t>
      </w:r>
      <w:proofErr w:type="spellEnd"/>
      <w:r w:rsidRPr="00DF0735">
        <w:rPr>
          <w:iCs/>
          <w:color w:val="343434"/>
          <w:kern w:val="0"/>
          <w:sz w:val="24"/>
          <w:szCs w:val="24"/>
        </w:rPr>
        <w:t xml:space="preserve">, F., &amp; Kowalski, J. (2015). Dose escalation with over-dose and under-dose controls in Phase I/II clinical trials. </w:t>
      </w:r>
      <w:r w:rsidRPr="00DF0735">
        <w:rPr>
          <w:i/>
          <w:color w:val="343434"/>
          <w:kern w:val="0"/>
          <w:sz w:val="24"/>
          <w:szCs w:val="24"/>
        </w:rPr>
        <w:t>Contemporary clinical trials</w:t>
      </w:r>
      <w:r w:rsidRPr="00DF0735">
        <w:rPr>
          <w:iCs/>
          <w:color w:val="343434"/>
          <w:kern w:val="0"/>
          <w:sz w:val="24"/>
          <w:szCs w:val="24"/>
        </w:rPr>
        <w:t xml:space="preserve">, </w:t>
      </w:r>
      <w:r w:rsidRPr="00DF0735">
        <w:rPr>
          <w:i/>
          <w:color w:val="343434"/>
          <w:kern w:val="0"/>
          <w:sz w:val="24"/>
          <w:szCs w:val="24"/>
        </w:rPr>
        <w:t>43</w:t>
      </w:r>
      <w:r w:rsidRPr="00DF0735">
        <w:rPr>
          <w:iCs/>
          <w:color w:val="343434"/>
          <w:kern w:val="0"/>
          <w:sz w:val="24"/>
          <w:szCs w:val="24"/>
        </w:rPr>
        <w:t xml:space="preserve">, 133–141. </w:t>
      </w:r>
    </w:p>
    <w:p w14:paraId="58DC1976" w14:textId="5773CA89" w:rsidR="00D902F0" w:rsidRDefault="00D902F0" w:rsidP="005D3041">
      <w:pPr>
        <w:spacing w:after="0"/>
        <w:rPr>
          <w:iCs/>
          <w:color w:val="343434"/>
          <w:kern w:val="0"/>
          <w:sz w:val="24"/>
          <w:szCs w:val="24"/>
        </w:rPr>
      </w:pPr>
      <w:r>
        <w:rPr>
          <w:iCs/>
          <w:color w:val="343434"/>
          <w:kern w:val="0"/>
          <w:sz w:val="24"/>
          <w:szCs w:val="24"/>
        </w:rPr>
        <w:t xml:space="preserve">[6] </w:t>
      </w:r>
      <w:r w:rsidRPr="00D902F0">
        <w:rPr>
          <w:iCs/>
          <w:color w:val="343434"/>
          <w:kern w:val="0"/>
          <w:sz w:val="24"/>
          <w:szCs w:val="24"/>
        </w:rPr>
        <w:t xml:space="preserve">Tao, Y., Liu, J., Li, Z., Lin, J., Lu, T., &amp; Yan, F. (2013). Dose-finding based on bivariate efficacy-toxicity outcome using Archimedean Copula. </w:t>
      </w:r>
      <w:proofErr w:type="spellStart"/>
      <w:r w:rsidRPr="00D902F0">
        <w:rPr>
          <w:i/>
          <w:color w:val="343434"/>
          <w:kern w:val="0"/>
          <w:sz w:val="24"/>
          <w:szCs w:val="24"/>
        </w:rPr>
        <w:t>PloS</w:t>
      </w:r>
      <w:proofErr w:type="spellEnd"/>
      <w:r w:rsidRPr="00D902F0">
        <w:rPr>
          <w:i/>
          <w:color w:val="343434"/>
          <w:kern w:val="0"/>
          <w:sz w:val="24"/>
          <w:szCs w:val="24"/>
        </w:rPr>
        <w:t xml:space="preserve"> One, 8</w:t>
      </w:r>
      <w:r w:rsidRPr="00D902F0">
        <w:rPr>
          <w:iCs/>
          <w:color w:val="343434"/>
          <w:kern w:val="0"/>
          <w:sz w:val="24"/>
          <w:szCs w:val="24"/>
        </w:rPr>
        <w:t>(11), e78805–e78805.</w:t>
      </w:r>
    </w:p>
    <w:p w14:paraId="42AF3D80" w14:textId="0AD03625" w:rsidR="00ED470C" w:rsidRDefault="00ED470C" w:rsidP="00ED470C">
      <w:pPr>
        <w:spacing w:after="0"/>
        <w:rPr>
          <w:iCs/>
          <w:color w:val="343434"/>
          <w:kern w:val="0"/>
          <w:sz w:val="24"/>
          <w:szCs w:val="24"/>
        </w:rPr>
      </w:pPr>
      <w:r>
        <w:rPr>
          <w:iCs/>
          <w:color w:val="343434"/>
          <w:kern w:val="0"/>
          <w:sz w:val="24"/>
          <w:szCs w:val="24"/>
        </w:rPr>
        <w:t>[</w:t>
      </w:r>
      <w:r w:rsidR="007A5D08">
        <w:rPr>
          <w:iCs/>
          <w:color w:val="343434"/>
          <w:kern w:val="0"/>
          <w:sz w:val="24"/>
          <w:szCs w:val="24"/>
        </w:rPr>
        <w:t>7</w:t>
      </w:r>
      <w:r>
        <w:rPr>
          <w:iCs/>
          <w:color w:val="343434"/>
          <w:kern w:val="0"/>
          <w:sz w:val="24"/>
          <w:szCs w:val="24"/>
        </w:rPr>
        <w:t xml:space="preserve">] </w:t>
      </w:r>
      <w:proofErr w:type="spellStart"/>
      <w:r w:rsidRPr="00ED470C">
        <w:rPr>
          <w:iCs/>
          <w:color w:val="343434"/>
          <w:kern w:val="0"/>
          <w:sz w:val="24"/>
          <w:szCs w:val="24"/>
        </w:rPr>
        <w:t>Hirakawa</w:t>
      </w:r>
      <w:proofErr w:type="spellEnd"/>
      <w:r w:rsidRPr="00ED470C">
        <w:rPr>
          <w:iCs/>
          <w:color w:val="343434"/>
          <w:kern w:val="0"/>
          <w:sz w:val="24"/>
          <w:szCs w:val="24"/>
        </w:rPr>
        <w:t xml:space="preserve">, A. (2012). An adaptive dose-finding approach for correlated bivariate binary and continuous outcomes in phase I oncology trials. </w:t>
      </w:r>
      <w:r w:rsidRPr="00ED470C">
        <w:rPr>
          <w:i/>
          <w:color w:val="343434"/>
          <w:kern w:val="0"/>
          <w:sz w:val="24"/>
          <w:szCs w:val="24"/>
        </w:rPr>
        <w:t>Statistics in Medicine, 31</w:t>
      </w:r>
      <w:r w:rsidRPr="00ED470C">
        <w:rPr>
          <w:iCs/>
          <w:color w:val="343434"/>
          <w:kern w:val="0"/>
          <w:sz w:val="24"/>
          <w:szCs w:val="24"/>
        </w:rPr>
        <w:t>(6), 516–532.</w:t>
      </w:r>
    </w:p>
    <w:p w14:paraId="55F8AE25" w14:textId="5E3AC764" w:rsidR="00300419" w:rsidRDefault="00300419" w:rsidP="00ED470C">
      <w:pPr>
        <w:spacing w:after="0"/>
        <w:rPr>
          <w:iCs/>
          <w:color w:val="343434"/>
          <w:kern w:val="0"/>
          <w:sz w:val="24"/>
          <w:szCs w:val="24"/>
        </w:rPr>
      </w:pPr>
      <w:r>
        <w:rPr>
          <w:iCs/>
          <w:color w:val="343434"/>
          <w:kern w:val="0"/>
          <w:sz w:val="24"/>
          <w:szCs w:val="24"/>
        </w:rPr>
        <w:t>[</w:t>
      </w:r>
      <w:r w:rsidR="007A5D08">
        <w:rPr>
          <w:iCs/>
          <w:color w:val="343434"/>
          <w:kern w:val="0"/>
          <w:sz w:val="24"/>
          <w:szCs w:val="24"/>
        </w:rPr>
        <w:t>8</w:t>
      </w:r>
      <w:r>
        <w:rPr>
          <w:iCs/>
          <w:color w:val="343434"/>
          <w:kern w:val="0"/>
          <w:sz w:val="24"/>
          <w:szCs w:val="24"/>
        </w:rPr>
        <w:t xml:space="preserve">] </w:t>
      </w:r>
      <w:r w:rsidRPr="00300419">
        <w:rPr>
          <w:iCs/>
          <w:color w:val="343434"/>
          <w:kern w:val="0"/>
          <w:sz w:val="24"/>
          <w:szCs w:val="24"/>
        </w:rPr>
        <w:t xml:space="preserve">Olkin, I., &amp; Tate, R. F. (1961). Multivariate Correlation Models with Mixed Discrete and Continuous Variables. </w:t>
      </w:r>
      <w:r w:rsidRPr="00300419">
        <w:rPr>
          <w:i/>
          <w:color w:val="343434"/>
          <w:kern w:val="0"/>
          <w:sz w:val="24"/>
          <w:szCs w:val="24"/>
        </w:rPr>
        <w:t>The Annals of Mathematical Statistics, 32</w:t>
      </w:r>
      <w:r w:rsidRPr="00300419">
        <w:rPr>
          <w:iCs/>
          <w:color w:val="343434"/>
          <w:kern w:val="0"/>
          <w:sz w:val="24"/>
          <w:szCs w:val="24"/>
        </w:rPr>
        <w:t>(2), 448–465.</w:t>
      </w:r>
    </w:p>
    <w:p w14:paraId="10001ED9" w14:textId="0767DE00" w:rsidR="007A5D08" w:rsidRDefault="007A5D08" w:rsidP="00ED470C">
      <w:pPr>
        <w:spacing w:after="0"/>
        <w:rPr>
          <w:iCs/>
          <w:color w:val="343434"/>
          <w:kern w:val="0"/>
          <w:sz w:val="24"/>
          <w:szCs w:val="24"/>
        </w:rPr>
      </w:pPr>
      <w:r>
        <w:rPr>
          <w:iCs/>
          <w:color w:val="343434"/>
          <w:kern w:val="0"/>
          <w:sz w:val="24"/>
          <w:szCs w:val="24"/>
        </w:rPr>
        <w:t xml:space="preserve">[9] </w:t>
      </w:r>
      <w:proofErr w:type="spellStart"/>
      <w:r w:rsidRPr="007A5D08">
        <w:rPr>
          <w:iCs/>
          <w:color w:val="343434"/>
          <w:kern w:val="0"/>
          <w:sz w:val="24"/>
          <w:szCs w:val="24"/>
        </w:rPr>
        <w:t>Rogatko</w:t>
      </w:r>
      <w:proofErr w:type="spellEnd"/>
      <w:r w:rsidRPr="007A5D08">
        <w:rPr>
          <w:iCs/>
          <w:color w:val="343434"/>
          <w:kern w:val="0"/>
          <w:sz w:val="24"/>
          <w:szCs w:val="24"/>
        </w:rPr>
        <w:t xml:space="preserve">, A., Cook-Wiens, G., </w:t>
      </w:r>
      <w:proofErr w:type="spellStart"/>
      <w:r w:rsidRPr="007A5D08">
        <w:rPr>
          <w:iCs/>
          <w:color w:val="343434"/>
          <w:kern w:val="0"/>
          <w:sz w:val="24"/>
          <w:szCs w:val="24"/>
        </w:rPr>
        <w:t>Tighiouart</w:t>
      </w:r>
      <w:proofErr w:type="spellEnd"/>
      <w:r w:rsidRPr="007A5D08">
        <w:rPr>
          <w:iCs/>
          <w:color w:val="343434"/>
          <w:kern w:val="0"/>
          <w:sz w:val="24"/>
          <w:szCs w:val="24"/>
        </w:rPr>
        <w:t xml:space="preserve">, M., &amp; Piantadosi, S. (2015). Escalation with Overdose Control is More Efficient and Safer than Accelerated Titration for Dose Finding. </w:t>
      </w:r>
      <w:r w:rsidRPr="007A5D08">
        <w:rPr>
          <w:i/>
          <w:color w:val="343434"/>
          <w:kern w:val="0"/>
          <w:sz w:val="24"/>
          <w:szCs w:val="24"/>
        </w:rPr>
        <w:t>Entropy (Basel, Switzerland), 17</w:t>
      </w:r>
      <w:r w:rsidRPr="007A5D08">
        <w:rPr>
          <w:iCs/>
          <w:color w:val="343434"/>
          <w:kern w:val="0"/>
          <w:sz w:val="24"/>
          <w:szCs w:val="24"/>
        </w:rPr>
        <w:t>(8), 5288–5303.</w:t>
      </w:r>
    </w:p>
    <w:p w14:paraId="36BC5581" w14:textId="722915D8" w:rsidR="007B6E6A" w:rsidRDefault="007B6E6A" w:rsidP="00ED470C">
      <w:pPr>
        <w:spacing w:after="0"/>
        <w:rPr>
          <w:iCs/>
          <w:color w:val="343434"/>
          <w:kern w:val="0"/>
          <w:sz w:val="24"/>
          <w:szCs w:val="24"/>
        </w:rPr>
      </w:pPr>
    </w:p>
    <w:p w14:paraId="45BAB66E" w14:textId="77777777" w:rsidR="00DF0735" w:rsidRDefault="00DF0735" w:rsidP="005D3041">
      <w:pPr>
        <w:spacing w:after="0"/>
        <w:rPr>
          <w:iCs/>
          <w:color w:val="343434"/>
          <w:kern w:val="0"/>
          <w:sz w:val="24"/>
          <w:szCs w:val="24"/>
        </w:rPr>
      </w:pPr>
    </w:p>
    <w:p w14:paraId="409E2628" w14:textId="77777777" w:rsidR="00DF0735" w:rsidRPr="00023FB7" w:rsidRDefault="00DF0735" w:rsidP="005D3041">
      <w:pPr>
        <w:spacing w:after="0"/>
        <w:rPr>
          <w:iCs/>
          <w:color w:val="343434"/>
          <w:kern w:val="0"/>
          <w:sz w:val="24"/>
          <w:szCs w:val="24"/>
        </w:rPr>
      </w:pPr>
    </w:p>
    <w:p w14:paraId="2C5D7325" w14:textId="77777777" w:rsidR="009B1FF5" w:rsidRDefault="009B1FF5" w:rsidP="00BF17DD">
      <w:pPr>
        <w:spacing w:after="0"/>
        <w:ind w:firstLine="360"/>
        <w:rPr>
          <w:iCs/>
          <w:color w:val="343434"/>
          <w:kern w:val="0"/>
          <w:sz w:val="24"/>
          <w:szCs w:val="24"/>
        </w:rPr>
      </w:pPr>
    </w:p>
    <w:p w14:paraId="49B4B2BA" w14:textId="77777777" w:rsidR="009B1FF5" w:rsidRDefault="009B1FF5" w:rsidP="00BF17DD">
      <w:pPr>
        <w:spacing w:after="0"/>
        <w:ind w:firstLine="360"/>
        <w:rPr>
          <w:iCs/>
          <w:color w:val="343434"/>
          <w:kern w:val="0"/>
          <w:sz w:val="24"/>
          <w:szCs w:val="24"/>
        </w:rPr>
      </w:pPr>
    </w:p>
    <w:p w14:paraId="1A309187" w14:textId="77777777" w:rsidR="001D149F" w:rsidRPr="001D149F" w:rsidRDefault="009B1FF5" w:rsidP="001D149F">
      <w:pPr>
        <w:pStyle w:val="EndNoteBibliography"/>
        <w:spacing w:after="0"/>
        <w:ind w:left="720" w:hanging="720"/>
      </w:pPr>
      <w:r>
        <w:rPr>
          <w:iCs/>
          <w:color w:val="343434"/>
          <w:kern w:val="0"/>
          <w:sz w:val="24"/>
          <w:szCs w:val="24"/>
        </w:rPr>
        <w:lastRenderedPageBreak/>
        <w:fldChar w:fldCharType="begin"/>
      </w:r>
      <w:r>
        <w:rPr>
          <w:iCs/>
          <w:color w:val="343434"/>
          <w:kern w:val="0"/>
          <w:sz w:val="24"/>
          <w:szCs w:val="24"/>
        </w:rPr>
        <w:instrText xml:space="preserve"> ADDIN EN.REFLIST </w:instrText>
      </w:r>
      <w:r>
        <w:rPr>
          <w:iCs/>
          <w:color w:val="343434"/>
          <w:kern w:val="0"/>
          <w:sz w:val="24"/>
          <w:szCs w:val="24"/>
        </w:rPr>
        <w:fldChar w:fldCharType="separate"/>
      </w:r>
      <w:bookmarkStart w:id="9" w:name="_ENREF_1"/>
      <w:r w:rsidR="001D149F" w:rsidRPr="001D149F">
        <w:t>1.</w:t>
      </w:r>
      <w:r w:rsidR="001D149F" w:rsidRPr="001D149F">
        <w:tab/>
        <w:t xml:space="preserve">Chen, Z., et al., </w:t>
      </w:r>
      <w:r w:rsidR="001D149F" w:rsidRPr="001D149F">
        <w:rPr>
          <w:i/>
        </w:rPr>
        <w:t>Dose escalation with over-dose and under-dose controls in Phase I/II clinical trials.</w:t>
      </w:r>
      <w:r w:rsidR="001D149F" w:rsidRPr="001D149F">
        <w:t xml:space="preserve"> Contemp Clin Trials, 2015. </w:t>
      </w:r>
      <w:r w:rsidR="001D149F" w:rsidRPr="001D149F">
        <w:rPr>
          <w:b/>
        </w:rPr>
        <w:t>43</w:t>
      </w:r>
      <w:r w:rsidR="001D149F" w:rsidRPr="001D149F">
        <w:t>: p. 133-41.</w:t>
      </w:r>
      <w:bookmarkEnd w:id="9"/>
    </w:p>
    <w:p w14:paraId="23A9ED19" w14:textId="77777777" w:rsidR="001D149F" w:rsidRPr="001D149F" w:rsidRDefault="001D149F" w:rsidP="001D149F">
      <w:pPr>
        <w:pStyle w:val="EndNoteBibliography"/>
        <w:spacing w:after="0"/>
        <w:ind w:left="720" w:hanging="720"/>
      </w:pPr>
      <w:bookmarkStart w:id="10" w:name="_ENREF_2"/>
      <w:r w:rsidRPr="001D149F">
        <w:t>2.</w:t>
      </w:r>
      <w:r w:rsidRPr="001D149F">
        <w:tab/>
        <w:t xml:space="preserve">Babb, J., A. Rogatko, and S. Zacks, </w:t>
      </w:r>
      <w:r w:rsidRPr="001D149F">
        <w:rPr>
          <w:i/>
        </w:rPr>
        <w:t>Cancer phase I clinical trials: efficient dose escalation with overdose control.</w:t>
      </w:r>
      <w:r w:rsidRPr="001D149F">
        <w:t xml:space="preserve"> Stat Med, 1998. </w:t>
      </w:r>
      <w:r w:rsidRPr="001D149F">
        <w:rPr>
          <w:b/>
        </w:rPr>
        <w:t>17</w:t>
      </w:r>
      <w:r w:rsidRPr="001D149F">
        <w:t>(10): p. 1103-20.</w:t>
      </w:r>
      <w:bookmarkEnd w:id="10"/>
    </w:p>
    <w:p w14:paraId="297432BA" w14:textId="601DEDDB" w:rsidR="001D149F" w:rsidRPr="001D149F" w:rsidRDefault="001D149F" w:rsidP="001D149F">
      <w:pPr>
        <w:pStyle w:val="EndNoteBibliography"/>
        <w:spacing w:after="0"/>
        <w:ind w:left="720" w:hanging="720"/>
      </w:pPr>
      <w:bookmarkStart w:id="11" w:name="_ENREF_3"/>
      <w:r w:rsidRPr="001D149F">
        <w:t>3.</w:t>
      </w:r>
      <w:r w:rsidRPr="001D149F">
        <w:tab/>
      </w:r>
      <w:r w:rsidRPr="001D149F">
        <w:rPr>
          <w:i/>
        </w:rPr>
        <w:t>Common Toxicity Criteria for Adverse Events v5.0</w:t>
      </w:r>
      <w:r w:rsidRPr="001D149F">
        <w:t xml:space="preserve">. 2021  [cited 2021; Available from: </w:t>
      </w:r>
      <w:hyperlink r:id="rId9" w:history="1">
        <w:r w:rsidRPr="001D149F">
          <w:rPr>
            <w:rStyle w:val="Hyperlink"/>
          </w:rPr>
          <w:t>https://ctep.cancer.gov/protocoldevelopment/electronic_applications/ctc.htm#ctc_50</w:t>
        </w:r>
      </w:hyperlink>
      <w:r w:rsidRPr="001D149F">
        <w:t>.</w:t>
      </w:r>
      <w:bookmarkEnd w:id="11"/>
    </w:p>
    <w:p w14:paraId="1E632D65" w14:textId="77777777" w:rsidR="001D149F" w:rsidRPr="001D149F" w:rsidRDefault="001D149F" w:rsidP="001D149F">
      <w:pPr>
        <w:pStyle w:val="EndNoteBibliography"/>
        <w:spacing w:after="0"/>
        <w:ind w:left="720" w:hanging="720"/>
      </w:pPr>
      <w:bookmarkStart w:id="12" w:name="_ENREF_4"/>
      <w:r w:rsidRPr="001D149F">
        <w:t>4.</w:t>
      </w:r>
      <w:r w:rsidRPr="001D149F">
        <w:tab/>
        <w:t xml:space="preserve">Chen, Z., et al., </w:t>
      </w:r>
      <w:r w:rsidRPr="001D149F">
        <w:rPr>
          <w:i/>
        </w:rPr>
        <w:t>A novel toxicity scoring system treating toxicity response as a quasi-continuous variable in Phase I clinical trials.</w:t>
      </w:r>
      <w:r w:rsidRPr="001D149F">
        <w:t xml:space="preserve"> Contemp Clin Trials, 2010. </w:t>
      </w:r>
      <w:r w:rsidRPr="001D149F">
        <w:rPr>
          <w:b/>
        </w:rPr>
        <w:t>31</w:t>
      </w:r>
      <w:r w:rsidRPr="001D149F">
        <w:t>(5): p. 473-82.</w:t>
      </w:r>
      <w:bookmarkEnd w:id="12"/>
    </w:p>
    <w:p w14:paraId="009BE611" w14:textId="77777777" w:rsidR="001D149F" w:rsidRPr="001D149F" w:rsidRDefault="001D149F" w:rsidP="001D149F">
      <w:pPr>
        <w:pStyle w:val="EndNoteBibliography"/>
        <w:spacing w:after="0"/>
        <w:ind w:left="720" w:hanging="720"/>
      </w:pPr>
      <w:bookmarkStart w:id="13" w:name="_ENREF_5"/>
      <w:r w:rsidRPr="001D149F">
        <w:t>5.</w:t>
      </w:r>
      <w:r w:rsidRPr="001D149F">
        <w:tab/>
        <w:t xml:space="preserve">Chen, Z., M. Tighiouart, and J. Kowalski, </w:t>
      </w:r>
      <w:r w:rsidRPr="001D149F">
        <w:rPr>
          <w:i/>
        </w:rPr>
        <w:t>Dose escalation with overdose control using a quasi-continuous toxicity score in cancer Phase I clinical trials.</w:t>
      </w:r>
      <w:r w:rsidRPr="001D149F">
        <w:t xml:space="preserve"> Contemp Clin Trials, 2012. </w:t>
      </w:r>
      <w:r w:rsidRPr="001D149F">
        <w:rPr>
          <w:b/>
        </w:rPr>
        <w:t>33</w:t>
      </w:r>
      <w:r w:rsidRPr="001D149F">
        <w:t>(5): p. 949-58.</w:t>
      </w:r>
      <w:bookmarkEnd w:id="13"/>
    </w:p>
    <w:p w14:paraId="5F36DD3D" w14:textId="77777777" w:rsidR="001D149F" w:rsidRPr="001D149F" w:rsidRDefault="001D149F" w:rsidP="001D149F">
      <w:pPr>
        <w:pStyle w:val="EndNoteBibliography"/>
        <w:spacing w:after="0"/>
        <w:ind w:left="720" w:hanging="720"/>
      </w:pPr>
      <w:bookmarkStart w:id="14" w:name="_ENREF_6"/>
      <w:r w:rsidRPr="001D149F">
        <w:t>6.</w:t>
      </w:r>
      <w:r w:rsidRPr="001D149F">
        <w:tab/>
        <w:t xml:space="preserve">Tao, Y., et al., </w:t>
      </w:r>
      <w:r w:rsidRPr="001D149F">
        <w:rPr>
          <w:i/>
        </w:rPr>
        <w:t>Dose-finding based on bivariate efficacy-toxicity outcome using Archimedean Copula.</w:t>
      </w:r>
      <w:r w:rsidRPr="001D149F">
        <w:t xml:space="preserve"> PLoS One, 2013. </w:t>
      </w:r>
      <w:r w:rsidRPr="001D149F">
        <w:rPr>
          <w:b/>
        </w:rPr>
        <w:t>8</w:t>
      </w:r>
      <w:r w:rsidRPr="001D149F">
        <w:t>(11): p. e78805.</w:t>
      </w:r>
      <w:bookmarkEnd w:id="14"/>
    </w:p>
    <w:p w14:paraId="208DB241" w14:textId="77777777" w:rsidR="001D149F" w:rsidRPr="001D149F" w:rsidRDefault="001D149F" w:rsidP="001D149F">
      <w:pPr>
        <w:pStyle w:val="EndNoteBibliography"/>
        <w:spacing w:after="0"/>
        <w:ind w:left="720" w:hanging="720"/>
      </w:pPr>
      <w:bookmarkStart w:id="15" w:name="_ENREF_7"/>
      <w:r w:rsidRPr="001D149F">
        <w:t>7.</w:t>
      </w:r>
      <w:r w:rsidRPr="001D149F">
        <w:tab/>
        <w:t xml:space="preserve">Rogatko, A., et al., </w:t>
      </w:r>
      <w:r w:rsidRPr="001D149F">
        <w:rPr>
          <w:i/>
        </w:rPr>
        <w:t>Escalation with Overdose Control is More Efficient and Safer than Accelerated Titration for Dose Finding.</w:t>
      </w:r>
      <w:r w:rsidRPr="001D149F">
        <w:t xml:space="preserve"> Entropy (Basel), 2015. </w:t>
      </w:r>
      <w:r w:rsidRPr="001D149F">
        <w:rPr>
          <w:b/>
        </w:rPr>
        <w:t>17</w:t>
      </w:r>
      <w:r w:rsidRPr="001D149F">
        <w:t>(8): p. 5288-5303.</w:t>
      </w:r>
      <w:bookmarkEnd w:id="15"/>
    </w:p>
    <w:p w14:paraId="4F52AFD9" w14:textId="77777777" w:rsidR="001D149F" w:rsidRPr="001D149F" w:rsidRDefault="001D149F" w:rsidP="001D149F">
      <w:pPr>
        <w:pStyle w:val="EndNoteBibliography"/>
        <w:spacing w:after="0"/>
        <w:ind w:left="720" w:hanging="720"/>
      </w:pPr>
      <w:bookmarkStart w:id="16" w:name="_ENREF_8"/>
      <w:r w:rsidRPr="001D149F">
        <w:t>8.</w:t>
      </w:r>
      <w:r w:rsidRPr="001D149F">
        <w:tab/>
        <w:t xml:space="preserve">Hirakawa, A., </w:t>
      </w:r>
      <w:r w:rsidRPr="001D149F">
        <w:rPr>
          <w:i/>
        </w:rPr>
        <w:t>An adaptive dose-finding approach for correlated bivariate binary and continuous outcomes in phase I oncology trials.</w:t>
      </w:r>
      <w:r w:rsidRPr="001D149F">
        <w:t xml:space="preserve"> Stat Med, 2012. </w:t>
      </w:r>
      <w:r w:rsidRPr="001D149F">
        <w:rPr>
          <w:b/>
        </w:rPr>
        <w:t>31</w:t>
      </w:r>
      <w:r w:rsidRPr="001D149F">
        <w:t>(6): p. 516-32.</w:t>
      </w:r>
      <w:bookmarkEnd w:id="16"/>
    </w:p>
    <w:p w14:paraId="18C2DB88" w14:textId="77777777" w:rsidR="001D149F" w:rsidRPr="001D149F" w:rsidRDefault="001D149F" w:rsidP="001D149F">
      <w:pPr>
        <w:pStyle w:val="EndNoteBibliography"/>
        <w:spacing w:after="0"/>
        <w:ind w:left="720" w:hanging="720"/>
      </w:pPr>
      <w:bookmarkStart w:id="17" w:name="_ENREF_9"/>
      <w:r w:rsidRPr="001D149F">
        <w:t>9.</w:t>
      </w:r>
      <w:r w:rsidRPr="001D149F">
        <w:tab/>
        <w:t xml:space="preserve">Olkin, I. and R.F. Tate, </w:t>
      </w:r>
      <w:r w:rsidRPr="001D149F">
        <w:rPr>
          <w:i/>
        </w:rPr>
        <w:t>Multivariate Correlation Models with Mixed Discrete and Continuous Variables.</w:t>
      </w:r>
      <w:r w:rsidRPr="001D149F">
        <w:t xml:space="preserve"> The Annals of Mathematical Statistics, 1961. </w:t>
      </w:r>
      <w:r w:rsidRPr="001D149F">
        <w:rPr>
          <w:b/>
        </w:rPr>
        <w:t>32</w:t>
      </w:r>
      <w:r w:rsidRPr="001D149F">
        <w:t>(2): p. 16.</w:t>
      </w:r>
      <w:bookmarkEnd w:id="17"/>
    </w:p>
    <w:p w14:paraId="7C544548" w14:textId="77777777" w:rsidR="001D149F" w:rsidRPr="001D149F" w:rsidRDefault="001D149F" w:rsidP="001D149F">
      <w:pPr>
        <w:pStyle w:val="EndNoteBibliography"/>
        <w:ind w:left="720" w:hanging="720"/>
      </w:pPr>
      <w:bookmarkStart w:id="18" w:name="_ENREF_10"/>
      <w:r w:rsidRPr="001D149F">
        <w:t>10.</w:t>
      </w:r>
      <w:r w:rsidRPr="001D149F">
        <w:tab/>
        <w:t xml:space="preserve">Harvey, A., </w:t>
      </w:r>
      <w:r w:rsidRPr="001D149F">
        <w:rPr>
          <w:i/>
        </w:rPr>
        <w:t>Estimating regression models with multiplicative heteroscedasticity.</w:t>
      </w:r>
      <w:r w:rsidRPr="001D149F">
        <w:t xml:space="preserve"> Econometrics., 1976. </w:t>
      </w:r>
      <w:r w:rsidRPr="001D149F">
        <w:rPr>
          <w:b/>
        </w:rPr>
        <w:t>44</w:t>
      </w:r>
      <w:r w:rsidRPr="001D149F">
        <w:t>: p. 4.</w:t>
      </w:r>
      <w:bookmarkEnd w:id="18"/>
    </w:p>
    <w:p w14:paraId="494A189F" w14:textId="142220E2" w:rsidR="006B798E" w:rsidRPr="006B798E" w:rsidRDefault="009B1FF5" w:rsidP="00BF17DD">
      <w:pPr>
        <w:spacing w:after="0"/>
        <w:ind w:firstLine="360"/>
        <w:rPr>
          <w:iCs/>
          <w:color w:val="343434"/>
          <w:kern w:val="0"/>
          <w:sz w:val="24"/>
          <w:szCs w:val="24"/>
        </w:rPr>
      </w:pPr>
      <w:r>
        <w:rPr>
          <w:iCs/>
          <w:color w:val="343434"/>
          <w:kern w:val="0"/>
          <w:sz w:val="24"/>
          <w:szCs w:val="24"/>
        </w:rPr>
        <w:fldChar w:fldCharType="end"/>
      </w:r>
    </w:p>
    <w:sectPr w:rsidR="006B798E" w:rsidRPr="006B798E">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E766" w14:textId="77777777" w:rsidR="00E534F3" w:rsidRDefault="00E534F3" w:rsidP="000561A5">
      <w:pPr>
        <w:spacing w:after="0" w:line="240" w:lineRule="auto"/>
      </w:pPr>
      <w:r>
        <w:separator/>
      </w:r>
    </w:p>
  </w:endnote>
  <w:endnote w:type="continuationSeparator" w:id="0">
    <w:p w14:paraId="2669E230" w14:textId="77777777" w:rsidR="00E534F3" w:rsidRDefault="00E534F3"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673D3" w14:textId="77777777" w:rsidR="00E534F3" w:rsidRDefault="00E534F3" w:rsidP="000561A5">
      <w:pPr>
        <w:spacing w:after="0" w:line="240" w:lineRule="auto"/>
      </w:pPr>
      <w:r>
        <w:separator/>
      </w:r>
    </w:p>
  </w:footnote>
  <w:footnote w:type="continuationSeparator" w:id="0">
    <w:p w14:paraId="11316BEB" w14:textId="77777777" w:rsidR="00E534F3" w:rsidRDefault="00E534F3"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ewf2v90rdx2jefpsupd25g2atv55dersaf&quot;&gt;My EndNote Library&lt;record-ids&gt;&lt;item&gt;1&lt;/item&gt;&lt;item&gt;2&lt;/item&gt;&lt;item&gt;3&lt;/item&gt;&lt;item&gt;4&lt;/item&gt;&lt;item&gt;5&lt;/item&gt;&lt;item&gt;6&lt;/item&gt;&lt;item&gt;7&lt;/item&gt;&lt;item&gt;8&lt;/item&gt;&lt;item&gt;9&lt;/item&gt;&lt;item&gt;10&lt;/item&gt;&lt;item&gt;11&lt;/item&gt;&lt;/record-ids&gt;&lt;/item&gt;&lt;/Libraries&gt;"/>
  </w:docVars>
  <w:rsids>
    <w:rsidRoot w:val="00307C4E"/>
    <w:rsid w:val="00003850"/>
    <w:rsid w:val="00007292"/>
    <w:rsid w:val="00012E81"/>
    <w:rsid w:val="00015985"/>
    <w:rsid w:val="00020B54"/>
    <w:rsid w:val="00023FB7"/>
    <w:rsid w:val="00035C76"/>
    <w:rsid w:val="00036D07"/>
    <w:rsid w:val="000377B7"/>
    <w:rsid w:val="00044A20"/>
    <w:rsid w:val="00050C1F"/>
    <w:rsid w:val="00051A91"/>
    <w:rsid w:val="00053EA3"/>
    <w:rsid w:val="000561A5"/>
    <w:rsid w:val="00056977"/>
    <w:rsid w:val="00060F60"/>
    <w:rsid w:val="00062F3B"/>
    <w:rsid w:val="00070C82"/>
    <w:rsid w:val="00086F0E"/>
    <w:rsid w:val="00090CE3"/>
    <w:rsid w:val="00092D25"/>
    <w:rsid w:val="00094691"/>
    <w:rsid w:val="000C5AC3"/>
    <w:rsid w:val="000D54FB"/>
    <w:rsid w:val="000D57EE"/>
    <w:rsid w:val="000D70DB"/>
    <w:rsid w:val="000E1241"/>
    <w:rsid w:val="000E1B89"/>
    <w:rsid w:val="000F26A6"/>
    <w:rsid w:val="000F3059"/>
    <w:rsid w:val="000F339F"/>
    <w:rsid w:val="000F4425"/>
    <w:rsid w:val="000F5013"/>
    <w:rsid w:val="0010346B"/>
    <w:rsid w:val="00110F97"/>
    <w:rsid w:val="001110A8"/>
    <w:rsid w:val="00122FE3"/>
    <w:rsid w:val="001247E7"/>
    <w:rsid w:val="0012782C"/>
    <w:rsid w:val="00135105"/>
    <w:rsid w:val="0013599E"/>
    <w:rsid w:val="00136580"/>
    <w:rsid w:val="001438BF"/>
    <w:rsid w:val="00146765"/>
    <w:rsid w:val="001518D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49F"/>
    <w:rsid w:val="001D188A"/>
    <w:rsid w:val="001D3A15"/>
    <w:rsid w:val="001D5E20"/>
    <w:rsid w:val="001D7D23"/>
    <w:rsid w:val="001E2559"/>
    <w:rsid w:val="001E258F"/>
    <w:rsid w:val="001F0114"/>
    <w:rsid w:val="001F14CC"/>
    <w:rsid w:val="001F28A9"/>
    <w:rsid w:val="001F51DF"/>
    <w:rsid w:val="001F6BA4"/>
    <w:rsid w:val="00200D80"/>
    <w:rsid w:val="00203E18"/>
    <w:rsid w:val="00210B75"/>
    <w:rsid w:val="002126B3"/>
    <w:rsid w:val="00213360"/>
    <w:rsid w:val="002207D7"/>
    <w:rsid w:val="00225BC1"/>
    <w:rsid w:val="002409D2"/>
    <w:rsid w:val="00245A7B"/>
    <w:rsid w:val="00247CE1"/>
    <w:rsid w:val="0025051C"/>
    <w:rsid w:val="00251779"/>
    <w:rsid w:val="00254A7F"/>
    <w:rsid w:val="00257D86"/>
    <w:rsid w:val="0027202D"/>
    <w:rsid w:val="00277237"/>
    <w:rsid w:val="00280386"/>
    <w:rsid w:val="00281A8B"/>
    <w:rsid w:val="002838CB"/>
    <w:rsid w:val="00284A18"/>
    <w:rsid w:val="00292F07"/>
    <w:rsid w:val="00296236"/>
    <w:rsid w:val="002A212A"/>
    <w:rsid w:val="002A3C7B"/>
    <w:rsid w:val="002A62A1"/>
    <w:rsid w:val="002C27D7"/>
    <w:rsid w:val="002C2B21"/>
    <w:rsid w:val="002C317B"/>
    <w:rsid w:val="002C415B"/>
    <w:rsid w:val="002C7D42"/>
    <w:rsid w:val="002D2F68"/>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63ED"/>
    <w:rsid w:val="0033188E"/>
    <w:rsid w:val="00331987"/>
    <w:rsid w:val="00334448"/>
    <w:rsid w:val="0033680D"/>
    <w:rsid w:val="00337C00"/>
    <w:rsid w:val="00341A14"/>
    <w:rsid w:val="00341E72"/>
    <w:rsid w:val="00344014"/>
    <w:rsid w:val="003462E7"/>
    <w:rsid w:val="0035350E"/>
    <w:rsid w:val="0035360A"/>
    <w:rsid w:val="00360C41"/>
    <w:rsid w:val="00363CF2"/>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180E"/>
    <w:rsid w:val="00434B2F"/>
    <w:rsid w:val="00435B66"/>
    <w:rsid w:val="004368AB"/>
    <w:rsid w:val="00440A9D"/>
    <w:rsid w:val="00440F03"/>
    <w:rsid w:val="004462FC"/>
    <w:rsid w:val="00450F6A"/>
    <w:rsid w:val="00453632"/>
    <w:rsid w:val="00455157"/>
    <w:rsid w:val="0046391A"/>
    <w:rsid w:val="00472D7E"/>
    <w:rsid w:val="00490648"/>
    <w:rsid w:val="00491C35"/>
    <w:rsid w:val="00493CE7"/>
    <w:rsid w:val="00497343"/>
    <w:rsid w:val="004A1FCD"/>
    <w:rsid w:val="004B18C7"/>
    <w:rsid w:val="004B6A38"/>
    <w:rsid w:val="004C01EA"/>
    <w:rsid w:val="004D076A"/>
    <w:rsid w:val="004D0B72"/>
    <w:rsid w:val="004D3C4C"/>
    <w:rsid w:val="004D7CFE"/>
    <w:rsid w:val="004E1489"/>
    <w:rsid w:val="004E5BC2"/>
    <w:rsid w:val="004F126B"/>
    <w:rsid w:val="004F223F"/>
    <w:rsid w:val="004F350A"/>
    <w:rsid w:val="004F39B8"/>
    <w:rsid w:val="004F4502"/>
    <w:rsid w:val="004F7570"/>
    <w:rsid w:val="005028CD"/>
    <w:rsid w:val="00503DF3"/>
    <w:rsid w:val="00505662"/>
    <w:rsid w:val="00505EF2"/>
    <w:rsid w:val="005220DA"/>
    <w:rsid w:val="0052437D"/>
    <w:rsid w:val="0052461F"/>
    <w:rsid w:val="00530D35"/>
    <w:rsid w:val="005321FD"/>
    <w:rsid w:val="0053771F"/>
    <w:rsid w:val="00541C63"/>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35F1"/>
    <w:rsid w:val="005B6612"/>
    <w:rsid w:val="005B7025"/>
    <w:rsid w:val="005C02BA"/>
    <w:rsid w:val="005D0F71"/>
    <w:rsid w:val="005D0FA3"/>
    <w:rsid w:val="005D3041"/>
    <w:rsid w:val="005D503C"/>
    <w:rsid w:val="005D71D8"/>
    <w:rsid w:val="005E185D"/>
    <w:rsid w:val="005E4EC0"/>
    <w:rsid w:val="005F38D9"/>
    <w:rsid w:val="005F7497"/>
    <w:rsid w:val="006068BF"/>
    <w:rsid w:val="00611FDF"/>
    <w:rsid w:val="0061685D"/>
    <w:rsid w:val="006223BC"/>
    <w:rsid w:val="00627DDB"/>
    <w:rsid w:val="00635A67"/>
    <w:rsid w:val="00636158"/>
    <w:rsid w:val="006378A8"/>
    <w:rsid w:val="006414C5"/>
    <w:rsid w:val="00652041"/>
    <w:rsid w:val="00665360"/>
    <w:rsid w:val="006849AA"/>
    <w:rsid w:val="00686B33"/>
    <w:rsid w:val="00687058"/>
    <w:rsid w:val="006965DB"/>
    <w:rsid w:val="006A117B"/>
    <w:rsid w:val="006A4C3F"/>
    <w:rsid w:val="006A7489"/>
    <w:rsid w:val="006B26A2"/>
    <w:rsid w:val="006B679C"/>
    <w:rsid w:val="006B798E"/>
    <w:rsid w:val="006C027E"/>
    <w:rsid w:val="006C190A"/>
    <w:rsid w:val="006C296F"/>
    <w:rsid w:val="006C320C"/>
    <w:rsid w:val="006C4EC8"/>
    <w:rsid w:val="006D276D"/>
    <w:rsid w:val="006D4344"/>
    <w:rsid w:val="006D4B16"/>
    <w:rsid w:val="006D4E7C"/>
    <w:rsid w:val="006E5B8A"/>
    <w:rsid w:val="006E6154"/>
    <w:rsid w:val="006E78DA"/>
    <w:rsid w:val="006F0A3E"/>
    <w:rsid w:val="006F30CD"/>
    <w:rsid w:val="006F621A"/>
    <w:rsid w:val="00703B37"/>
    <w:rsid w:val="007073D1"/>
    <w:rsid w:val="007126BA"/>
    <w:rsid w:val="007172D0"/>
    <w:rsid w:val="00717D25"/>
    <w:rsid w:val="0072128D"/>
    <w:rsid w:val="007245BB"/>
    <w:rsid w:val="00725C9D"/>
    <w:rsid w:val="00733222"/>
    <w:rsid w:val="00736601"/>
    <w:rsid w:val="00737E83"/>
    <w:rsid w:val="00744E4F"/>
    <w:rsid w:val="007541BB"/>
    <w:rsid w:val="00757019"/>
    <w:rsid w:val="00761283"/>
    <w:rsid w:val="00771393"/>
    <w:rsid w:val="00772A8A"/>
    <w:rsid w:val="00773737"/>
    <w:rsid w:val="00775BE7"/>
    <w:rsid w:val="00784BF4"/>
    <w:rsid w:val="00791277"/>
    <w:rsid w:val="00792ABF"/>
    <w:rsid w:val="0079778D"/>
    <w:rsid w:val="007A27C1"/>
    <w:rsid w:val="007A2863"/>
    <w:rsid w:val="007A2A58"/>
    <w:rsid w:val="007A3287"/>
    <w:rsid w:val="007A5532"/>
    <w:rsid w:val="007A5D08"/>
    <w:rsid w:val="007B4913"/>
    <w:rsid w:val="007B666A"/>
    <w:rsid w:val="007B6E6A"/>
    <w:rsid w:val="007C4B28"/>
    <w:rsid w:val="007D15C3"/>
    <w:rsid w:val="007D19F4"/>
    <w:rsid w:val="007D76D5"/>
    <w:rsid w:val="007E0670"/>
    <w:rsid w:val="007F4BA0"/>
    <w:rsid w:val="008014D8"/>
    <w:rsid w:val="00803510"/>
    <w:rsid w:val="00804E84"/>
    <w:rsid w:val="00812D79"/>
    <w:rsid w:val="0081337E"/>
    <w:rsid w:val="00815CE7"/>
    <w:rsid w:val="00823C7A"/>
    <w:rsid w:val="00832B93"/>
    <w:rsid w:val="00841A81"/>
    <w:rsid w:val="00845EEF"/>
    <w:rsid w:val="00852CFA"/>
    <w:rsid w:val="008555B6"/>
    <w:rsid w:val="00865457"/>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55D82"/>
    <w:rsid w:val="00961F7A"/>
    <w:rsid w:val="0097121B"/>
    <w:rsid w:val="009734D7"/>
    <w:rsid w:val="009735B9"/>
    <w:rsid w:val="00980D6F"/>
    <w:rsid w:val="009905E5"/>
    <w:rsid w:val="00990E09"/>
    <w:rsid w:val="0099302D"/>
    <w:rsid w:val="00997FA8"/>
    <w:rsid w:val="009A1659"/>
    <w:rsid w:val="009B1D42"/>
    <w:rsid w:val="009B1FF5"/>
    <w:rsid w:val="009B654B"/>
    <w:rsid w:val="009C045E"/>
    <w:rsid w:val="009D32A9"/>
    <w:rsid w:val="009E7508"/>
    <w:rsid w:val="009F5A13"/>
    <w:rsid w:val="009F7793"/>
    <w:rsid w:val="00A06888"/>
    <w:rsid w:val="00A121F8"/>
    <w:rsid w:val="00A1613D"/>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73FD2"/>
    <w:rsid w:val="00A74C95"/>
    <w:rsid w:val="00A75A09"/>
    <w:rsid w:val="00A90BEE"/>
    <w:rsid w:val="00A91BD8"/>
    <w:rsid w:val="00A92013"/>
    <w:rsid w:val="00A9211F"/>
    <w:rsid w:val="00A92C51"/>
    <w:rsid w:val="00A9393C"/>
    <w:rsid w:val="00A94068"/>
    <w:rsid w:val="00AB5DCC"/>
    <w:rsid w:val="00AB779C"/>
    <w:rsid w:val="00AC2C0C"/>
    <w:rsid w:val="00AC2CDE"/>
    <w:rsid w:val="00AD3AD0"/>
    <w:rsid w:val="00AD482E"/>
    <w:rsid w:val="00AE2471"/>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47538"/>
    <w:rsid w:val="00B50B48"/>
    <w:rsid w:val="00B55866"/>
    <w:rsid w:val="00B61A84"/>
    <w:rsid w:val="00B620B1"/>
    <w:rsid w:val="00B656A3"/>
    <w:rsid w:val="00B66380"/>
    <w:rsid w:val="00B67892"/>
    <w:rsid w:val="00B73295"/>
    <w:rsid w:val="00B7464F"/>
    <w:rsid w:val="00B74F9A"/>
    <w:rsid w:val="00B81CBC"/>
    <w:rsid w:val="00B85C0B"/>
    <w:rsid w:val="00B87642"/>
    <w:rsid w:val="00B92C85"/>
    <w:rsid w:val="00B92F42"/>
    <w:rsid w:val="00B94347"/>
    <w:rsid w:val="00BA052E"/>
    <w:rsid w:val="00BA06AF"/>
    <w:rsid w:val="00BA2C69"/>
    <w:rsid w:val="00BA2FDF"/>
    <w:rsid w:val="00BA50C6"/>
    <w:rsid w:val="00BA5DE0"/>
    <w:rsid w:val="00BB2F3F"/>
    <w:rsid w:val="00BB3C99"/>
    <w:rsid w:val="00BB4519"/>
    <w:rsid w:val="00BB73F7"/>
    <w:rsid w:val="00BC0708"/>
    <w:rsid w:val="00BC3A52"/>
    <w:rsid w:val="00BC590C"/>
    <w:rsid w:val="00BC6EB4"/>
    <w:rsid w:val="00BD4132"/>
    <w:rsid w:val="00BD5453"/>
    <w:rsid w:val="00BF0FBB"/>
    <w:rsid w:val="00BF1717"/>
    <w:rsid w:val="00BF17DD"/>
    <w:rsid w:val="00BF4625"/>
    <w:rsid w:val="00BF5B53"/>
    <w:rsid w:val="00C01735"/>
    <w:rsid w:val="00C02A47"/>
    <w:rsid w:val="00C05D3D"/>
    <w:rsid w:val="00C06D86"/>
    <w:rsid w:val="00C07C2E"/>
    <w:rsid w:val="00C1125F"/>
    <w:rsid w:val="00C143DD"/>
    <w:rsid w:val="00C15DD8"/>
    <w:rsid w:val="00C20157"/>
    <w:rsid w:val="00C24B00"/>
    <w:rsid w:val="00C26B24"/>
    <w:rsid w:val="00C35BED"/>
    <w:rsid w:val="00C369E3"/>
    <w:rsid w:val="00C37C8E"/>
    <w:rsid w:val="00C41B78"/>
    <w:rsid w:val="00C472FA"/>
    <w:rsid w:val="00C503DF"/>
    <w:rsid w:val="00C55D64"/>
    <w:rsid w:val="00C62F6C"/>
    <w:rsid w:val="00C644C4"/>
    <w:rsid w:val="00C71352"/>
    <w:rsid w:val="00C73D99"/>
    <w:rsid w:val="00C86770"/>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F0735"/>
    <w:rsid w:val="00DF45C3"/>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34F3"/>
    <w:rsid w:val="00E55909"/>
    <w:rsid w:val="00E571F0"/>
    <w:rsid w:val="00E60159"/>
    <w:rsid w:val="00E65AC8"/>
    <w:rsid w:val="00E67FB8"/>
    <w:rsid w:val="00E71C66"/>
    <w:rsid w:val="00E72FA4"/>
    <w:rsid w:val="00E7571E"/>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6640"/>
    <w:rsid w:val="00EE73D6"/>
    <w:rsid w:val="00EF5C66"/>
    <w:rsid w:val="00EF6F57"/>
    <w:rsid w:val="00F03071"/>
    <w:rsid w:val="00F046C5"/>
    <w:rsid w:val="00F07BF1"/>
    <w:rsid w:val="00F108D1"/>
    <w:rsid w:val="00F13D3B"/>
    <w:rsid w:val="00F15B71"/>
    <w:rsid w:val="00F22549"/>
    <w:rsid w:val="00F316BF"/>
    <w:rsid w:val="00F35EC3"/>
    <w:rsid w:val="00F4100C"/>
    <w:rsid w:val="00F4183C"/>
    <w:rsid w:val="00F4543A"/>
    <w:rsid w:val="00F45B78"/>
    <w:rsid w:val="00F55D61"/>
    <w:rsid w:val="00F63924"/>
    <w:rsid w:val="00F670F9"/>
    <w:rsid w:val="00F70BCF"/>
    <w:rsid w:val="00F749B0"/>
    <w:rsid w:val="00F7581A"/>
    <w:rsid w:val="00F91EB8"/>
    <w:rsid w:val="00F9286A"/>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 w:type="paragraph" w:customStyle="1" w:styleId="EndNoteBibliographyTitle">
    <w:name w:val="EndNote Bibliography Title"/>
    <w:basedOn w:val="Normal"/>
    <w:link w:val="EndNoteBibliographyTitleChar"/>
    <w:rsid w:val="009B1FF5"/>
    <w:pPr>
      <w:spacing w:after="0"/>
      <w:jc w:val="center"/>
    </w:pPr>
    <w:rPr>
      <w:rFonts w:cs="Times New Roman"/>
      <w:noProof/>
    </w:rPr>
  </w:style>
  <w:style w:type="character" w:customStyle="1" w:styleId="ListParagraphChar">
    <w:name w:val="List Paragraph Char"/>
    <w:basedOn w:val="DefaultParagraphFont"/>
    <w:link w:val="ListParagraph"/>
    <w:uiPriority w:val="34"/>
    <w:rsid w:val="009B1FF5"/>
    <w:rPr>
      <w:rFonts w:ascii="Times New Roman" w:hAnsi="Times New Roman"/>
      <w:kern w:val="2"/>
      <w:sz w:val="22"/>
      <w:szCs w:val="22"/>
    </w:rPr>
  </w:style>
  <w:style w:type="character" w:customStyle="1" w:styleId="EndNoteBibliographyTitleChar">
    <w:name w:val="EndNote Bibliography Title Char"/>
    <w:basedOn w:val="ListParagraphChar"/>
    <w:link w:val="EndNoteBibliographyTitle"/>
    <w:rsid w:val="009B1FF5"/>
    <w:rPr>
      <w:rFonts w:ascii="Times New Roman" w:hAnsi="Times New Roman" w:cs="Times New Roman"/>
      <w:noProof/>
      <w:kern w:val="2"/>
      <w:sz w:val="22"/>
      <w:szCs w:val="22"/>
    </w:rPr>
  </w:style>
  <w:style w:type="paragraph" w:customStyle="1" w:styleId="EndNoteBibliography">
    <w:name w:val="EndNote Bibliography"/>
    <w:basedOn w:val="Normal"/>
    <w:link w:val="EndNoteBibliographyChar"/>
    <w:rsid w:val="009B1FF5"/>
    <w:pPr>
      <w:spacing w:line="240" w:lineRule="auto"/>
    </w:pPr>
    <w:rPr>
      <w:rFonts w:cs="Times New Roman"/>
      <w:noProof/>
    </w:rPr>
  </w:style>
  <w:style w:type="character" w:customStyle="1" w:styleId="EndNoteBibliographyChar">
    <w:name w:val="EndNote Bibliography Char"/>
    <w:basedOn w:val="ListParagraphChar"/>
    <w:link w:val="EndNoteBibliography"/>
    <w:rsid w:val="009B1FF5"/>
    <w:rPr>
      <w:rFonts w:ascii="Times New Roman" w:hAnsi="Times New Roman" w:cs="Times New Roman"/>
      <w:noProof/>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tep.cancer.gov/protocoldevelopment/electronic_applications/ctc.htm#ctc_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8381</TotalTime>
  <Pages>23</Pages>
  <Words>10145</Words>
  <Characters>57831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Jieqi Tu</cp:lastModifiedBy>
  <cp:revision>4</cp:revision>
  <dcterms:created xsi:type="dcterms:W3CDTF">2021-08-20T00:14:00Z</dcterms:created>
  <dcterms:modified xsi:type="dcterms:W3CDTF">2021-08-25T19:52:00Z</dcterms:modified>
</cp:coreProperties>
</file>