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7C5AE" w14:textId="77777777" w:rsidR="0060671D" w:rsidRDefault="0060671D" w:rsidP="0060671D">
      <w:pPr>
        <w:pStyle w:val="ListParagraph"/>
        <w:numPr>
          <w:ilvl w:val="0"/>
          <w:numId w:val="1"/>
        </w:numPr>
      </w:pPr>
      <w:r>
        <w:t>Toxicity:</w:t>
      </w:r>
    </w:p>
    <w:p w14:paraId="17A76733" w14:textId="77777777" w:rsidR="0060671D" w:rsidRPr="00AB1CCD" w:rsidRDefault="0060671D" w:rsidP="0060671D">
      <w:pPr>
        <w:pStyle w:val="ListParagraph"/>
        <w:rPr>
          <w:i/>
        </w:rPr>
      </w:pPr>
      <m:oMathPara>
        <m:oMath>
          <m:r>
            <w:rPr>
              <w:rFonts w:ascii="Cambria Math" w:hAnsi="Cambria Math"/>
            </w:rPr>
            <m:t>mean=ANETS=ξ</m:t>
          </m:r>
        </m:oMath>
      </m:oMathPara>
    </w:p>
    <w:p w14:paraId="0C2ED1D8" w14:textId="77777777" w:rsidR="0060671D" w:rsidRPr="00457007" w:rsidRDefault="0060671D" w:rsidP="0060671D">
      <w:pPr>
        <w:pStyle w:val="ListParagraph"/>
      </w:pPr>
      <m:oMathPara>
        <m:oMath>
          <m:r>
            <w:rPr>
              <w:rFonts w:ascii="Cambria Math" w:hAnsi="Cambria Math"/>
            </w:rPr>
            <m:t>Let ξ be the ANETS.</m:t>
          </m:r>
        </m:oMath>
      </m:oMathPara>
    </w:p>
    <w:p w14:paraId="7B34F56D" w14:textId="77777777" w:rsidR="0060671D" w:rsidRPr="00457007" w:rsidRDefault="0060671D" w:rsidP="0060671D">
      <w:pPr>
        <w:pStyle w:val="ListParagraph"/>
      </w:pPr>
      <m:oMathPara>
        <m:oMath>
          <m:r>
            <w:rPr>
              <w:rFonts w:ascii="Cambria Math" w:hAnsi="Cambria Math"/>
            </w:rPr>
            <m:t>variance=ξ⋅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(1-ξ)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9B84C03" w14:textId="77777777" w:rsidR="0060671D" w:rsidRDefault="0060671D" w:rsidP="0060671D">
      <w:pPr>
        <w:pStyle w:val="ListParagraph"/>
      </w:pPr>
      <w:r>
        <w:t>Under the setting of EWOUC-NETS, we have</w:t>
      </w:r>
    </w:p>
    <w:p w14:paraId="6E48DAD7" w14:textId="77777777" w:rsidR="0060671D" w:rsidRPr="00BF79AE" w:rsidRDefault="0060671D" w:rsidP="0060671D">
      <w:pPr>
        <w:pStyle w:val="ListParagraph"/>
        <w:rPr>
          <w:i/>
        </w:rPr>
      </w:pPr>
      <m:oMathPara>
        <m:oMath>
          <m:r>
            <w:rPr>
              <w:rFonts w:ascii="Cambria Math" w:hAnsi="Cambria Math"/>
            </w:rPr>
            <m:t>ξ|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0t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den>
          </m:f>
        </m:oMath>
      </m:oMathPara>
    </w:p>
    <w:p w14:paraId="7C005C71" w14:textId="77777777" w:rsidR="0060671D" w:rsidRPr="00C44464" w:rsidRDefault="0060671D" w:rsidP="0060671D">
      <w:pPr>
        <w:pStyle w:val="ListParagraph"/>
      </w:pPr>
      <m:oMathPara>
        <m:oMath>
          <m:r>
            <w:rPr>
              <w:rFonts w:ascii="Cambria Math" w:hAnsi="Cambria Math"/>
            </w:rPr>
            <m:t>ξ|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=inverse logit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34E76272" w14:textId="77777777" w:rsidR="0060671D" w:rsidRDefault="0060671D" w:rsidP="0060671D">
      <w:pPr>
        <w:pStyle w:val="ListParagraph"/>
      </w:pPr>
      <w:r>
        <w:t>Re-parameterization:</w:t>
      </w:r>
    </w:p>
    <w:p w14:paraId="2BB891F2" w14:textId="77777777" w:rsidR="0060671D" w:rsidRPr="009D4C75" w:rsidRDefault="000E0496" w:rsidP="0060671D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>logit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logit(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14:paraId="62C3C548" w14:textId="77777777" w:rsidR="0060671D" w:rsidRPr="005846AF" w:rsidRDefault="000E0496" w:rsidP="0060671D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logit(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)-logit(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14:paraId="0B74493B" w14:textId="77777777" w:rsidR="0060671D" w:rsidRPr="00E44D3D" w:rsidRDefault="0060671D" w:rsidP="0060671D">
      <w:pPr>
        <w:pStyle w:val="ListParagraph"/>
        <w:rPr>
          <w:iCs/>
        </w:rPr>
      </w:pPr>
      <m:oMathPara>
        <m:oMath>
          <m:r>
            <w:rPr>
              <w:rFonts w:ascii="Cambria Math" w:hAnsi="Cambria Math"/>
            </w:rPr>
            <m:t>logit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ξ|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 w:hint="eastAsia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(γ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)⋅logit(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)-(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>)⋅logit(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den>
          </m:f>
        </m:oMath>
      </m:oMathPara>
    </w:p>
    <w:p w14:paraId="072A0965" w14:textId="6F825CE9" w:rsidR="0060671D" w:rsidRPr="00E44D3D" w:rsidRDefault="0060671D" w:rsidP="0060671D">
      <w:pPr>
        <w:pStyle w:val="ListParagraph"/>
        <w:rPr>
          <w:iCs/>
        </w:rPr>
      </w:pPr>
      <m:oMathPara>
        <m:oMath>
          <m:r>
            <w:rPr>
              <w:rFonts w:ascii="Cambria Math" w:hAnsi="Cambria Math"/>
            </w:rPr>
            <m:t xml:space="preserve">where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=maximum tolerated dose</m:t>
          </m:r>
        </m:oMath>
      </m:oMathPara>
    </w:p>
    <w:p w14:paraId="72B71A91" w14:textId="77777777" w:rsidR="0060671D" w:rsidRPr="00E44D3D" w:rsidRDefault="000E0496" w:rsidP="0060671D">
      <w:pPr>
        <w:pStyle w:val="ListParagraph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=NETS at the starting dose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</m:oMath>
      </m:oMathPara>
    </w:p>
    <w:p w14:paraId="75831353" w14:textId="77777777" w:rsidR="0060671D" w:rsidRPr="00E44D3D" w:rsidRDefault="000E0496" w:rsidP="0060671D">
      <w:pPr>
        <w:pStyle w:val="ListParagraph"/>
        <w:rPr>
          <w:iCs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=target normalized equivalent toxicity score</m:t>
          </m:r>
        </m:oMath>
      </m:oMathPara>
    </w:p>
    <w:p w14:paraId="408951A9" w14:textId="77777777" w:rsidR="0060671D" w:rsidRPr="00E44D3D" w:rsidRDefault="0060671D" w:rsidP="0060671D">
      <w:pPr>
        <w:pStyle w:val="ListParagraph"/>
        <w:rPr>
          <w:iCs/>
        </w:rPr>
      </w:pPr>
    </w:p>
    <w:p w14:paraId="6F0E99A2" w14:textId="77777777" w:rsidR="0060671D" w:rsidRDefault="0060671D" w:rsidP="0060671D">
      <w:pPr>
        <w:pStyle w:val="ListParagraph"/>
      </w:pPr>
      <w:r>
        <w:t>For each dose level, we have</w:t>
      </w:r>
      <w:r>
        <w:rPr>
          <w:rFonts w:hint="eastAsia"/>
        </w:rPr>
        <w:t xml:space="preserve"> </w:t>
      </w:r>
      <w:r>
        <w:t xml:space="preserve">one </w:t>
      </w:r>
      <m:oMath>
        <m:r>
          <w:rPr>
            <w:rFonts w:ascii="Cambria Math" w:hAnsi="Cambria Math"/>
          </w:rPr>
          <m:t>ξ|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.</w:t>
      </w:r>
    </w:p>
    <w:p w14:paraId="1E28C281" w14:textId="77777777" w:rsidR="0060671D" w:rsidRDefault="0060671D" w:rsidP="0060671D">
      <w:pPr>
        <w:pStyle w:val="ListParagraph"/>
      </w:pPr>
      <w:r>
        <w:t>Marginal density function for toxicity:</w:t>
      </w:r>
    </w:p>
    <w:p w14:paraId="1CBAA303" w14:textId="77777777" w:rsidR="0060671D" w:rsidRPr="00EE4E22" w:rsidRDefault="000E0496" w:rsidP="0060671D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ξ|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 w:hint="eastAsia"/>
                          <w:i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(1-ξ|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 w:hint="eastAsia"/>
                          <w:i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)/N</m:t>
                  </m:r>
                </m:e>
              </m:ra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Φ(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-ξ|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 w:hint="eastAsia"/>
                          <w:i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hint="eastAsia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ξ|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(1-ξ|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Φ(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1-ξ|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 w:hint="eastAsia"/>
                          <w:i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ξ|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(1-ξ|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)/N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)Φ(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-ξ|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 w:hint="eastAsia"/>
                          <w:i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ξ|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(1-ξ|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)/N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3F0C5CE4" w14:textId="77777777" w:rsidR="0060671D" w:rsidRDefault="0060671D" w:rsidP="0060671D">
      <w:pPr>
        <w:pStyle w:val="ListParagraph"/>
        <w:numPr>
          <w:ilvl w:val="0"/>
          <w:numId w:val="1"/>
        </w:numPr>
      </w:pPr>
      <w:r>
        <w:t>Efficacy</w:t>
      </w:r>
    </w:p>
    <w:p w14:paraId="58547683" w14:textId="77777777" w:rsidR="0060671D" w:rsidRPr="008A0233" w:rsidRDefault="000E0496" w:rsidP="0060671D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{-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}</m:t>
          </m:r>
        </m:oMath>
      </m:oMathPara>
    </w:p>
    <w:p w14:paraId="3B5357B5" w14:textId="77777777" w:rsidR="0060671D" w:rsidRDefault="0060671D" w:rsidP="0060671D">
      <w:pPr>
        <w:pStyle w:val="ListParagraph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μ</m:t>
            </m:r>
          </m:e>
          <m:sub>
            <m:r>
              <w:rPr>
                <w:rFonts w:ascii="Cambria Math" w:hAnsi="Cambria Math"/>
                <w:highlight w:val="yellow"/>
              </w:rPr>
              <m:t>i</m:t>
            </m:r>
          </m:sub>
        </m:sSub>
        <m:r>
          <w:rPr>
            <w:rFonts w:ascii="Cambria Math" w:hAnsi="Cambria Math"/>
            <w:highlight w:val="yellow"/>
          </w:rPr>
          <m:t>=1-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highlight w:val="yellow"/>
              </w:rPr>
              <m:t>1+(x/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β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0e</m:t>
                </m:r>
                <m:ctrlPr>
                  <w:rPr>
                    <w:rFonts w:ascii="Cambria Math" w:hAnsi="Cambria Math" w:hint="eastAsia"/>
                    <w:i/>
                    <w:highlight w:val="yellow"/>
                  </w:rPr>
                </m:ctrlPr>
              </m:sub>
            </m:sSub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)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1e</m:t>
                    </m:r>
                  </m:sub>
                </m:sSub>
              </m:sup>
            </m:sSup>
          </m:den>
        </m:f>
      </m:oMath>
      <w:r w:rsidRPr="00234317">
        <w:rPr>
          <w:highlight w:val="yellow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σ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  <m:r>
          <w:rPr>
            <w:rFonts w:ascii="Cambria Math" w:hAnsi="Cambria Math"/>
            <w:highlight w:val="yellow"/>
          </w:rPr>
          <m:t>=</m:t>
        </m:r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σ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x</m:t>
            </m:r>
            <m:ctrlPr>
              <w:rPr>
                <w:rFonts w:ascii="Cambria Math" w:hAnsi="Cambria Math" w:hint="eastAsia"/>
                <w:i/>
                <w:highlight w:val="yellow"/>
              </w:rPr>
            </m:ctrlPr>
          </m:e>
          <m:sup>
            <m:r>
              <w:rPr>
                <w:rFonts w:ascii="Cambria Math" w:hAnsi="Cambria Math"/>
                <w:highlight w:val="yellow"/>
              </w:rPr>
              <m:t>λ</m:t>
            </m:r>
          </m:sup>
        </m:sSup>
      </m:oMath>
    </w:p>
    <w:p w14:paraId="0758859C" w14:textId="77777777" w:rsidR="0060671D" w:rsidRDefault="0060671D" w:rsidP="0060671D">
      <w:pPr>
        <w:pStyle w:val="ListParagraph"/>
        <w:rPr>
          <w:color w:val="ED7D31" w:themeColor="accent2"/>
        </w:rPr>
      </w:pPr>
      <w:r>
        <w:rPr>
          <w:color w:val="ED7D31" w:themeColor="accent2"/>
        </w:rPr>
        <w:t>Here the underdose control (</w:t>
      </w:r>
      <m:oMath>
        <m:sSub>
          <m:sSubPr>
            <m:ctrlPr>
              <w:rPr>
                <w:rFonts w:ascii="Cambria Math" w:hAnsi="Cambria Math"/>
                <w:i/>
                <w:color w:val="ED7D31" w:themeColor="accent2"/>
              </w:rPr>
            </m:ctrlPr>
          </m:sSubPr>
          <m:e>
            <m:r>
              <w:rPr>
                <w:rFonts w:ascii="Cambria Math" w:hAnsi="Cambria Math"/>
                <w:color w:val="ED7D31" w:themeColor="accent2"/>
              </w:rPr>
              <m:t>γ</m:t>
            </m:r>
          </m:e>
          <m:sub>
            <m:r>
              <w:rPr>
                <w:rFonts w:ascii="Cambria Math" w:hAnsi="Cambria Math"/>
                <w:color w:val="ED7D31" w:themeColor="accent2"/>
              </w:rPr>
              <m:t>E</m:t>
            </m:r>
          </m:sub>
        </m:sSub>
      </m:oMath>
      <w:r>
        <w:rPr>
          <w:color w:val="ED7D31" w:themeColor="accent2"/>
        </w:rPr>
        <w:t>) part is missing</w:t>
      </w:r>
      <w:r>
        <w:rPr>
          <w:rFonts w:hint="eastAsia"/>
          <w:color w:val="ED7D31" w:themeColor="accent2"/>
        </w:rPr>
        <w:t xml:space="preserve"> </w:t>
      </w:r>
      <w:r>
        <w:rPr>
          <w:color w:val="ED7D31" w:themeColor="accent2"/>
        </w:rPr>
        <w:t xml:space="preserve">in the efficacy part. </w:t>
      </w:r>
    </w:p>
    <w:p w14:paraId="6A0A76C1" w14:textId="77777777" w:rsidR="0060671D" w:rsidRDefault="0060671D" w:rsidP="0060671D">
      <w:pPr>
        <w:pStyle w:val="ListParagraph"/>
        <w:rPr>
          <w:color w:val="ED7D31" w:themeColor="accent2"/>
        </w:rPr>
      </w:pPr>
      <w:r>
        <w:rPr>
          <w:color w:val="ED7D31" w:themeColor="accent2"/>
        </w:rPr>
        <w:t>I have several thoughts on this:</w:t>
      </w:r>
    </w:p>
    <w:p w14:paraId="2E7AB616" w14:textId="77777777" w:rsidR="0060671D" w:rsidRDefault="0060671D" w:rsidP="0060671D">
      <w:pPr>
        <w:pStyle w:val="ListParagraph"/>
        <w:numPr>
          <w:ilvl w:val="0"/>
          <w:numId w:val="3"/>
        </w:numPr>
        <w:rPr>
          <w:color w:val="ED7D31" w:themeColor="accent2"/>
        </w:rPr>
      </w:pPr>
      <w:r>
        <w:rPr>
          <w:color w:val="ED7D31" w:themeColor="accent2"/>
        </w:rPr>
        <w:lastRenderedPageBreak/>
        <w:t>We can assume the linear relationship between</w:t>
      </w:r>
      <m:oMath>
        <m:r>
          <w:rPr>
            <w:rFonts w:ascii="Cambria Math" w:hAnsi="Cambria Math"/>
            <w:color w:val="ED7D31" w:themeColor="accent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ED7D31" w:themeColor="accent2"/>
              </w:rPr>
            </m:ctrlPr>
          </m:sSubPr>
          <m:e>
            <m:r>
              <w:rPr>
                <w:rFonts w:ascii="Cambria Math" w:hAnsi="Cambria Math"/>
                <w:color w:val="ED7D31" w:themeColor="accent2"/>
              </w:rPr>
              <m:t>μ</m:t>
            </m:r>
          </m:e>
          <m:sub>
            <m:r>
              <w:rPr>
                <w:rFonts w:ascii="Cambria Math" w:hAnsi="Cambria Math"/>
                <w:color w:val="ED7D31" w:themeColor="accent2"/>
              </w:rPr>
              <m:t>i</m:t>
            </m:r>
          </m:sub>
        </m:sSub>
      </m:oMath>
      <w:r>
        <w:rPr>
          <w:color w:val="ED7D31" w:themeColor="accent2"/>
        </w:rPr>
        <w:t xml:space="preserve"> and the dose levels:</w:t>
      </w:r>
    </w:p>
    <w:p w14:paraId="34A83A04" w14:textId="77777777" w:rsidR="0060671D" w:rsidRPr="00FB087B" w:rsidRDefault="000E0496" w:rsidP="0060671D">
      <w:pPr>
        <w:pStyle w:val="ListParagraph"/>
        <w:ind w:left="1080"/>
        <w:rPr>
          <w:color w:val="ED7D31" w:themeColor="accent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μ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</m:sSub>
          <m:r>
            <w:rPr>
              <w:rFonts w:ascii="Cambria Math" w:hAnsi="Cambria Math"/>
              <w:color w:val="ED7D31" w:themeColor="accent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β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0e</m:t>
              </m:r>
              <m:ctrlPr>
                <w:rPr>
                  <w:rFonts w:ascii="Cambria Math" w:hAnsi="Cambria Math" w:hint="eastAsia"/>
                  <w:i/>
                  <w:color w:val="ED7D31" w:themeColor="accent2"/>
                </w:rPr>
              </m:ctrlPr>
            </m:sub>
          </m:sSub>
          <m:r>
            <w:rPr>
              <w:rFonts w:ascii="Cambria Math" w:hAnsi="Cambria Math"/>
              <w:color w:val="ED7D31" w:themeColor="accent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β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1e</m:t>
              </m:r>
              <m:ctrlPr>
                <w:rPr>
                  <w:rFonts w:ascii="Cambria Math" w:hAnsi="Cambria Math" w:hint="eastAsia"/>
                  <w:i/>
                  <w:color w:val="ED7D31" w:themeColor="accent2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x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</m:sSub>
        </m:oMath>
      </m:oMathPara>
    </w:p>
    <w:p w14:paraId="34C684FE" w14:textId="77777777" w:rsidR="0060671D" w:rsidRDefault="0060671D" w:rsidP="0060671D">
      <w:pPr>
        <w:pStyle w:val="ListParagraph"/>
        <w:numPr>
          <w:ilvl w:val="0"/>
          <w:numId w:val="3"/>
        </w:numPr>
        <w:rPr>
          <w:color w:val="ED7D31" w:themeColor="accent2"/>
        </w:rPr>
      </w:pPr>
      <w:proofErr w:type="gramStart"/>
      <w:r>
        <w:rPr>
          <w:color w:val="ED7D31" w:themeColor="accent2"/>
        </w:rPr>
        <w:t>Or,</w:t>
      </w:r>
      <w:proofErr w:type="gramEnd"/>
      <w:r>
        <w:rPr>
          <w:color w:val="ED7D31" w:themeColor="accent2"/>
        </w:rPr>
        <w:t xml:space="preserve"> we can assume the relationship between </w:t>
      </w:r>
      <m:oMath>
        <m:sSub>
          <m:sSubPr>
            <m:ctrlPr>
              <w:rPr>
                <w:rFonts w:ascii="Cambria Math" w:hAnsi="Cambria Math"/>
                <w:i/>
                <w:color w:val="ED7D31" w:themeColor="accent2"/>
              </w:rPr>
            </m:ctrlPr>
          </m:sSubPr>
          <m:e>
            <m:r>
              <w:rPr>
                <w:rFonts w:ascii="Cambria Math" w:hAnsi="Cambria Math"/>
                <w:color w:val="ED7D31" w:themeColor="accent2"/>
              </w:rPr>
              <m:t>μ</m:t>
            </m:r>
          </m:e>
          <m:sub>
            <m:r>
              <w:rPr>
                <w:rFonts w:ascii="Cambria Math" w:hAnsi="Cambria Math"/>
                <w:color w:val="ED7D31" w:themeColor="accent2"/>
              </w:rPr>
              <m:t>i</m:t>
            </m:r>
          </m:sub>
        </m:sSub>
      </m:oMath>
      <w:r>
        <w:rPr>
          <w:color w:val="ED7D31" w:themeColor="accent2"/>
        </w:rPr>
        <w:t xml:space="preserve"> and the dose levels is also logistic like toxicity (the logistic curve might look more realistic):</w:t>
      </w:r>
    </w:p>
    <w:p w14:paraId="3EE8E070" w14:textId="77777777" w:rsidR="0060671D" w:rsidRPr="00BF79AE" w:rsidRDefault="000E0496" w:rsidP="0060671D">
      <w:pPr>
        <w:pStyle w:val="ListParagraph"/>
        <w:ind w:left="108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μ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</m:sSub>
          <m:r>
            <w:rPr>
              <w:rFonts w:ascii="Cambria Math" w:hAnsi="Cambria Math"/>
              <w:color w:val="ED7D31" w:themeColor="accent2"/>
            </w:rPr>
            <m:t>=</m:t>
          </m:r>
          <m:r>
            <w:rPr>
              <w:rFonts w:ascii="Cambria Math" w:hAnsi="Cambria Math" w:hint="eastAsia"/>
              <w:color w:val="ED7D31" w:themeColor="accent2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0e</m:t>
                  </m:r>
                </m:sub>
              </m:sSub>
              <m:r>
                <w:rPr>
                  <w:rFonts w:ascii="Cambria Math" w:hAnsi="Cambria Math"/>
                  <w:color w:val="ED7D31" w:themeColor="accent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  <m:ctrlPr>
                    <w:rPr>
                      <w:rFonts w:ascii="Cambria Math" w:hAnsi="Cambria Math" w:hint="eastAsia"/>
                      <w:i/>
                      <w:color w:val="ED7D31" w:themeColor="accent2"/>
                    </w:rPr>
                  </m:ctrlPr>
                </m:sub>
              </m:sSub>
            </m:e>
          </m:d>
          <m:r>
            <w:rPr>
              <w:rFonts w:ascii="Cambria Math" w:hAnsi="Cambria Math"/>
              <w:color w:val="ED7D31" w:themeColor="accent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color w:val="ED7D31" w:themeColor="accent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ED7D31" w:themeColor="accent2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0e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  <w:color w:val="ED7D31" w:themeColor="accent2"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1e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color w:val="ED7D31" w:themeColor="accent2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color w:val="ED7D31" w:themeColor="accent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ED7D31" w:themeColor="accent2"/>
                    </w:rPr>
                    <m:t>exp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0e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1t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den>
          </m:f>
        </m:oMath>
      </m:oMathPara>
    </w:p>
    <w:p w14:paraId="06F6EC34" w14:textId="77777777" w:rsidR="0060671D" w:rsidRDefault="0060671D" w:rsidP="0060671D">
      <w:pPr>
        <w:pStyle w:val="ListParagraph"/>
        <w:numPr>
          <w:ilvl w:val="0"/>
          <w:numId w:val="3"/>
        </w:numPr>
        <w:rPr>
          <w:color w:val="ED7D31" w:themeColor="accent2"/>
        </w:rPr>
      </w:pPr>
      <w:r>
        <w:rPr>
          <w:color w:val="ED7D31" w:themeColor="accent2"/>
        </w:rPr>
        <w:t>We might keep the idea the original paper proposed but we might need come up with new ideas to perform under-dose control.</w:t>
      </w:r>
    </w:p>
    <w:p w14:paraId="49D02D41" w14:textId="77777777" w:rsidR="0060671D" w:rsidRDefault="0060671D" w:rsidP="0060671D">
      <w:pPr>
        <w:ind w:left="720"/>
        <w:rPr>
          <w:color w:val="ED7D31" w:themeColor="accent2"/>
        </w:rPr>
      </w:pPr>
    </w:p>
    <w:p w14:paraId="5264F074" w14:textId="77777777" w:rsidR="0060671D" w:rsidRPr="006C2E4A" w:rsidRDefault="0060671D" w:rsidP="0060671D">
      <w:pPr>
        <w:ind w:left="720"/>
        <w:rPr>
          <w:color w:val="ED7D31" w:themeColor="accent2"/>
        </w:rPr>
      </w:pPr>
      <w:r>
        <w:rPr>
          <w:color w:val="ED7D31" w:themeColor="accent2"/>
        </w:rPr>
        <w:t xml:space="preserve">Re-parameterization for 2): </w:t>
      </w:r>
    </w:p>
    <w:p w14:paraId="056963D1" w14:textId="77777777" w:rsidR="0060671D" w:rsidRPr="00272A21" w:rsidRDefault="000E0496" w:rsidP="0060671D">
      <w:pPr>
        <w:pStyle w:val="ListParagraph"/>
        <w:rPr>
          <w:color w:val="ED7D31" w:themeColor="accent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β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0e</m:t>
              </m:r>
              <m:ctrlPr>
                <w:rPr>
                  <w:rFonts w:ascii="Cambria Math" w:hAnsi="Cambria Math" w:hint="eastAsia"/>
                  <w:i/>
                  <w:color w:val="ED7D31" w:themeColor="accent2"/>
                </w:rPr>
              </m:ctrlPr>
            </m:sub>
          </m:sSub>
          <m:r>
            <w:rPr>
              <w:rFonts w:ascii="Cambria Math" w:hAnsi="Cambria Math"/>
              <w:color w:val="ED7D31" w:themeColor="accent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color w:val="ED7D31" w:themeColor="accent2"/>
                </w:rPr>
                <m:t>logit</m:t>
              </m:r>
              <m:d>
                <m:d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E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color w:val="ED7D31" w:themeColor="accent2"/>
                </w:rPr>
                <m:t>logit(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0e</m:t>
                  </m:r>
                </m:sub>
              </m:sSub>
              <m:r>
                <w:rPr>
                  <w:rFonts w:ascii="Cambria Math" w:hAnsi="Cambria Math"/>
                  <w:color w:val="ED7D31" w:themeColor="accent2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E</m:t>
                  </m:r>
                </m:sub>
              </m:sSub>
            </m:den>
          </m:f>
        </m:oMath>
      </m:oMathPara>
    </w:p>
    <w:p w14:paraId="3726FBF4" w14:textId="77777777" w:rsidR="0060671D" w:rsidRPr="00272A21" w:rsidRDefault="000E0496" w:rsidP="0060671D">
      <w:pPr>
        <w:pStyle w:val="ListParagraph"/>
        <w:rPr>
          <w:color w:val="ED7D31" w:themeColor="accent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β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1e</m:t>
              </m:r>
            </m:sub>
          </m:sSub>
          <m:r>
            <w:rPr>
              <w:rFonts w:ascii="Cambria Math" w:hAnsi="Cambria Math"/>
              <w:color w:val="ED7D31" w:themeColor="accent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fPr>
            <m:num>
              <m:r>
                <w:rPr>
                  <w:rFonts w:ascii="Cambria Math" w:hAnsi="Cambria Math"/>
                  <w:color w:val="ED7D31" w:themeColor="accent2"/>
                </w:rPr>
                <m:t>logit(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0e</m:t>
                  </m:r>
                </m:sub>
              </m:sSub>
              <m:r>
                <w:rPr>
                  <w:rFonts w:ascii="Cambria Math" w:hAnsi="Cambria Math"/>
                  <w:color w:val="ED7D31" w:themeColor="accent2"/>
                </w:rPr>
                <m:t>)-logit(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  <m:ctrlPr>
                    <w:rPr>
                      <w:rFonts w:ascii="Cambria Math" w:hAnsi="Cambria Math" w:hint="eastAsia"/>
                      <w:i/>
                      <w:color w:val="ED7D31" w:themeColor="accent2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color w:val="ED7D31" w:themeColor="accent2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E</m:t>
                  </m:r>
                </m:sub>
              </m:sSub>
            </m:den>
          </m:f>
        </m:oMath>
      </m:oMathPara>
    </w:p>
    <w:p w14:paraId="6D9C8DDD" w14:textId="77777777" w:rsidR="0060671D" w:rsidRPr="008D3C0C" w:rsidRDefault="0060671D" w:rsidP="0060671D">
      <w:pPr>
        <w:rPr>
          <w:color w:val="ED7D31" w:themeColor="accent2"/>
        </w:rPr>
      </w:pPr>
    </w:p>
    <w:p w14:paraId="29FB4967" w14:textId="77777777" w:rsidR="0060671D" w:rsidRDefault="0060671D" w:rsidP="0060671D">
      <w:pPr>
        <w:pStyle w:val="ListParagraph"/>
      </w:pPr>
      <w:r>
        <w:t xml:space="preserve">Comment: here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has been normalized and range from 0 to 1.</w:t>
      </w:r>
    </w:p>
    <w:p w14:paraId="283BC079" w14:textId="77777777" w:rsidR="0060671D" w:rsidRDefault="0060671D" w:rsidP="0060671D">
      <w:pPr>
        <w:pStyle w:val="ListParagraph"/>
      </w:pPr>
    </w:p>
    <w:p w14:paraId="1753A372" w14:textId="77777777" w:rsidR="0060671D" w:rsidRDefault="0060671D" w:rsidP="0060671D">
      <w:pPr>
        <w:pStyle w:val="ListParagraph"/>
        <w:numPr>
          <w:ilvl w:val="0"/>
          <w:numId w:val="1"/>
        </w:numPr>
      </w:pPr>
      <w:r>
        <w:t>Joint distribution of (</w:t>
      </w:r>
      <m:oMath>
        <m:r>
          <w:rPr>
            <w:rFonts w:ascii="Cambria Math" w:hAnsi="Cambria Math"/>
          </w:rPr>
          <m:t xml:space="preserve">S,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>):</w:t>
      </w:r>
    </w:p>
    <w:p w14:paraId="7EB21CCF" w14:textId="77777777" w:rsidR="0060671D" w:rsidRPr="00176281" w:rsidRDefault="0060671D" w:rsidP="0060671D">
      <w:pPr>
        <w:pStyle w:val="ListParagraph"/>
      </w:pPr>
      <w:bookmarkStart w:id="0" w:name="OLE_LINK1"/>
      <w:bookmarkStart w:id="1" w:name="OLE_LINK2"/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, S</m:t>
              </m:r>
            </m:e>
          </m:d>
          <m:r>
            <w:rPr>
              <w:rFonts w:ascii="Cambria Math" w:hAnsi="Cambria Math"/>
            </w:rPr>
            <m:t>=f(S)f(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|S)</m:t>
          </m:r>
        </m:oMath>
      </m:oMathPara>
    </w:p>
    <w:bookmarkEnd w:id="0"/>
    <w:bookmarkEnd w:id="1"/>
    <w:p w14:paraId="12082D95" w14:textId="77777777" w:rsidR="0060671D" w:rsidRDefault="0060671D" w:rsidP="0060671D">
      <w:pPr>
        <w:pStyle w:val="ListParagraph"/>
      </w:pPr>
      <w:r>
        <w:t xml:space="preserve">Given S, we assumed that the distribution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 xml:space="preserve"> is normal.</w:t>
      </w:r>
    </w:p>
    <w:p w14:paraId="5EC974AF" w14:textId="77777777" w:rsidR="0060671D" w:rsidRPr="00176281" w:rsidRDefault="0060671D" w:rsidP="0060671D">
      <w:pPr>
        <w:pStyle w:val="ListParagraph"/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[-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-τ(S-ξ|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 w:hint="eastAsia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}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]</m:t>
          </m:r>
        </m:oMath>
      </m:oMathPara>
    </w:p>
    <w:p w14:paraId="718E4952" w14:textId="77777777" w:rsidR="0060671D" w:rsidRDefault="0060671D" w:rsidP="0060671D">
      <w:r>
        <w:rPr>
          <w:i/>
        </w:rPr>
        <w:tab/>
      </w:r>
      <w:r>
        <w:rPr>
          <w:iCs/>
        </w:rPr>
        <w:t xml:space="preserve">Where </w:t>
      </w:r>
      <m:oMath>
        <m:r>
          <w:rPr>
            <w:rFonts w:ascii="Cambria Math" w:hAnsi="Cambria Math"/>
          </w:rPr>
          <m:t>τ</m:t>
        </m:r>
      </m:oMath>
      <w:r>
        <w:t xml:space="preserve"> is the parameter for the regression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 xml:space="preserve"> on S. Large absolute values of </w:t>
      </w:r>
      <m:oMath>
        <m:r>
          <w:rPr>
            <w:rFonts w:ascii="Cambria Math" w:hAnsi="Cambria Math"/>
          </w:rPr>
          <m:t>τ</m:t>
        </m:r>
      </m:oMath>
      <w:r>
        <w:t xml:space="preserve"> indicate a strong correlation between the two </w:t>
      </w:r>
      <w:proofErr w:type="gramStart"/>
      <w:r>
        <w:t>outcomes.</w:t>
      </w:r>
      <w:proofErr w:type="gramEnd"/>
      <w:r>
        <w:t xml:space="preserve"> When </w:t>
      </w:r>
      <m:oMath>
        <m:r>
          <w:rPr>
            <w:rFonts w:ascii="Cambria Math" w:hAnsi="Cambria Math"/>
          </w:rPr>
          <m:t>τ</m:t>
        </m:r>
      </m:oMath>
      <w:r>
        <w:t xml:space="preserve"> = 0, the two outcomes are independent given the dose level of agent A in the model. The correlation based on this model is</w:t>
      </w:r>
    </w:p>
    <w:p w14:paraId="7A9FB044" w14:textId="77777777" w:rsidR="0060671D" w:rsidRPr="00BF4779" w:rsidRDefault="0060671D" w:rsidP="0060671D"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, S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ξ(1-ξ)</m:t>
                      </m:r>
                    </m:den>
                  </m:f>
                </m:e>
              </m:rad>
            </m:den>
          </m:f>
        </m:oMath>
      </m:oMathPara>
    </w:p>
    <w:p w14:paraId="5B3A2D0B" w14:textId="77777777" w:rsidR="0060671D" w:rsidRDefault="0060671D" w:rsidP="0060671D"/>
    <w:p w14:paraId="61DEE113" w14:textId="77777777" w:rsidR="0060671D" w:rsidRDefault="0060671D" w:rsidP="0060671D">
      <w:pPr>
        <w:pStyle w:val="ListParagraph"/>
        <w:numPr>
          <w:ilvl w:val="0"/>
          <w:numId w:val="2"/>
        </w:numPr>
      </w:pPr>
      <w:r>
        <w:t>Selling point: continuous toxicity endpoint as NETS ranging from 0 to 1, instead of 0 and 1 (binary).</w:t>
      </w:r>
    </w:p>
    <w:p w14:paraId="3E6D8D30" w14:textId="77777777" w:rsidR="0060671D" w:rsidRDefault="0060671D" w:rsidP="0060671D">
      <w:pPr>
        <w:pStyle w:val="ListParagraph"/>
        <w:numPr>
          <w:ilvl w:val="0"/>
          <w:numId w:val="2"/>
        </w:numPr>
      </w:pPr>
      <w:r>
        <w:t>We used EWOUC (over- and underdose control)</w:t>
      </w:r>
    </w:p>
    <w:p w14:paraId="0BCE4AE0" w14:textId="77777777" w:rsidR="0060671D" w:rsidRDefault="0060671D" w:rsidP="0060671D">
      <w:pPr>
        <w:pStyle w:val="ListParagraph"/>
        <w:numPr>
          <w:ilvl w:val="0"/>
          <w:numId w:val="2"/>
        </w:numPr>
      </w:pPr>
      <w:r>
        <w:lastRenderedPageBreak/>
        <w:t>Efficacy is truncated normal distributed in simulation (more meaning).</w:t>
      </w:r>
    </w:p>
    <w:p w14:paraId="041B1E17" w14:textId="77777777" w:rsidR="0060671D" w:rsidRPr="00176281" w:rsidRDefault="0060671D" w:rsidP="0060671D">
      <w:pPr>
        <w:pStyle w:val="ListParagraph"/>
        <w:numPr>
          <w:ilvl w:val="0"/>
          <w:numId w:val="2"/>
        </w:numPr>
      </w:pPr>
      <w:r>
        <w:t>Reduced the parameters and we standardized the efficacy within 0 and 1.</w:t>
      </w:r>
    </w:p>
    <w:p w14:paraId="07454E9C" w14:textId="77777777" w:rsidR="00FC22EA" w:rsidRDefault="000E0496"/>
    <w:sectPr w:rsidR="00FC2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F4596"/>
    <w:multiLevelType w:val="hybridMultilevel"/>
    <w:tmpl w:val="B2AAB87E"/>
    <w:lvl w:ilvl="0" w:tplc="028C21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4B175A"/>
    <w:multiLevelType w:val="hybridMultilevel"/>
    <w:tmpl w:val="DF3A52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E33C7"/>
    <w:multiLevelType w:val="hybridMultilevel"/>
    <w:tmpl w:val="82C435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1D"/>
    <w:rsid w:val="000704B0"/>
    <w:rsid w:val="000E0496"/>
    <w:rsid w:val="002F756C"/>
    <w:rsid w:val="003B7CAE"/>
    <w:rsid w:val="004937DB"/>
    <w:rsid w:val="0060671D"/>
    <w:rsid w:val="00611F3E"/>
    <w:rsid w:val="00773737"/>
    <w:rsid w:val="008C58EB"/>
    <w:rsid w:val="00E9420F"/>
    <w:rsid w:val="00EE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25AE74"/>
  <w15:chartTrackingRefBased/>
  <w15:docId w15:val="{3BFB99B3-E61E-5B48-91C3-7FD7915F9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Jieqi"/>
    <w:qFormat/>
    <w:rsid w:val="0060671D"/>
    <w:pPr>
      <w:spacing w:line="36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Tu, Jieqi</dc:creator>
  <cp:keywords/>
  <dc:description/>
  <cp:lastModifiedBy>Tu, Jieqi</cp:lastModifiedBy>
  <cp:revision>4</cp:revision>
  <dcterms:created xsi:type="dcterms:W3CDTF">2021-03-16T20:07:00Z</dcterms:created>
  <dcterms:modified xsi:type="dcterms:W3CDTF">2021-06-16T18:29:00Z</dcterms:modified>
</cp:coreProperties>
</file>