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5F6" w14:textId="17FDBD9E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Figure 1. Dose response curves for </w:t>
      </w:r>
      <w:r w:rsidR="00756C0B">
        <w:rPr>
          <w:rFonts w:cs="Times New Roman"/>
          <w:bCs/>
          <w:color w:val="000000"/>
          <w:sz w:val="24"/>
          <w:szCs w:val="24"/>
        </w:rPr>
        <w:t>three</w:t>
      </w:r>
      <w:r w:rsidRPr="0056341A">
        <w:rPr>
          <w:rFonts w:cs="Times New Roman"/>
          <w:bCs/>
          <w:color w:val="000000"/>
          <w:sz w:val="24"/>
          <w:szCs w:val="24"/>
        </w:rPr>
        <w:t xml:space="preserve"> scenarios</w:t>
      </w:r>
    </w:p>
    <w:p w14:paraId="6F40B956" w14:textId="4CB9A457" w:rsidR="007D7D8B" w:rsidRDefault="00A33C3F" w:rsidP="00A33C3F">
      <w:pPr>
        <w:jc w:val="center"/>
      </w:pPr>
      <w:r w:rsidRPr="00A33C3F">
        <w:rPr>
          <w:noProof/>
        </w:rPr>
        <w:drawing>
          <wp:inline distT="0" distB="0" distL="0" distR="0" wp14:anchorId="08E27E7E" wp14:editId="0795ED81">
            <wp:extent cx="4056657" cy="7120991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840" cy="71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1F96" w14:textId="3AD260BA" w:rsidR="00EC56DF" w:rsidRDefault="00AA464E" w:rsidP="00AA464E">
      <w:r w:rsidRPr="0056341A">
        <w:t>Dose response curves for toxicity (bl</w:t>
      </w:r>
      <w:r w:rsidR="007B373D">
        <w:t>ue</w:t>
      </w:r>
      <w:r w:rsidRPr="0056341A">
        <w:t>), efficacy (</w:t>
      </w:r>
      <w:r w:rsidR="007B373D">
        <w:t>purple</w:t>
      </w:r>
      <w:r w:rsidRPr="0056341A">
        <w:t>), and utility (red). True MTD and MED are noted on two curves, respectively.</w:t>
      </w:r>
    </w:p>
    <w:p w14:paraId="50849C36" w14:textId="77777777" w:rsidR="005871FD" w:rsidRPr="00BE52D3" w:rsidRDefault="005871FD" w:rsidP="005871FD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E473D1">
        <w:rPr>
          <w:rFonts w:cs="Times New Roman"/>
          <w:bCs/>
          <w:color w:val="000000"/>
          <w:sz w:val="24"/>
          <w:szCs w:val="24"/>
        </w:rPr>
        <w:lastRenderedPageBreak/>
        <w:t xml:space="preserve">Table </w:t>
      </w:r>
      <w:r>
        <w:rPr>
          <w:rFonts w:cs="Times New Roman"/>
          <w:bCs/>
          <w:color w:val="000000"/>
          <w:sz w:val="24"/>
          <w:szCs w:val="24"/>
        </w:rPr>
        <w:t>1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. DLT rates/Average NETS utility under each design for the </w:t>
      </w:r>
      <w:r>
        <w:rPr>
          <w:rFonts w:cs="Times New Roman"/>
          <w:bCs/>
          <w:color w:val="000000"/>
          <w:sz w:val="24"/>
          <w:szCs w:val="24"/>
        </w:rPr>
        <w:t>3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340"/>
        <w:gridCol w:w="1440"/>
        <w:gridCol w:w="1440"/>
        <w:gridCol w:w="1440"/>
      </w:tblGrid>
      <w:tr w:rsidR="005871FD" w14:paraId="1A3E7550" w14:textId="77777777" w:rsidTr="008A259B">
        <w:trPr>
          <w:trHeight w:val="673"/>
          <w:jc w:val="center"/>
        </w:trPr>
        <w:tc>
          <w:tcPr>
            <w:tcW w:w="3415" w:type="dxa"/>
            <w:gridSpan w:val="2"/>
            <w:vAlign w:val="bottom"/>
          </w:tcPr>
          <w:p w14:paraId="0A69B091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13A76233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440" w:type="dxa"/>
            <w:vAlign w:val="bottom"/>
          </w:tcPr>
          <w:p w14:paraId="176F08DC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440" w:type="dxa"/>
            <w:vAlign w:val="bottom"/>
          </w:tcPr>
          <w:p w14:paraId="19B39A98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5871FD" w14:paraId="0F089765" w14:textId="77777777" w:rsidTr="008A259B">
        <w:trPr>
          <w:trHeight w:val="411"/>
          <w:jc w:val="center"/>
        </w:trPr>
        <w:tc>
          <w:tcPr>
            <w:tcW w:w="1075" w:type="dxa"/>
            <w:vMerge w:val="restart"/>
            <w:vAlign w:val="center"/>
          </w:tcPr>
          <w:p w14:paraId="69274B76" w14:textId="77777777" w:rsidR="005871FD" w:rsidRPr="00F26951" w:rsidRDefault="005871FD" w:rsidP="000E70C6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DLT rates</w:t>
            </w:r>
          </w:p>
        </w:tc>
        <w:tc>
          <w:tcPr>
            <w:tcW w:w="2340" w:type="dxa"/>
            <w:vAlign w:val="center"/>
          </w:tcPr>
          <w:p w14:paraId="2386E00F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440" w:type="dxa"/>
            <w:vAlign w:val="center"/>
          </w:tcPr>
          <w:p w14:paraId="084E7266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440" w:type="dxa"/>
            <w:vAlign w:val="center"/>
          </w:tcPr>
          <w:p w14:paraId="44876974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440" w:type="dxa"/>
            <w:vAlign w:val="center"/>
          </w:tcPr>
          <w:p w14:paraId="19E55C09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5871FD" w14:paraId="19240213" w14:textId="77777777" w:rsidTr="008A259B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57A4B42A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4A08B1E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440" w:type="dxa"/>
            <w:vAlign w:val="center"/>
          </w:tcPr>
          <w:p w14:paraId="7E05F242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440" w:type="dxa"/>
            <w:vAlign w:val="center"/>
          </w:tcPr>
          <w:p w14:paraId="452BD18D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440" w:type="dxa"/>
            <w:vAlign w:val="center"/>
          </w:tcPr>
          <w:p w14:paraId="3D12E690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5871FD" w14:paraId="6CE0A454" w14:textId="77777777" w:rsidTr="008A259B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15704BA0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1011FFDC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440" w:type="dxa"/>
            <w:vAlign w:val="center"/>
          </w:tcPr>
          <w:p w14:paraId="1D916062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440" w:type="dxa"/>
            <w:vAlign w:val="center"/>
          </w:tcPr>
          <w:p w14:paraId="6D2B51B0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440" w:type="dxa"/>
            <w:vAlign w:val="center"/>
          </w:tcPr>
          <w:p w14:paraId="31E9AEB8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5871FD" w14:paraId="350051E6" w14:textId="77777777" w:rsidTr="008A259B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010D2268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FED94DE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440" w:type="dxa"/>
            <w:vAlign w:val="center"/>
          </w:tcPr>
          <w:p w14:paraId="0875057C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440" w:type="dxa"/>
            <w:vAlign w:val="center"/>
          </w:tcPr>
          <w:p w14:paraId="0C60163B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440" w:type="dxa"/>
            <w:vAlign w:val="center"/>
          </w:tcPr>
          <w:p w14:paraId="5D41810A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</w:tr>
      <w:tr w:rsidR="005871FD" w14:paraId="35A26298" w14:textId="77777777" w:rsidTr="008A259B">
        <w:trPr>
          <w:trHeight w:val="673"/>
          <w:jc w:val="center"/>
        </w:trPr>
        <w:tc>
          <w:tcPr>
            <w:tcW w:w="1075" w:type="dxa"/>
            <w:vAlign w:val="center"/>
          </w:tcPr>
          <w:p w14:paraId="6852A24B" w14:textId="77777777" w:rsidR="005871FD" w:rsidRDefault="005871FD" w:rsidP="007D4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2340" w:type="dxa"/>
            <w:vAlign w:val="center"/>
          </w:tcPr>
          <w:p w14:paraId="45290ADC" w14:textId="029A036C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</w:t>
            </w:r>
          </w:p>
        </w:tc>
        <w:tc>
          <w:tcPr>
            <w:tcW w:w="1440" w:type="dxa"/>
            <w:vAlign w:val="center"/>
          </w:tcPr>
          <w:p w14:paraId="52927E2D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440" w:type="dxa"/>
            <w:vAlign w:val="center"/>
          </w:tcPr>
          <w:p w14:paraId="58FF5F89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440" w:type="dxa"/>
            <w:vAlign w:val="center"/>
          </w:tcPr>
          <w:p w14:paraId="5800E6C8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</w:tbl>
    <w:p w14:paraId="31AD3630" w14:textId="77777777" w:rsidR="005871FD" w:rsidRDefault="005871FD" w:rsidP="005871FD"/>
    <w:p w14:paraId="5D04A887" w14:textId="77777777" w:rsidR="005871FD" w:rsidRDefault="005871FD" w:rsidP="005871FD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6C21BC3" w14:textId="77777777" w:rsidR="005871FD" w:rsidRDefault="005871FD" w:rsidP="005871FD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FAFBDB7" w14:textId="6EFCBC88" w:rsidR="005871FD" w:rsidRDefault="005871FD" w:rsidP="005871FD">
      <w:pPr>
        <w:jc w:val="center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Table 2. Expected utility under each design for the </w:t>
      </w:r>
      <w:r w:rsidR="00813F76">
        <w:rPr>
          <w:rFonts w:cs="Times New Roman"/>
          <w:bCs/>
          <w:color w:val="000000"/>
          <w:sz w:val="24"/>
          <w:szCs w:val="24"/>
        </w:rPr>
        <w:t>3</w:t>
      </w:r>
      <w:r>
        <w:rPr>
          <w:rFonts w:cs="Times New Roman"/>
          <w:bCs/>
          <w:color w:val="000000"/>
          <w:sz w:val="24"/>
          <w:szCs w:val="24"/>
        </w:rPr>
        <w:t xml:space="preserve">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070"/>
        <w:gridCol w:w="1481"/>
        <w:gridCol w:w="1368"/>
        <w:gridCol w:w="1397"/>
      </w:tblGrid>
      <w:tr w:rsidR="005871FD" w:rsidRPr="00F26951" w14:paraId="7F7237FF" w14:textId="77777777" w:rsidTr="000E70C6">
        <w:trPr>
          <w:jc w:val="center"/>
        </w:trPr>
        <w:tc>
          <w:tcPr>
            <w:tcW w:w="3415" w:type="dxa"/>
            <w:gridSpan w:val="2"/>
            <w:vAlign w:val="center"/>
          </w:tcPr>
          <w:p w14:paraId="040DDFF7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81" w:type="dxa"/>
            <w:vAlign w:val="bottom"/>
          </w:tcPr>
          <w:p w14:paraId="2355A8FA" w14:textId="77777777" w:rsidR="005871FD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368" w:type="dxa"/>
            <w:vAlign w:val="bottom"/>
          </w:tcPr>
          <w:p w14:paraId="284032AC" w14:textId="77777777" w:rsidR="005871FD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397" w:type="dxa"/>
            <w:vAlign w:val="bottom"/>
          </w:tcPr>
          <w:p w14:paraId="41E4BEA3" w14:textId="77777777" w:rsidR="005871FD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5871FD" w:rsidRPr="00F26951" w14:paraId="1B7116B1" w14:textId="77777777" w:rsidTr="000E70C6">
        <w:trPr>
          <w:jc w:val="center"/>
        </w:trPr>
        <w:tc>
          <w:tcPr>
            <w:tcW w:w="1345" w:type="dxa"/>
            <w:vMerge w:val="restart"/>
            <w:vAlign w:val="center"/>
          </w:tcPr>
          <w:p w14:paraId="5BDB2819" w14:textId="77777777" w:rsidR="005871FD" w:rsidRPr="003C5C57" w:rsidRDefault="005871FD" w:rsidP="000E70C6">
            <w:pPr>
              <w:jc w:val="center"/>
              <w:rPr>
                <w:sz w:val="20"/>
                <w:szCs w:val="20"/>
              </w:rPr>
            </w:pPr>
            <w:r w:rsidRPr="003C5C57">
              <w:rPr>
                <w:sz w:val="20"/>
                <w:szCs w:val="20"/>
              </w:rPr>
              <w:t>Expected Utility</w:t>
            </w:r>
          </w:p>
        </w:tc>
        <w:tc>
          <w:tcPr>
            <w:tcW w:w="2070" w:type="dxa"/>
            <w:vAlign w:val="center"/>
          </w:tcPr>
          <w:p w14:paraId="019E27AB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481" w:type="dxa"/>
            <w:vAlign w:val="center"/>
          </w:tcPr>
          <w:p w14:paraId="2B6483C5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68" w:type="dxa"/>
            <w:vAlign w:val="center"/>
          </w:tcPr>
          <w:p w14:paraId="4A1FDC55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397" w:type="dxa"/>
            <w:vAlign w:val="center"/>
          </w:tcPr>
          <w:p w14:paraId="43547DF6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</w:tr>
      <w:tr w:rsidR="005871FD" w:rsidRPr="00F26951" w14:paraId="2C47E9CF" w14:textId="77777777" w:rsidTr="000E70C6">
        <w:trPr>
          <w:jc w:val="center"/>
        </w:trPr>
        <w:tc>
          <w:tcPr>
            <w:tcW w:w="1345" w:type="dxa"/>
            <w:vMerge/>
            <w:vAlign w:val="bottom"/>
          </w:tcPr>
          <w:p w14:paraId="5C805359" w14:textId="77777777" w:rsidR="005871FD" w:rsidRDefault="005871FD" w:rsidP="000E70C6">
            <w:pPr>
              <w:jc w:val="center"/>
            </w:pPr>
          </w:p>
        </w:tc>
        <w:tc>
          <w:tcPr>
            <w:tcW w:w="2070" w:type="dxa"/>
            <w:vAlign w:val="center"/>
          </w:tcPr>
          <w:p w14:paraId="420A6F60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481" w:type="dxa"/>
            <w:vAlign w:val="center"/>
          </w:tcPr>
          <w:p w14:paraId="255F7AE3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368" w:type="dxa"/>
            <w:vAlign w:val="center"/>
          </w:tcPr>
          <w:p w14:paraId="5AFA151B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397" w:type="dxa"/>
            <w:vAlign w:val="center"/>
          </w:tcPr>
          <w:p w14:paraId="470880F4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-0.85</w:t>
            </w:r>
          </w:p>
        </w:tc>
      </w:tr>
      <w:tr w:rsidR="005871FD" w:rsidRPr="00F26951" w14:paraId="6F891CDD" w14:textId="77777777" w:rsidTr="000E70C6">
        <w:trPr>
          <w:jc w:val="center"/>
        </w:trPr>
        <w:tc>
          <w:tcPr>
            <w:tcW w:w="1345" w:type="dxa"/>
            <w:vMerge/>
            <w:vAlign w:val="bottom"/>
          </w:tcPr>
          <w:p w14:paraId="5DE16385" w14:textId="77777777" w:rsidR="005871FD" w:rsidRDefault="005871FD" w:rsidP="000E70C6">
            <w:pPr>
              <w:jc w:val="center"/>
            </w:pPr>
          </w:p>
        </w:tc>
        <w:tc>
          <w:tcPr>
            <w:tcW w:w="2070" w:type="dxa"/>
            <w:vAlign w:val="center"/>
          </w:tcPr>
          <w:p w14:paraId="2AB3BD6F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481" w:type="dxa"/>
            <w:vAlign w:val="center"/>
          </w:tcPr>
          <w:p w14:paraId="4C77162D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1368" w:type="dxa"/>
            <w:vAlign w:val="center"/>
          </w:tcPr>
          <w:p w14:paraId="0F9AA7CC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97" w:type="dxa"/>
            <w:vAlign w:val="center"/>
          </w:tcPr>
          <w:p w14:paraId="3B2402B8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</w:tr>
      <w:tr w:rsidR="005871FD" w:rsidRPr="00F26951" w14:paraId="1ADFD2C0" w14:textId="77777777" w:rsidTr="000E70C6">
        <w:trPr>
          <w:jc w:val="center"/>
        </w:trPr>
        <w:tc>
          <w:tcPr>
            <w:tcW w:w="1345" w:type="dxa"/>
            <w:vMerge/>
            <w:vAlign w:val="bottom"/>
          </w:tcPr>
          <w:p w14:paraId="7A254A2F" w14:textId="77777777" w:rsidR="005871FD" w:rsidRDefault="005871FD" w:rsidP="000E70C6">
            <w:pPr>
              <w:jc w:val="center"/>
            </w:pPr>
          </w:p>
        </w:tc>
        <w:tc>
          <w:tcPr>
            <w:tcW w:w="2070" w:type="dxa"/>
            <w:vAlign w:val="center"/>
          </w:tcPr>
          <w:p w14:paraId="039BEFAE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481" w:type="dxa"/>
            <w:vAlign w:val="center"/>
          </w:tcPr>
          <w:p w14:paraId="10468A68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368" w:type="dxa"/>
            <w:vAlign w:val="center"/>
          </w:tcPr>
          <w:p w14:paraId="7D3860FD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397" w:type="dxa"/>
            <w:vAlign w:val="center"/>
          </w:tcPr>
          <w:p w14:paraId="76EDC65D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</w:tr>
      <w:tr w:rsidR="005871FD" w:rsidRPr="00F26951" w14:paraId="4ABBF1B1" w14:textId="77777777" w:rsidTr="000E70C6">
        <w:trPr>
          <w:jc w:val="center"/>
        </w:trPr>
        <w:tc>
          <w:tcPr>
            <w:tcW w:w="1345" w:type="dxa"/>
            <w:vMerge/>
            <w:vAlign w:val="bottom"/>
          </w:tcPr>
          <w:p w14:paraId="17A4D80F" w14:textId="77777777" w:rsidR="005871FD" w:rsidRDefault="005871FD" w:rsidP="000E70C6">
            <w:pPr>
              <w:jc w:val="center"/>
            </w:pPr>
          </w:p>
        </w:tc>
        <w:tc>
          <w:tcPr>
            <w:tcW w:w="2070" w:type="dxa"/>
            <w:vAlign w:val="center"/>
          </w:tcPr>
          <w:p w14:paraId="2A0175CB" w14:textId="030CC799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</w:t>
            </w:r>
          </w:p>
        </w:tc>
        <w:tc>
          <w:tcPr>
            <w:tcW w:w="1481" w:type="dxa"/>
            <w:vAlign w:val="center"/>
          </w:tcPr>
          <w:p w14:paraId="1510A505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1368" w:type="dxa"/>
            <w:vAlign w:val="center"/>
          </w:tcPr>
          <w:p w14:paraId="3A97741A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97" w:type="dxa"/>
            <w:vAlign w:val="center"/>
          </w:tcPr>
          <w:p w14:paraId="5F4DE7A1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-0.36</w:t>
            </w:r>
          </w:p>
        </w:tc>
      </w:tr>
    </w:tbl>
    <w:p w14:paraId="2FD799C7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08A9BB8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80B7E47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5C3C470F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52218DD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7545F902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6807C7C3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5F0FEDDE" w14:textId="77777777" w:rsidR="00FC6AE4" w:rsidRDefault="00FC6AE4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7DB5C299" w14:textId="38F661BA" w:rsidR="00EC56DF" w:rsidRPr="0056341A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lastRenderedPageBreak/>
        <w:t xml:space="preserve">Table </w:t>
      </w:r>
      <w:r w:rsidR="00FB7B2B">
        <w:rPr>
          <w:rFonts w:cs="Times New Roman"/>
          <w:bCs/>
          <w:color w:val="000000"/>
          <w:sz w:val="24"/>
          <w:szCs w:val="24"/>
        </w:rPr>
        <w:t>3</w:t>
      </w:r>
      <w:r w:rsidR="00AB1C10">
        <w:rPr>
          <w:rFonts w:cs="Times New Roman"/>
          <w:bCs/>
          <w:color w:val="000000"/>
          <w:sz w:val="24"/>
          <w:szCs w:val="24"/>
        </w:rPr>
        <w:t>.</w:t>
      </w:r>
      <w:r w:rsidRPr="0056341A">
        <w:rPr>
          <w:rFonts w:cs="Times New Roman"/>
          <w:bCs/>
          <w:color w:val="000000"/>
          <w:sz w:val="24"/>
          <w:szCs w:val="24"/>
        </w:rPr>
        <w:t xml:space="preserve"> Dose recommendation percentage of each dose level for 4 designs under </w:t>
      </w:r>
      <w:r w:rsidR="00FC6AE4">
        <w:rPr>
          <w:rFonts w:cs="Times New Roman"/>
          <w:bCs/>
          <w:color w:val="000000"/>
          <w:sz w:val="24"/>
          <w:szCs w:val="24"/>
        </w:rPr>
        <w:t>3</w:t>
      </w:r>
      <w:r w:rsidRPr="0056341A">
        <w:rPr>
          <w:rFonts w:cs="Times New Roman"/>
          <w:bCs/>
          <w:color w:val="000000"/>
          <w:sz w:val="24"/>
          <w:szCs w:val="24"/>
        </w:rPr>
        <w:t xml:space="preserve">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756"/>
        <w:gridCol w:w="756"/>
        <w:gridCol w:w="756"/>
        <w:gridCol w:w="756"/>
        <w:gridCol w:w="756"/>
        <w:gridCol w:w="876"/>
      </w:tblGrid>
      <w:tr w:rsidR="00EC56DF" w:rsidRPr="0056341A" w14:paraId="4619D3C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3DEBC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0482C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EC56DF" w:rsidRPr="0056341A" w14:paraId="1BB1AD3B" w14:textId="77777777" w:rsidTr="00E81203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E37B5" w14:textId="77777777" w:rsidR="00EC56DF" w:rsidRPr="0056341A" w:rsidRDefault="00EC56DF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0C005B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76889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2C10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0B94F268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43BC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6EDE8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EC56DF" w:rsidRPr="0056341A" w14:paraId="2631999C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F8302" w14:textId="2DB4A806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19DA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9AC70" w14:textId="7264201C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B4D" w14:textId="15B9700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4B4C10F" w14:textId="060B77E4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05E3" w14:textId="5CD52723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19A1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4796333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EB80F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7EEB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EB9F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91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1F21B2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779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FCB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198F0FD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7D72A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4EB5" w14:textId="5D43D5B0" w:rsidR="00EC56DF" w:rsidRPr="0056341A" w:rsidRDefault="00F81BDC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789" w14:textId="6F2CBF38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FE2F" w14:textId="15174981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25C1BA2" w14:textId="6889A2ED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BF10" w14:textId="79B4C185" w:rsidR="00EC56DF" w:rsidRPr="00F81BDC" w:rsidRDefault="00F81BDC" w:rsidP="007D7D8B">
            <w:pPr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cs="Times New Roman"/>
                <w:color w:val="000000"/>
                <w:sz w:val="24"/>
                <w:szCs w:val="24"/>
              </w:rPr>
              <w:t>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A9EE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7FE9396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5E56D6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36130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84D1B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6EB2C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5ECD267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F49FA4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13351B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EC56DF" w:rsidRPr="0056341A" w14:paraId="6CB68C4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4B1FA5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09DBE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4FF8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0BF87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F47FB4C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80551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4C71C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B409BE" w:rsidRPr="0056341A" w14:paraId="4A150F2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94B3AA5" w14:textId="483334F5" w:rsidR="00B409BE" w:rsidRPr="0056341A" w:rsidRDefault="00B409BE" w:rsidP="00B409B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15A8C7" w14:textId="49D17509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F8B627" w14:textId="0383B503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B70EA89" w14:textId="6EC3E64A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72.30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5E240B1" w14:textId="6C66998B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3D8A59C" w14:textId="371D62A8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9562D50" w14:textId="7D5E95ED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0.70 </w:t>
            </w:r>
          </w:p>
        </w:tc>
      </w:tr>
      <w:tr w:rsidR="00EC56DF" w:rsidRPr="0056341A" w14:paraId="0B13E334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4B9B82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F99C2D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D55CD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57AC0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2A6F4F0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387CA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126E0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583752" w:rsidRPr="0056341A" w14:paraId="1436A08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16395F" w14:textId="065E00CC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2A3F6D0" w14:textId="5EF5C551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40426F" w14:textId="159F978F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170FE" w14:textId="26860857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498A3DA" w14:textId="7EFABEB4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D2CB65" w14:textId="7472FC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D1BC6F" w14:textId="7A3D21F7" w:rsidR="00583752" w:rsidRDefault="00583752" w:rsidP="00583752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C76396" w:rsidRPr="0056341A" w14:paraId="7AA39BF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00182" w14:textId="2F955BA6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93DF" w14:textId="2B2D84B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C76396" w:rsidRPr="0056341A" w14:paraId="5E653E9A" w14:textId="77777777" w:rsidTr="00A43C17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33748" w14:textId="77777777" w:rsidR="00C76396" w:rsidRPr="0056341A" w:rsidRDefault="00C76396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8CBC5F" w14:textId="44CC8299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233BB0" w14:textId="469F6D7B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B5AB19" w14:textId="15D34C56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171C7F5" w14:textId="14F7175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0CEBB" w14:textId="29E4AB68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7B5C6" w14:textId="780443B5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C76396" w:rsidRPr="0056341A" w14:paraId="5C000680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7355" w14:textId="4A652FCE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87877" w14:textId="23B4721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25F58" w14:textId="1F048DB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0A54F" w14:textId="0099020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72A8BB" w14:textId="7F91DED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BFF065" w14:textId="119FBC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5F9E1" w14:textId="267054F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35EFD4F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64D92" w14:textId="3FEFE19F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A912F" w14:textId="15E3F8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0AC4B" w14:textId="0770C62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E623C" w14:textId="20790A1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26B58FC" w14:textId="3FD4E35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1A438" w14:textId="3067D2B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5EF08" w14:textId="2D92DD5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74D560A8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986AE" w14:textId="39668A21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AC95" w14:textId="247CBB38" w:rsidR="00C76396" w:rsidRPr="0056341A" w:rsidRDefault="00D93853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B522" w14:textId="582B8AB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6AD7F" w14:textId="7B0AF6A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4E0ABA4D" w14:textId="6C8A317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FBA9" w14:textId="72910DDD" w:rsidR="00C76396" w:rsidRPr="0056341A" w:rsidRDefault="00D93853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83427" w14:textId="412DB81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322C7F7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E9F87B" w14:textId="3777A906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EE4C72" w14:textId="7647B6D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F76904" w14:textId="52190F0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846964" w14:textId="1DB9D61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2CBEEE0" w14:textId="23CF644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97AB7D" w14:textId="32ABE2E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9AC962" w14:textId="7B8388A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C76396" w:rsidRPr="0056341A" w14:paraId="0EFC4434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227096" w14:textId="011B903C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461676" w14:textId="50E2699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D8A354" w14:textId="53358F8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FEAE18" w14:textId="1599A75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969D417" w14:textId="405ECDB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FA5C7C" w14:textId="0253333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BACAA0" w14:textId="639AE90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C76396" w:rsidRPr="0056341A" w14:paraId="0F673038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3C1AED9" w14:textId="75E72B07" w:rsidR="00C76396" w:rsidRPr="0056341A" w:rsidRDefault="00C76396" w:rsidP="00FA567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85D67A4" w14:textId="576E0E95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25DC9E1" w14:textId="06B6FAA9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16ABA3" w14:textId="7C7B3312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7C33918" w14:textId="04011076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772465A" w14:textId="52D9E839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1D579" w14:textId="228EBA82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</w:tr>
      <w:tr w:rsidR="00C76396" w:rsidRPr="0056341A" w14:paraId="6E24C5AE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AFE68" w14:textId="09586E27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EEBDCA" w14:textId="656A2E9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F3B857" w14:textId="3C00A49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F39FCC" w14:textId="1C87AEF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64625CF" w14:textId="35CC605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2541B9" w14:textId="227C760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575A01" w14:textId="5B87DAE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C76396" w:rsidRPr="0056341A" w14:paraId="29BF335D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1147A8" w14:textId="7A913EA7" w:rsidR="00C76396" w:rsidRDefault="00C76396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</w:t>
            </w:r>
            <w:r w:rsidR="002A665B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3F6C4C1" w14:textId="167B206F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E72050" w14:textId="3DAF0048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CF952D" w14:textId="162E81A4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1B9A9958" w14:textId="7E7103ED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F98F13" w14:textId="23E657D7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F29808" w14:textId="4F379399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C76396" w:rsidRPr="0056341A" w14:paraId="40C41519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0A504" w14:textId="508DFA83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74738" w14:textId="701E138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C76396" w:rsidRPr="0056341A" w14:paraId="151DECEA" w14:textId="77777777" w:rsidTr="00A43C17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2D2F" w14:textId="77777777" w:rsidR="00C76396" w:rsidRPr="0056341A" w:rsidRDefault="00C76396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543A65" w14:textId="24FD0FF7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50F1C3" w14:textId="6FC10604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577ABE" w14:textId="29D75719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0C87A3" w14:textId="23526AB6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C7664" w14:textId="167E6F61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616D608" w14:textId="516F4E2D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C76396" w:rsidRPr="0056341A" w14:paraId="5F05128E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169816" w14:textId="2BB636D7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55DFB" w14:textId="4A44684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345CA" w14:textId="0984E44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94DE5" w14:textId="231070B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E193F" w14:textId="6356ABF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B2B34" w14:textId="779D8D9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FA52EE6" w14:textId="086C479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69A062E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5CC18" w14:textId="2FF49A61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38DE2" w14:textId="1890511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6F6C9" w14:textId="4E67DFA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265523" w14:textId="629451BC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9CEA91" w14:textId="6643213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FA81F" w14:textId="7427A44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4241993C" w14:textId="37DB7F6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675B7BD3" w14:textId="77777777" w:rsidTr="00A43C17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ECBB3" w14:textId="6F1F6EA5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D96A11" w14:textId="240DF95B" w:rsidR="00C76396" w:rsidRPr="0056341A" w:rsidRDefault="00D93853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C6F86D" w14:textId="195E61E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3536F4" w14:textId="31616C3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8A01CF" w14:textId="103F6EBC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7453DF" w14:textId="3B7ACB1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AC23441" w14:textId="00741F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7E284642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AA422B" w14:textId="500D8C3F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DB93069" w14:textId="0FF8DB5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82D5E2" w14:textId="50E028F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A53F93E" w14:textId="4E69684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8DBDEE" w14:textId="0D3051A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C176D" w14:textId="6B69474A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4DB5A69" w14:textId="0929B2F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C76396" w:rsidRPr="0056341A" w14:paraId="1774C4B7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1C4331" w14:textId="3313C30E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4A9A52" w14:textId="54368F9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0F2EBB" w14:textId="5430E49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78087D6" w14:textId="00BCDD7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8E7F6A8" w14:textId="7CBE001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EE63AB" w14:textId="2093294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57292C2" w14:textId="390F977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C76396" w:rsidRPr="0056341A" w14:paraId="1C607D0F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AAE8DDB" w14:textId="6C0FBCB0" w:rsidR="00C76396" w:rsidRPr="0056341A" w:rsidRDefault="00C76396" w:rsidP="00086EE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584C8AC" w14:textId="083FF000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2135E94" w14:textId="12B10E77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C20236A" w14:textId="558CA31F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7FB7691" w14:textId="26BDECF9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5008972" w14:textId="206CD6E2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70A59C0C" w14:textId="62E81A2E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96.40 </w:t>
            </w:r>
          </w:p>
        </w:tc>
      </w:tr>
      <w:tr w:rsidR="00C76396" w:rsidRPr="0056341A" w14:paraId="7AB85F97" w14:textId="77777777" w:rsidTr="00C2579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95E66" w14:textId="4A6EB1B2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73DBB" w14:textId="0D40E13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27FE22" w14:textId="1FA0864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74D37F7" w14:textId="614FC5A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868E1DD" w14:textId="5CDC696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AD9AAC" w14:textId="37136AC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113ABF3" w14:textId="2493259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C76396" w:rsidRPr="0056341A" w14:paraId="135A38E7" w14:textId="77777777" w:rsidTr="00C2579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E6293F3" w14:textId="72F6FB7E" w:rsidR="00C76396" w:rsidRPr="0056341A" w:rsidRDefault="00C76396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D278C3" w14:textId="60C946EB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6FC67B" w14:textId="6FAA2212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21E170D" w14:textId="671AA7AC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673AAC" w14:textId="704CE779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429029" w14:textId="5FF8F409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7AA126CB" w14:textId="42214866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92.40</w:t>
            </w:r>
          </w:p>
        </w:tc>
      </w:tr>
    </w:tbl>
    <w:p w14:paraId="6CF492EF" w14:textId="76DF8367" w:rsidR="00EC56DF" w:rsidRDefault="00EC56DF" w:rsidP="00AA464E"/>
    <w:p w14:paraId="6619AE8A" w14:textId="77777777" w:rsidR="00C76396" w:rsidRDefault="00C76396" w:rsidP="00AA464E"/>
    <w:p w14:paraId="587CF46C" w14:textId="77777777" w:rsidR="009A369A" w:rsidRDefault="009A369A" w:rsidP="00BE52D3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7F0F1C71" w14:textId="01C30D65" w:rsidR="003D7A12" w:rsidRDefault="003D7A12" w:rsidP="005871FD">
      <w:pPr>
        <w:rPr>
          <w:rFonts w:cs="Times New Roman"/>
          <w:bCs/>
          <w:color w:val="000000"/>
          <w:sz w:val="24"/>
          <w:szCs w:val="24"/>
        </w:rPr>
      </w:pPr>
    </w:p>
    <w:p w14:paraId="32E5965D" w14:textId="77777777" w:rsidR="003D7A12" w:rsidRDefault="003D7A12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6CAF09AC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</w:t>
      </w:r>
      <w:r w:rsidR="00CB331D">
        <w:rPr>
          <w:rFonts w:cs="Times New Roman"/>
          <w:bCs/>
          <w:color w:val="000000"/>
          <w:sz w:val="24"/>
          <w:szCs w:val="24"/>
        </w:rPr>
        <w:t>4</w:t>
      </w:r>
      <w:r w:rsidRPr="0056341A">
        <w:rPr>
          <w:rFonts w:cs="Times New Roman"/>
          <w:bCs/>
          <w:color w:val="000000"/>
          <w:sz w:val="24"/>
          <w:szCs w:val="24"/>
        </w:rPr>
        <w:t>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E70162" w:rsidRPr="0056341A" w14:paraId="5ABFAA2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AD26F77" w14:textId="300243EE" w:rsidR="00E70162" w:rsidRPr="0056341A" w:rsidRDefault="00E70162" w:rsidP="00E7016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B066B" w14:textId="7688CE0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01F6B5" w14:textId="7955E4A5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6274AB" w14:textId="6F318DF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A2281C9" w14:textId="5B213372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D9E8AA" w14:textId="23BF8517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0.04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285159DE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17B5D3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29FF69A4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A1D41C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72ED07DD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0.18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03D9BCF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="003D7A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B35ADD" w:rsidRPr="0056341A" w14:paraId="6F0BE0C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E4F088" w14:textId="63370562" w:rsidR="00B35ADD" w:rsidRPr="0056341A" w:rsidRDefault="00B35ADD" w:rsidP="00B35AD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EC73DC" w14:textId="3C14CFEB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525B2B0" w14:textId="057942B7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44D5D7" w14:textId="18011FE1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25.11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5CC7305" w14:textId="7E30B375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47.37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655F74" w14:textId="2D617C9A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8.72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2B8B3D6D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36A765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="001361B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053C8" w:rsidRPr="0056341A" w14:paraId="3648D26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849F59" w14:textId="2B5367E3" w:rsidR="007053C8" w:rsidRPr="0056341A" w:rsidRDefault="007053C8" w:rsidP="007053C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E20A8D" w14:textId="779D0773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BB8862" w14:textId="5E33AD47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16BE42F" w14:textId="7F8B6936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D849E" w14:textId="22503674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E7554F3" w14:textId="7A45C11A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338CDDAF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4A84F9A2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6FA91895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1DF760AB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738A4E96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3C7A1AB2" w14:textId="1DE101F8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5C15576A" w14:textId="39C772EC" w:rsidR="00984C81" w:rsidRDefault="00984C81" w:rsidP="003F368C">
      <w:pPr>
        <w:jc w:val="center"/>
        <w:rPr>
          <w:rFonts w:cs="Times New Roman"/>
          <w:sz w:val="24"/>
          <w:szCs w:val="24"/>
        </w:rPr>
      </w:pPr>
    </w:p>
    <w:p w14:paraId="3390936A" w14:textId="4C740E84" w:rsidR="00984C81" w:rsidRDefault="00984C81" w:rsidP="003F368C">
      <w:pPr>
        <w:jc w:val="center"/>
        <w:rPr>
          <w:rFonts w:cs="Times New Roman"/>
          <w:sz w:val="24"/>
          <w:szCs w:val="24"/>
        </w:rPr>
      </w:pPr>
    </w:p>
    <w:p w14:paraId="1B5DC2F6" w14:textId="770D0525" w:rsidR="00984C81" w:rsidRDefault="00984C81" w:rsidP="003F368C">
      <w:pPr>
        <w:jc w:val="center"/>
        <w:rPr>
          <w:rFonts w:cs="Times New Roman"/>
          <w:sz w:val="24"/>
          <w:szCs w:val="24"/>
        </w:rPr>
      </w:pPr>
    </w:p>
    <w:p w14:paraId="3393FD3D" w14:textId="11F113A2" w:rsidR="00984C81" w:rsidRPr="00984C81" w:rsidRDefault="00984C81" w:rsidP="00984C81">
      <w:pPr>
        <w:jc w:val="center"/>
        <w:rPr>
          <w:rFonts w:eastAsia="SimSun" w:cs="Times New Roman"/>
          <w:sz w:val="24"/>
          <w:szCs w:val="24"/>
        </w:rPr>
      </w:pPr>
      <w:r w:rsidRPr="00984C81">
        <w:rPr>
          <w:rFonts w:eastAsia="SimSun" w:cs="Times New Roman"/>
          <w:sz w:val="24"/>
          <w:szCs w:val="24"/>
        </w:rPr>
        <w:lastRenderedPageBreak/>
        <w:t>Table 5. Simulation results (1000 replicates) of the trial designed with the EWOUC-</w:t>
      </w:r>
      <w:r>
        <w:rPr>
          <w:rFonts w:eastAsia="SimSun" w:cs="Times New Roman"/>
          <w:sz w:val="24"/>
          <w:szCs w:val="24"/>
        </w:rPr>
        <w:t>NETS</w:t>
      </w:r>
      <w:r w:rsidRPr="00984C81">
        <w:rPr>
          <w:rFonts w:eastAsia="SimSun" w:cs="Times New Roman"/>
          <w:sz w:val="24"/>
          <w:szCs w:val="24"/>
        </w:rPr>
        <w:t>.</w:t>
      </w:r>
    </w:p>
    <w:tbl>
      <w:tblPr>
        <w:tblStyle w:val="TableGrid1"/>
        <w:tblW w:w="9720" w:type="dxa"/>
        <w:tblInd w:w="108" w:type="dxa"/>
        <w:tblLook w:val="04A0" w:firstRow="1" w:lastRow="0" w:firstColumn="1" w:lastColumn="0" w:noHBand="0" w:noVBand="1"/>
      </w:tblPr>
      <w:tblGrid>
        <w:gridCol w:w="3060"/>
        <w:gridCol w:w="1350"/>
        <w:gridCol w:w="1260"/>
        <w:gridCol w:w="1440"/>
        <w:gridCol w:w="1350"/>
        <w:gridCol w:w="1260"/>
      </w:tblGrid>
      <w:tr w:rsidR="00984C81" w:rsidRPr="00984C81" w14:paraId="3BACED8B" w14:textId="77777777" w:rsidTr="000E70C6">
        <w:trPr>
          <w:trHeight w:val="300"/>
        </w:trPr>
        <w:tc>
          <w:tcPr>
            <w:tcW w:w="3060" w:type="dxa"/>
            <w:noWrap/>
            <w:hideMark/>
          </w:tcPr>
          <w:p w14:paraId="4F66D2C5" w14:textId="77777777" w:rsidR="00984C81" w:rsidRPr="00984C81" w:rsidRDefault="00984C81" w:rsidP="00984C81">
            <w:pPr>
              <w:spacing w:after="0" w:line="240" w:lineRule="auto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Dose Level</w:t>
            </w:r>
          </w:p>
        </w:tc>
        <w:tc>
          <w:tcPr>
            <w:tcW w:w="1350" w:type="dxa"/>
            <w:noWrap/>
            <w:hideMark/>
          </w:tcPr>
          <w:p w14:paraId="36B09F97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30E73D65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322B27DB" w14:textId="2B4593FB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noWrap/>
            <w:hideMark/>
          </w:tcPr>
          <w:p w14:paraId="3CA4C012" w14:textId="274AC932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4</w:t>
            </w:r>
            <w:r w:rsidR="00013FD1" w:rsidRPr="00984C81">
              <w:rPr>
                <w:rFonts w:eastAsia="SimSun" w:cs="Times New Roman"/>
                <w:sz w:val="24"/>
                <w:szCs w:val="24"/>
              </w:rPr>
              <w:t>*</w:t>
            </w:r>
          </w:p>
        </w:tc>
        <w:tc>
          <w:tcPr>
            <w:tcW w:w="1260" w:type="dxa"/>
            <w:noWrap/>
            <w:hideMark/>
          </w:tcPr>
          <w:p w14:paraId="17693F45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5</w:t>
            </w:r>
          </w:p>
        </w:tc>
      </w:tr>
      <w:tr w:rsidR="00984C81" w:rsidRPr="00984C81" w14:paraId="2B91460D" w14:textId="77777777" w:rsidTr="000E70C6">
        <w:trPr>
          <w:trHeight w:val="300"/>
        </w:trPr>
        <w:tc>
          <w:tcPr>
            <w:tcW w:w="3060" w:type="dxa"/>
            <w:noWrap/>
          </w:tcPr>
          <w:p w14:paraId="7421BF2A" w14:textId="77777777" w:rsidR="00984C81" w:rsidRPr="00984C81" w:rsidRDefault="00984C81" w:rsidP="00984C81">
            <w:pPr>
              <w:spacing w:after="0" w:line="240" w:lineRule="auto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kern w:val="0"/>
                <w:sz w:val="24"/>
                <w:szCs w:val="24"/>
              </w:rPr>
              <w:t>BKM120 (mg)</w:t>
            </w:r>
          </w:p>
        </w:tc>
        <w:tc>
          <w:tcPr>
            <w:tcW w:w="1350" w:type="dxa"/>
            <w:noWrap/>
          </w:tcPr>
          <w:p w14:paraId="4DAFAE03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20</w:t>
            </w:r>
          </w:p>
        </w:tc>
        <w:tc>
          <w:tcPr>
            <w:tcW w:w="1260" w:type="dxa"/>
            <w:noWrap/>
          </w:tcPr>
          <w:p w14:paraId="67B37763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40</w:t>
            </w:r>
          </w:p>
        </w:tc>
        <w:tc>
          <w:tcPr>
            <w:tcW w:w="1440" w:type="dxa"/>
            <w:noWrap/>
          </w:tcPr>
          <w:p w14:paraId="6AF80A0C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60</w:t>
            </w:r>
          </w:p>
        </w:tc>
        <w:tc>
          <w:tcPr>
            <w:tcW w:w="1350" w:type="dxa"/>
            <w:noWrap/>
          </w:tcPr>
          <w:p w14:paraId="48A65C94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80</w:t>
            </w:r>
          </w:p>
        </w:tc>
        <w:tc>
          <w:tcPr>
            <w:tcW w:w="1260" w:type="dxa"/>
            <w:noWrap/>
          </w:tcPr>
          <w:p w14:paraId="313A7B19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100</w:t>
            </w:r>
          </w:p>
        </w:tc>
      </w:tr>
      <w:tr w:rsidR="00984C81" w:rsidRPr="00984C81" w14:paraId="2F8504B0" w14:textId="77777777" w:rsidTr="000E70C6">
        <w:trPr>
          <w:trHeight w:val="300"/>
        </w:trPr>
        <w:tc>
          <w:tcPr>
            <w:tcW w:w="3060" w:type="dxa"/>
            <w:noWrap/>
          </w:tcPr>
          <w:p w14:paraId="7F391DA3" w14:textId="77777777" w:rsidR="00984C81" w:rsidRPr="00984C81" w:rsidRDefault="00984C81" w:rsidP="00984C81">
            <w:pPr>
              <w:spacing w:after="0" w:line="240" w:lineRule="auto"/>
              <w:rPr>
                <w:rFonts w:eastAsia="SimSun" w:cs="Times New Roman"/>
                <w:sz w:val="24"/>
                <w:szCs w:val="24"/>
              </w:rPr>
            </w:pPr>
            <w:proofErr w:type="spellStart"/>
            <w:r w:rsidRPr="00984C81">
              <w:rPr>
                <w:rFonts w:eastAsia="SimSun" w:cs="Times New Roman"/>
                <w:color w:val="000000"/>
                <w:kern w:val="0"/>
                <w:sz w:val="24"/>
                <w:szCs w:val="24"/>
              </w:rPr>
              <w:t>Everolimus</w:t>
            </w:r>
            <w:proofErr w:type="spellEnd"/>
            <w:r w:rsidRPr="00984C81">
              <w:rPr>
                <w:rFonts w:eastAsia="SimSun" w:cs="Times New Roman"/>
                <w:color w:val="000000"/>
                <w:kern w:val="0"/>
                <w:sz w:val="24"/>
                <w:szCs w:val="24"/>
              </w:rPr>
              <w:t xml:space="preserve"> (mg)</w:t>
            </w:r>
          </w:p>
        </w:tc>
        <w:tc>
          <w:tcPr>
            <w:tcW w:w="1350" w:type="dxa"/>
            <w:noWrap/>
          </w:tcPr>
          <w:p w14:paraId="4D32E9E7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noWrap/>
          </w:tcPr>
          <w:p w14:paraId="35442E24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noWrap/>
          </w:tcPr>
          <w:p w14:paraId="13AAF226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  <w:noWrap/>
          </w:tcPr>
          <w:p w14:paraId="201851D5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noWrap/>
          </w:tcPr>
          <w:p w14:paraId="60080A6E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10</w:t>
            </w:r>
          </w:p>
        </w:tc>
      </w:tr>
      <w:tr w:rsidR="00984C81" w:rsidRPr="00984C81" w14:paraId="725EB2BC" w14:textId="77777777" w:rsidTr="000E70C6">
        <w:trPr>
          <w:trHeight w:val="300"/>
        </w:trPr>
        <w:tc>
          <w:tcPr>
            <w:tcW w:w="3060" w:type="dxa"/>
            <w:noWrap/>
          </w:tcPr>
          <w:p w14:paraId="1D11AEE7" w14:textId="55D408E3" w:rsidR="00984C81" w:rsidRPr="00984C81" w:rsidRDefault="00B11075" w:rsidP="00984C81">
            <w:pPr>
              <w:spacing w:after="0" w:line="240" w:lineRule="auto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000000"/>
                <w:kern w:val="0"/>
                <w:sz w:val="24"/>
                <w:szCs w:val="24"/>
              </w:rPr>
              <w:t>Expected NETS</w:t>
            </w:r>
          </w:p>
        </w:tc>
        <w:tc>
          <w:tcPr>
            <w:tcW w:w="1350" w:type="dxa"/>
            <w:noWrap/>
            <w:vAlign w:val="bottom"/>
          </w:tcPr>
          <w:p w14:paraId="4A6F9B06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60" w:type="dxa"/>
            <w:noWrap/>
            <w:vAlign w:val="bottom"/>
          </w:tcPr>
          <w:p w14:paraId="369B1D7B" w14:textId="77777777" w:rsidR="00984C81" w:rsidRPr="00984C81" w:rsidRDefault="00984C81" w:rsidP="00984C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440" w:type="dxa"/>
            <w:noWrap/>
            <w:vAlign w:val="bottom"/>
          </w:tcPr>
          <w:p w14:paraId="77C6CB86" w14:textId="32BB0D92" w:rsidR="00984C81" w:rsidRPr="00984C81" w:rsidRDefault="00984C81" w:rsidP="00984C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0.1</w:t>
            </w:r>
            <w:r w:rsidR="00013FD1">
              <w:rPr>
                <w:rFonts w:eastAsia="SimSu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noWrap/>
            <w:vAlign w:val="bottom"/>
          </w:tcPr>
          <w:p w14:paraId="207ADDB3" w14:textId="3E02B527" w:rsidR="00984C81" w:rsidRPr="00984C81" w:rsidRDefault="00984C81" w:rsidP="00984C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</w:t>
            </w:r>
            <w:r w:rsidR="00013FD1">
              <w:rPr>
                <w:rFonts w:eastAsia="SimSu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60" w:type="dxa"/>
            <w:noWrap/>
            <w:vAlign w:val="bottom"/>
          </w:tcPr>
          <w:p w14:paraId="2497E5FC" w14:textId="372CACB5" w:rsidR="00984C81" w:rsidRPr="00984C81" w:rsidRDefault="00984C81" w:rsidP="00984C8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</w:t>
            </w:r>
            <w:r w:rsidR="00013FD1">
              <w:rPr>
                <w:rFonts w:eastAsia="SimSun"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984C81" w:rsidRPr="00984C81" w14:paraId="20B5AAE3" w14:textId="77777777" w:rsidTr="000E70C6">
        <w:trPr>
          <w:trHeight w:val="300"/>
        </w:trPr>
        <w:tc>
          <w:tcPr>
            <w:tcW w:w="3060" w:type="dxa"/>
            <w:noWrap/>
          </w:tcPr>
          <w:p w14:paraId="35FBCD5C" w14:textId="6076D2F6" w:rsidR="00984C81" w:rsidRPr="00984C81" w:rsidRDefault="00B11075" w:rsidP="00984C81">
            <w:pPr>
              <w:spacing w:after="0" w:line="240" w:lineRule="auto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000000"/>
                <w:kern w:val="0"/>
                <w:sz w:val="24"/>
                <w:szCs w:val="24"/>
              </w:rPr>
              <w:t xml:space="preserve">Expected </w:t>
            </w:r>
            <w:r w:rsidR="00984C81" w:rsidRPr="00984C81">
              <w:rPr>
                <w:rFonts w:eastAsia="SimSun" w:cs="Times New Roman"/>
                <w:color w:val="000000"/>
                <w:kern w:val="0"/>
                <w:sz w:val="24"/>
                <w:szCs w:val="24"/>
              </w:rPr>
              <w:t>Efficacy</w:t>
            </w:r>
          </w:p>
        </w:tc>
        <w:tc>
          <w:tcPr>
            <w:tcW w:w="1350" w:type="dxa"/>
            <w:noWrap/>
            <w:vAlign w:val="bottom"/>
          </w:tcPr>
          <w:p w14:paraId="18020E07" w14:textId="77777777" w:rsidR="00984C81" w:rsidRPr="00984C81" w:rsidRDefault="00984C8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260" w:type="dxa"/>
            <w:noWrap/>
            <w:vAlign w:val="bottom"/>
          </w:tcPr>
          <w:p w14:paraId="21E0E096" w14:textId="77777777" w:rsidR="00984C81" w:rsidRPr="00984C81" w:rsidRDefault="00984C8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440" w:type="dxa"/>
            <w:noWrap/>
            <w:vAlign w:val="bottom"/>
          </w:tcPr>
          <w:p w14:paraId="4B149D41" w14:textId="77777777" w:rsidR="00984C81" w:rsidRPr="00984C81" w:rsidRDefault="00984C8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350" w:type="dxa"/>
            <w:noWrap/>
            <w:vAlign w:val="bottom"/>
          </w:tcPr>
          <w:p w14:paraId="70E19A61" w14:textId="77777777" w:rsidR="00984C81" w:rsidRPr="00984C81" w:rsidRDefault="00984C8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260" w:type="dxa"/>
            <w:noWrap/>
            <w:vAlign w:val="bottom"/>
          </w:tcPr>
          <w:p w14:paraId="19EC7E4A" w14:textId="77777777" w:rsidR="00984C81" w:rsidRPr="00984C81" w:rsidRDefault="00984C8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0.98</w:t>
            </w:r>
          </w:p>
        </w:tc>
      </w:tr>
      <w:tr w:rsidR="00984C81" w:rsidRPr="00984C81" w14:paraId="4CAF5F1A" w14:textId="77777777" w:rsidTr="000E70C6">
        <w:trPr>
          <w:trHeight w:val="300"/>
        </w:trPr>
        <w:tc>
          <w:tcPr>
            <w:tcW w:w="3060" w:type="dxa"/>
            <w:noWrap/>
          </w:tcPr>
          <w:p w14:paraId="74697D4F" w14:textId="77777777" w:rsidR="00984C81" w:rsidRPr="00984C81" w:rsidRDefault="00984C81" w:rsidP="00984C81">
            <w:pPr>
              <w:spacing w:after="0" w:line="240" w:lineRule="auto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kern w:val="0"/>
                <w:sz w:val="24"/>
                <w:szCs w:val="24"/>
              </w:rPr>
              <w:t>Utility</w:t>
            </w:r>
          </w:p>
        </w:tc>
        <w:tc>
          <w:tcPr>
            <w:tcW w:w="1350" w:type="dxa"/>
            <w:noWrap/>
            <w:vAlign w:val="bottom"/>
          </w:tcPr>
          <w:p w14:paraId="0DF93E68" w14:textId="482F8036" w:rsidR="00984C81" w:rsidRPr="00984C81" w:rsidRDefault="00013FD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0.05</w:t>
            </w:r>
          </w:p>
        </w:tc>
        <w:tc>
          <w:tcPr>
            <w:tcW w:w="1260" w:type="dxa"/>
            <w:noWrap/>
            <w:vAlign w:val="bottom"/>
          </w:tcPr>
          <w:p w14:paraId="2DDBD541" w14:textId="1763AFF5" w:rsidR="00984C81" w:rsidRPr="00984C81" w:rsidRDefault="00984C8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</w:t>
            </w:r>
            <w:r w:rsidR="00013FD1">
              <w:rPr>
                <w:rFonts w:eastAsia="SimSu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40" w:type="dxa"/>
            <w:noWrap/>
            <w:vAlign w:val="bottom"/>
          </w:tcPr>
          <w:p w14:paraId="6590DE4D" w14:textId="4F127A15" w:rsidR="00984C81" w:rsidRPr="00984C81" w:rsidRDefault="00984C8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color w:val="000000"/>
                <w:sz w:val="24"/>
                <w:szCs w:val="24"/>
              </w:rPr>
              <w:t>0.</w:t>
            </w:r>
            <w:r w:rsidR="00013FD1">
              <w:rPr>
                <w:rFonts w:eastAsia="SimSu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350" w:type="dxa"/>
            <w:noWrap/>
            <w:vAlign w:val="bottom"/>
          </w:tcPr>
          <w:p w14:paraId="01AD18F4" w14:textId="7453FDDD" w:rsidR="00984C81" w:rsidRPr="00984C81" w:rsidRDefault="00013FD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0.63</w:t>
            </w:r>
          </w:p>
        </w:tc>
        <w:tc>
          <w:tcPr>
            <w:tcW w:w="1260" w:type="dxa"/>
            <w:noWrap/>
            <w:vAlign w:val="bottom"/>
          </w:tcPr>
          <w:p w14:paraId="68A2E81C" w14:textId="69AAE2FD" w:rsidR="00984C81" w:rsidRPr="00984C81" w:rsidRDefault="00013FD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0.50</w:t>
            </w:r>
          </w:p>
        </w:tc>
      </w:tr>
      <w:tr w:rsidR="00984C81" w:rsidRPr="00984C81" w14:paraId="3DFDB6E5" w14:textId="77777777" w:rsidTr="000E70C6">
        <w:trPr>
          <w:trHeight w:val="300"/>
        </w:trPr>
        <w:tc>
          <w:tcPr>
            <w:tcW w:w="3060" w:type="dxa"/>
            <w:noWrap/>
            <w:hideMark/>
          </w:tcPr>
          <w:p w14:paraId="7EE04C9F" w14:textId="77777777" w:rsidR="00984C81" w:rsidRPr="00984C81" w:rsidRDefault="00984C81" w:rsidP="00984C81">
            <w:pPr>
              <w:spacing w:after="0" w:line="240" w:lineRule="auto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Patient distribution</w:t>
            </w:r>
          </w:p>
        </w:tc>
        <w:tc>
          <w:tcPr>
            <w:tcW w:w="1350" w:type="dxa"/>
            <w:noWrap/>
            <w:hideMark/>
          </w:tcPr>
          <w:p w14:paraId="7DE86A57" w14:textId="7E6ECBDE" w:rsidR="00984C81" w:rsidRPr="00984C81" w:rsidRDefault="00013FD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9.37</w:t>
            </w:r>
          </w:p>
        </w:tc>
        <w:tc>
          <w:tcPr>
            <w:tcW w:w="1260" w:type="dxa"/>
            <w:noWrap/>
            <w:hideMark/>
          </w:tcPr>
          <w:p w14:paraId="5844921A" w14:textId="7CE7233D" w:rsidR="00984C81" w:rsidRPr="00984C81" w:rsidRDefault="00013FD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9.50</w:t>
            </w:r>
          </w:p>
        </w:tc>
        <w:tc>
          <w:tcPr>
            <w:tcW w:w="1440" w:type="dxa"/>
            <w:noWrap/>
            <w:hideMark/>
          </w:tcPr>
          <w:p w14:paraId="59A5CB15" w14:textId="72DFDD6F" w:rsidR="00984C81" w:rsidRPr="00984C81" w:rsidRDefault="00013FD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31.50</w:t>
            </w:r>
          </w:p>
        </w:tc>
        <w:tc>
          <w:tcPr>
            <w:tcW w:w="1350" w:type="dxa"/>
            <w:noWrap/>
            <w:hideMark/>
          </w:tcPr>
          <w:p w14:paraId="486CC416" w14:textId="374B84CD" w:rsidR="00984C81" w:rsidRPr="00984C81" w:rsidRDefault="00013FD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49.42</w:t>
            </w:r>
          </w:p>
        </w:tc>
        <w:tc>
          <w:tcPr>
            <w:tcW w:w="1260" w:type="dxa"/>
            <w:noWrap/>
            <w:hideMark/>
          </w:tcPr>
          <w:p w14:paraId="0FAB6992" w14:textId="455615B4" w:rsidR="00984C81" w:rsidRPr="00984C81" w:rsidRDefault="00984C8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0.</w:t>
            </w:r>
            <w:r w:rsidR="00013FD1">
              <w:rPr>
                <w:rFonts w:eastAsia="SimSun" w:cs="Times New Roman"/>
                <w:sz w:val="24"/>
                <w:szCs w:val="24"/>
              </w:rPr>
              <w:t>21</w:t>
            </w:r>
          </w:p>
        </w:tc>
      </w:tr>
      <w:tr w:rsidR="00984C81" w:rsidRPr="00984C81" w14:paraId="5EDB7CEC" w14:textId="77777777" w:rsidTr="000E70C6">
        <w:trPr>
          <w:trHeight w:val="300"/>
        </w:trPr>
        <w:tc>
          <w:tcPr>
            <w:tcW w:w="3060" w:type="dxa"/>
            <w:noWrap/>
            <w:hideMark/>
          </w:tcPr>
          <w:p w14:paraId="495E3327" w14:textId="77777777" w:rsidR="00984C81" w:rsidRPr="00984C81" w:rsidRDefault="00984C81" w:rsidP="00984C81">
            <w:pPr>
              <w:spacing w:after="0" w:line="240" w:lineRule="auto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Final dose recommendation</w:t>
            </w:r>
          </w:p>
        </w:tc>
        <w:tc>
          <w:tcPr>
            <w:tcW w:w="1350" w:type="dxa"/>
            <w:noWrap/>
            <w:hideMark/>
          </w:tcPr>
          <w:p w14:paraId="3DDD2F57" w14:textId="77E0D64B" w:rsidR="00984C81" w:rsidRPr="00984C81" w:rsidRDefault="00984C81" w:rsidP="00984C81">
            <w:pPr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0.</w:t>
            </w:r>
            <w:r w:rsidR="00013FD1">
              <w:rPr>
                <w:rFonts w:eastAsia="SimSun" w:cs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noWrap/>
            <w:hideMark/>
          </w:tcPr>
          <w:p w14:paraId="696E0414" w14:textId="0AD42E55" w:rsidR="00984C81" w:rsidRPr="00984C81" w:rsidRDefault="00013FD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0.00</w:t>
            </w:r>
          </w:p>
        </w:tc>
        <w:tc>
          <w:tcPr>
            <w:tcW w:w="1440" w:type="dxa"/>
            <w:noWrap/>
            <w:hideMark/>
          </w:tcPr>
          <w:p w14:paraId="3C9F6D8D" w14:textId="40A2BF9D" w:rsidR="00984C81" w:rsidRPr="00984C81" w:rsidRDefault="00013FD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16</w:t>
            </w:r>
            <w:r w:rsidR="00984C81" w:rsidRPr="00984C81">
              <w:rPr>
                <w:rFonts w:eastAsia="SimSun" w:cs="Times New Roman"/>
                <w:sz w:val="24"/>
                <w:szCs w:val="24"/>
              </w:rPr>
              <w:t>.</w:t>
            </w:r>
            <w:r>
              <w:rPr>
                <w:rFonts w:eastAsia="SimSun" w:cs="Times New Roman"/>
                <w:sz w:val="24"/>
                <w:szCs w:val="24"/>
              </w:rPr>
              <w:t>9</w:t>
            </w:r>
            <w:r w:rsidR="00984C81" w:rsidRPr="00984C81">
              <w:rPr>
                <w:rFonts w:eastAsia="SimSu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B3A7E7B" w14:textId="40BF48A6" w:rsidR="00984C81" w:rsidRPr="00984C81" w:rsidRDefault="00013FD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82</w:t>
            </w:r>
            <w:r w:rsidR="00984C81" w:rsidRPr="00984C81">
              <w:rPr>
                <w:rFonts w:eastAsia="SimSun" w:cs="Times New Roman"/>
                <w:sz w:val="24"/>
                <w:szCs w:val="24"/>
              </w:rPr>
              <w:t>.</w:t>
            </w:r>
            <w:r>
              <w:rPr>
                <w:rFonts w:eastAsia="SimSun" w:cs="Times New Roman"/>
                <w:sz w:val="24"/>
                <w:szCs w:val="24"/>
              </w:rPr>
              <w:t>5</w:t>
            </w:r>
            <w:r w:rsidR="00984C81" w:rsidRPr="00984C81">
              <w:rPr>
                <w:rFonts w:eastAsia="SimSu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E1320BC" w14:textId="75D26B83" w:rsidR="00984C81" w:rsidRPr="00984C81" w:rsidRDefault="00984C81" w:rsidP="00984C81">
            <w:pPr>
              <w:keepNext/>
              <w:keepLines/>
              <w:spacing w:after="0" w:line="240" w:lineRule="auto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984C81">
              <w:rPr>
                <w:rFonts w:eastAsia="SimSun" w:cs="Times New Roman"/>
                <w:sz w:val="24"/>
                <w:szCs w:val="24"/>
              </w:rPr>
              <w:t>0.</w:t>
            </w:r>
            <w:r w:rsidR="00013FD1">
              <w:rPr>
                <w:rFonts w:eastAsia="SimSun" w:cs="Times New Roman"/>
                <w:sz w:val="24"/>
                <w:szCs w:val="24"/>
              </w:rPr>
              <w:t>60</w:t>
            </w:r>
          </w:p>
        </w:tc>
      </w:tr>
    </w:tbl>
    <w:p w14:paraId="25546585" w14:textId="798A4FFA" w:rsidR="00984C81" w:rsidRPr="00984C81" w:rsidRDefault="00984C81" w:rsidP="00984C81">
      <w:pPr>
        <w:rPr>
          <w:rFonts w:eastAsia="SimSun" w:cs="Times New Roman"/>
          <w:sz w:val="24"/>
          <w:szCs w:val="24"/>
        </w:rPr>
      </w:pPr>
      <w:r w:rsidRPr="00984C81">
        <w:rPr>
          <w:rFonts w:eastAsia="SimSun" w:cs="Times New Roman"/>
          <w:sz w:val="24"/>
          <w:szCs w:val="24"/>
        </w:rPr>
        <w:t xml:space="preserve">*: The true OUD is dose level </w:t>
      </w:r>
      <w:r w:rsidR="00013FD1">
        <w:rPr>
          <w:rFonts w:eastAsia="SimSun" w:cs="Times New Roman"/>
          <w:sz w:val="24"/>
          <w:szCs w:val="24"/>
        </w:rPr>
        <w:t>4</w:t>
      </w:r>
      <w:r w:rsidRPr="00984C81">
        <w:rPr>
          <w:rFonts w:eastAsia="SimSun" w:cs="Times New Roman"/>
          <w:sz w:val="24"/>
          <w:szCs w:val="24"/>
        </w:rPr>
        <w:t>.</w:t>
      </w:r>
    </w:p>
    <w:p w14:paraId="498B5BF8" w14:textId="77777777" w:rsidR="00984C81" w:rsidRDefault="00984C81" w:rsidP="003F368C">
      <w:pPr>
        <w:jc w:val="center"/>
        <w:rPr>
          <w:rFonts w:cs="Times New Roman"/>
          <w:sz w:val="24"/>
          <w:szCs w:val="24"/>
        </w:rPr>
      </w:pPr>
    </w:p>
    <w:p w14:paraId="769E35EE" w14:textId="2E87DAF5" w:rsidR="003E16EE" w:rsidRDefault="003E16EE" w:rsidP="003F368C">
      <w:pPr>
        <w:jc w:val="center"/>
        <w:rPr>
          <w:rFonts w:cs="Times New Roman"/>
          <w:sz w:val="24"/>
          <w:szCs w:val="24"/>
        </w:rPr>
      </w:pPr>
    </w:p>
    <w:p w14:paraId="2CE7A745" w14:textId="4E08D9BB" w:rsidR="003E16EE" w:rsidRDefault="003E16EE" w:rsidP="003F368C">
      <w:pPr>
        <w:jc w:val="center"/>
        <w:rPr>
          <w:rFonts w:cs="Times New Roman"/>
          <w:sz w:val="24"/>
          <w:szCs w:val="24"/>
        </w:rPr>
      </w:pPr>
    </w:p>
    <w:p w14:paraId="4495C8B4" w14:textId="77777777" w:rsidR="003E16EE" w:rsidRDefault="003E16EE" w:rsidP="003F368C">
      <w:pPr>
        <w:jc w:val="center"/>
        <w:rPr>
          <w:rFonts w:cs="Times New Roman"/>
          <w:sz w:val="24"/>
          <w:szCs w:val="24"/>
        </w:rPr>
      </w:pPr>
    </w:p>
    <w:p w14:paraId="05B17B2B" w14:textId="5C85F7A2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t xml:space="preserve">Table </w:t>
      </w:r>
      <w:r w:rsidR="00D3309E">
        <w:rPr>
          <w:rFonts w:cs="Times New Roman"/>
          <w:sz w:val="24"/>
          <w:szCs w:val="24"/>
        </w:rPr>
        <w:t>6</w:t>
      </w:r>
      <w:r w:rsidRPr="0056341A">
        <w:rPr>
          <w:rFonts w:cs="Times New Roman"/>
          <w:sz w:val="24"/>
          <w:szCs w:val="24"/>
        </w:rPr>
        <w:t>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0" w:name="OLE_LINK1"/>
            <w:bookmarkStart w:id="1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0"/>
      <w:bookmarkEnd w:id="1"/>
    </w:tbl>
    <w:p w14:paraId="0B9C173B" w14:textId="300B8A25" w:rsidR="00844A9A" w:rsidRDefault="00844A9A" w:rsidP="00AA464E"/>
    <w:sectPr w:rsidR="00844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5E1A8" w14:textId="77777777" w:rsidR="007805C4" w:rsidRDefault="007805C4" w:rsidP="00F45F3E">
      <w:pPr>
        <w:spacing w:after="0" w:line="240" w:lineRule="auto"/>
      </w:pPr>
      <w:r>
        <w:separator/>
      </w:r>
    </w:p>
  </w:endnote>
  <w:endnote w:type="continuationSeparator" w:id="0">
    <w:p w14:paraId="5535D8A7" w14:textId="77777777" w:rsidR="007805C4" w:rsidRDefault="007805C4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03F6" w14:textId="77777777" w:rsidR="00C3260E" w:rsidRDefault="00C3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335F" w14:textId="77777777" w:rsidR="007805C4" w:rsidRDefault="007805C4" w:rsidP="00F45F3E">
      <w:pPr>
        <w:spacing w:after="0" w:line="240" w:lineRule="auto"/>
      </w:pPr>
      <w:r>
        <w:separator/>
      </w:r>
    </w:p>
  </w:footnote>
  <w:footnote w:type="continuationSeparator" w:id="0">
    <w:p w14:paraId="049696A7" w14:textId="77777777" w:rsidR="007805C4" w:rsidRDefault="007805C4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13FD1"/>
    <w:rsid w:val="000273C5"/>
    <w:rsid w:val="00065F76"/>
    <w:rsid w:val="000671F8"/>
    <w:rsid w:val="00086EE8"/>
    <w:rsid w:val="0008720E"/>
    <w:rsid w:val="000932DA"/>
    <w:rsid w:val="000A04F6"/>
    <w:rsid w:val="000B36EB"/>
    <w:rsid w:val="000D2A91"/>
    <w:rsid w:val="000D3D82"/>
    <w:rsid w:val="000E0C72"/>
    <w:rsid w:val="001017A7"/>
    <w:rsid w:val="001343EB"/>
    <w:rsid w:val="001361B0"/>
    <w:rsid w:val="00136523"/>
    <w:rsid w:val="001969B6"/>
    <w:rsid w:val="001C6199"/>
    <w:rsid w:val="002155E3"/>
    <w:rsid w:val="002A6405"/>
    <w:rsid w:val="002A665B"/>
    <w:rsid w:val="002E55F5"/>
    <w:rsid w:val="002F3D84"/>
    <w:rsid w:val="00310B83"/>
    <w:rsid w:val="003C5C57"/>
    <w:rsid w:val="003D7A12"/>
    <w:rsid w:val="003E16EE"/>
    <w:rsid w:val="003F368C"/>
    <w:rsid w:val="00444484"/>
    <w:rsid w:val="00444AE9"/>
    <w:rsid w:val="00460F56"/>
    <w:rsid w:val="00466059"/>
    <w:rsid w:val="004778D4"/>
    <w:rsid w:val="004B667D"/>
    <w:rsid w:val="00500BE9"/>
    <w:rsid w:val="005176F0"/>
    <w:rsid w:val="005326C9"/>
    <w:rsid w:val="00553450"/>
    <w:rsid w:val="00570213"/>
    <w:rsid w:val="00580A86"/>
    <w:rsid w:val="00583752"/>
    <w:rsid w:val="005871FD"/>
    <w:rsid w:val="005D39D2"/>
    <w:rsid w:val="00602A7A"/>
    <w:rsid w:val="006121A4"/>
    <w:rsid w:val="00614AEB"/>
    <w:rsid w:val="006351A5"/>
    <w:rsid w:val="00687173"/>
    <w:rsid w:val="006A3E26"/>
    <w:rsid w:val="006B7C5E"/>
    <w:rsid w:val="006C35F1"/>
    <w:rsid w:val="006E1E41"/>
    <w:rsid w:val="007053C8"/>
    <w:rsid w:val="00706F7A"/>
    <w:rsid w:val="007559F2"/>
    <w:rsid w:val="007565FF"/>
    <w:rsid w:val="00756C0B"/>
    <w:rsid w:val="00773737"/>
    <w:rsid w:val="007805C4"/>
    <w:rsid w:val="00794FAC"/>
    <w:rsid w:val="007B15E0"/>
    <w:rsid w:val="007B230C"/>
    <w:rsid w:val="007B373D"/>
    <w:rsid w:val="007D41C4"/>
    <w:rsid w:val="007D4949"/>
    <w:rsid w:val="007D7D8B"/>
    <w:rsid w:val="00807226"/>
    <w:rsid w:val="00813F76"/>
    <w:rsid w:val="00826D07"/>
    <w:rsid w:val="00837EA2"/>
    <w:rsid w:val="00841325"/>
    <w:rsid w:val="00844A9A"/>
    <w:rsid w:val="0086378E"/>
    <w:rsid w:val="008878A5"/>
    <w:rsid w:val="008A259B"/>
    <w:rsid w:val="008B2B0E"/>
    <w:rsid w:val="008B4109"/>
    <w:rsid w:val="008B6968"/>
    <w:rsid w:val="008C58EB"/>
    <w:rsid w:val="008F3FC7"/>
    <w:rsid w:val="00904E59"/>
    <w:rsid w:val="00924010"/>
    <w:rsid w:val="00934465"/>
    <w:rsid w:val="00980C47"/>
    <w:rsid w:val="00984C81"/>
    <w:rsid w:val="009950D0"/>
    <w:rsid w:val="009A369A"/>
    <w:rsid w:val="009A5297"/>
    <w:rsid w:val="009B73F7"/>
    <w:rsid w:val="009E716E"/>
    <w:rsid w:val="00A0425A"/>
    <w:rsid w:val="00A06B0A"/>
    <w:rsid w:val="00A33C3F"/>
    <w:rsid w:val="00A65411"/>
    <w:rsid w:val="00AA464E"/>
    <w:rsid w:val="00AB1C10"/>
    <w:rsid w:val="00AB4779"/>
    <w:rsid w:val="00AC67F2"/>
    <w:rsid w:val="00AC6C76"/>
    <w:rsid w:val="00AD11C9"/>
    <w:rsid w:val="00B11075"/>
    <w:rsid w:val="00B11603"/>
    <w:rsid w:val="00B11A74"/>
    <w:rsid w:val="00B13FBC"/>
    <w:rsid w:val="00B3519D"/>
    <w:rsid w:val="00B35ADD"/>
    <w:rsid w:val="00B409BE"/>
    <w:rsid w:val="00B70925"/>
    <w:rsid w:val="00B9276B"/>
    <w:rsid w:val="00B96984"/>
    <w:rsid w:val="00BA18D5"/>
    <w:rsid w:val="00BE0F29"/>
    <w:rsid w:val="00BE52D3"/>
    <w:rsid w:val="00C3260E"/>
    <w:rsid w:val="00C70E9D"/>
    <w:rsid w:val="00C76396"/>
    <w:rsid w:val="00CB331D"/>
    <w:rsid w:val="00CF008E"/>
    <w:rsid w:val="00D13095"/>
    <w:rsid w:val="00D15A3E"/>
    <w:rsid w:val="00D3309E"/>
    <w:rsid w:val="00D93853"/>
    <w:rsid w:val="00DA0FA3"/>
    <w:rsid w:val="00DA799A"/>
    <w:rsid w:val="00DC5EF7"/>
    <w:rsid w:val="00DD007A"/>
    <w:rsid w:val="00DD374A"/>
    <w:rsid w:val="00E05FC8"/>
    <w:rsid w:val="00E244DB"/>
    <w:rsid w:val="00E473D1"/>
    <w:rsid w:val="00E47945"/>
    <w:rsid w:val="00E70162"/>
    <w:rsid w:val="00E77ACC"/>
    <w:rsid w:val="00E80B6B"/>
    <w:rsid w:val="00E81203"/>
    <w:rsid w:val="00E9420F"/>
    <w:rsid w:val="00EA3893"/>
    <w:rsid w:val="00EC56DF"/>
    <w:rsid w:val="00EE077A"/>
    <w:rsid w:val="00EF21A5"/>
    <w:rsid w:val="00EF670F"/>
    <w:rsid w:val="00F016FD"/>
    <w:rsid w:val="00F26281"/>
    <w:rsid w:val="00F26951"/>
    <w:rsid w:val="00F45F3E"/>
    <w:rsid w:val="00F622D0"/>
    <w:rsid w:val="00F6570F"/>
    <w:rsid w:val="00F734B8"/>
    <w:rsid w:val="00F81BDC"/>
    <w:rsid w:val="00FA5671"/>
    <w:rsid w:val="00FB59D6"/>
    <w:rsid w:val="00FB7B2B"/>
    <w:rsid w:val="00FC6AE4"/>
    <w:rsid w:val="00FD5BC5"/>
    <w:rsid w:val="00FE12EA"/>
    <w:rsid w:val="00FE31A0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984C81"/>
    <w:rPr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BD3B-AB19-46D0-BAD9-BA90843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6</cp:revision>
  <dcterms:created xsi:type="dcterms:W3CDTF">2021-08-15T15:46:00Z</dcterms:created>
  <dcterms:modified xsi:type="dcterms:W3CDTF">2021-08-20T03:13:00Z</dcterms:modified>
</cp:coreProperties>
</file>