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D53EB" w14:textId="2FD812B5" w:rsidR="000169B8" w:rsidRDefault="001925CF" w:rsidP="000169B8">
      <w:r>
        <w:t>What makes a person thermally comfortable</w:t>
      </w:r>
      <w:r w:rsidR="00151BAD">
        <w:t xml:space="preserve"> and how to best achieve thermal comfort in e.g., an office environment</w:t>
      </w:r>
      <w:r>
        <w:t xml:space="preserve">? </w:t>
      </w:r>
      <w:r w:rsidR="001903B3">
        <w:t xml:space="preserve">While most experts have always acknowledged that thermal comfort is a condition of mind that </w:t>
      </w:r>
      <w:r w:rsidR="001903B3" w:rsidRPr="001903B3">
        <w:t>convey</w:t>
      </w:r>
      <w:r w:rsidR="001903B3">
        <w:t xml:space="preserve">s one’s satisfaction </w:t>
      </w:r>
      <w:r w:rsidR="001903B3" w:rsidRPr="001903B3">
        <w:t>with the thermal</w:t>
      </w:r>
      <w:r w:rsidR="001903B3">
        <w:t xml:space="preserve"> </w:t>
      </w:r>
      <w:r w:rsidR="001903B3" w:rsidRPr="001903B3">
        <w:t>environment</w:t>
      </w:r>
      <w:r w:rsidR="00151BAD">
        <w:fldChar w:fldCharType="begin" w:fldLock="1"/>
      </w:r>
      <w:r w:rsidR="00957A7B">
        <w:instrText>ADDIN CSL_CITATION {"citationItems":[{"id":"ITEM-1","itemData":{"ISSN":"1041-2336","author":[{"dropping-particle":"","family":"ASHRAE","given":"","non-dropping-particle":"","parse-names":false,"suffix":""}],"id":"ITEM-1","issued":{"date-parts":[["2017"]]},"publisher":"ASHRAE","publisher-place":"Atlanta, GA, USA","title":"Standard 55---2017 Thermal Environmental Conditions for Human Occupancy","type":"book","volume":"2017"},"uris":["http://www.mendeley.com/documents/?uuid=23041e76-97b9-45ee-9104-6aa20eef6325"]}],"mendeley":{"formattedCitation":"[1]","plainTextFormattedCitation":"[1]","previouslyFormattedCitation":"[1]"},"properties":{"noteIndex":0},"schema":"https://github.com/citation-style-language/schema/raw/master/csl-citation.json"}</w:instrText>
      </w:r>
      <w:r w:rsidR="00151BAD">
        <w:fldChar w:fldCharType="separate"/>
      </w:r>
      <w:r w:rsidR="00151BAD" w:rsidRPr="00151BAD">
        <w:rPr>
          <w:noProof/>
        </w:rPr>
        <w:t>[1]</w:t>
      </w:r>
      <w:r w:rsidR="00151BAD">
        <w:fldChar w:fldCharType="end"/>
      </w:r>
      <w:r w:rsidR="001903B3">
        <w:t xml:space="preserve">, how to best achieve thermal comfort still remains a </w:t>
      </w:r>
      <w:r w:rsidR="001903B3" w:rsidRPr="001903B3">
        <w:t>long standing</w:t>
      </w:r>
      <w:r w:rsidR="001903B3">
        <w:t xml:space="preserve"> </w:t>
      </w:r>
      <w:r w:rsidR="00151BAD">
        <w:t xml:space="preserve">multi-billion-dollar </w:t>
      </w:r>
      <w:r w:rsidR="001903B3">
        <w:t>problem</w:t>
      </w:r>
      <w:r w:rsidR="00151BAD">
        <w:fldChar w:fldCharType="begin" w:fldLock="1"/>
      </w:r>
      <w:r w:rsidR="00957A7B">
        <w:instrText>ADDIN CSL_CITATION {"citationItems":[{"id":"ITEM-1","itemData":{"DOI":"10.1080/09613218.2014.998948","ISSN":"0961-3218","author":[{"dropping-particle":"","family":"Roaf","given":"Sue","non-dropping-particle":"","parse-names":false,"suffix":""},{"dropping-particle":"","family":"Brotas","given":"Luisa","non-dropping-particle":"","parse-names":false,"suffix":""},{"dropping-particle":"","family":"Nicol","given":"Fergus","non-dropping-particle":"","parse-names":false,"suffix":""}],"container-title":"Building Research &amp; Information","id":"ITEM-1","issue":"3","issued":{"date-parts":[["2015","5","4"]]},"page":"269-273","title":"Counting the costs of comfort","type":"article-journal","volume":"43"},"uris":["http://www.mendeley.com/documents/?uuid=1c2304de-83aa-4dd8-aef7-33e2f77f17cb"]}],"mendeley":{"formattedCitation":"[2]","plainTextFormattedCitation":"[2]","previouslyFormattedCitation":"[2]"},"properties":{"noteIndex":0},"schema":"https://github.com/citation-style-language/schema/raw/master/csl-citation.json"}</w:instrText>
      </w:r>
      <w:r w:rsidR="00151BAD">
        <w:fldChar w:fldCharType="separate"/>
      </w:r>
      <w:r w:rsidR="00151BAD" w:rsidRPr="00151BAD">
        <w:rPr>
          <w:noProof/>
        </w:rPr>
        <w:t>[2]</w:t>
      </w:r>
      <w:r w:rsidR="00151BAD">
        <w:fldChar w:fldCharType="end"/>
      </w:r>
      <w:r w:rsidR="00151BAD">
        <w:t xml:space="preserve">. </w:t>
      </w:r>
      <w:r>
        <w:t>Indeed, despite almost a c</w:t>
      </w:r>
      <w:r>
        <w:t>entury of research on thermal comfort, its provision is still based on fundamentally flawed assumptions, achieves a lackluster performance, and requires excessive energy to operate.</w:t>
      </w:r>
    </w:p>
    <w:p w14:paraId="362F21B8" w14:textId="492D590C" w:rsidR="00151BAD" w:rsidRDefault="00151BAD" w:rsidP="007F007B"/>
    <w:p w14:paraId="34C88FFC" w14:textId="2E05A574" w:rsidR="00572726" w:rsidRDefault="001925CF" w:rsidP="00572726">
      <w:r>
        <w:t>In the not-so-distant past, thermal comfort standards required an authori</w:t>
      </w:r>
      <w:r>
        <w:t>tarian control that dismisses any user adjustment. The then influential minds in the field contended that people are thermally comfortable when they feel neither too cold nor too warm</w:t>
      </w:r>
      <w:r>
        <w:fldChar w:fldCharType="begin" w:fldLock="1"/>
      </w:r>
      <w:r>
        <w:instrText>ADDIN CSL_CITATION {"citationItems":[{"id":"ITEM-1","itemData":{"DOI":"10</w:instrText>
      </w:r>
      <w:r>
        <w:instrText>.1136/oem.30.4.313","ISSN":"1351-0711","PMID":"4584998","author":[{"dropping-particle":"","family":"Fanger","given":"P. O.","non-dropping-particle":"","parse-names":false,"suffix":""}],"container-title":"Occupational and Environmental Medicine","id":"ITEM-</w:instrText>
      </w:r>
      <w:r>
        <w:instrText>1","issue":"4","issued":{"date-parts":[["1973","10","1"]]},"page":"313-324","title":"Assessment of man's thermal comfort in practice","type":"article-journal","volume":"30"},"uris":["http://www.mendeley.com/documents/?uuid=92e5b8c0-e968-4ce4-a9d5-140e53651</w:instrText>
      </w:r>
      <w:r>
        <w:instrText>008"]}],"mendeley":{"formattedCitation":"[3]","plainTextFormattedCitation":"[3]","previouslyFormattedCitation":"[3]"},"properties":{"noteIndex":0},"schema":"https://github.com/citation-style-language/schema/raw/master/csl-citation.json"}</w:instrText>
      </w:r>
      <w:r>
        <w:fldChar w:fldCharType="separate"/>
      </w:r>
      <w:r w:rsidRPr="00151BAD">
        <w:rPr>
          <w:noProof/>
        </w:rPr>
        <w:t>[3]</w:t>
      </w:r>
      <w:r>
        <w:fldChar w:fldCharType="end"/>
      </w:r>
      <w:r>
        <w:t xml:space="preserve"> and the indu</w:t>
      </w:r>
      <w:r>
        <w:t xml:space="preserve">stry best practice was to restrict indoor temperatures within a narrow range of isothermal conditions with little to no air movement </w:t>
      </w:r>
      <w:r>
        <w:fldChar w:fldCharType="begin" w:fldLock="1"/>
      </w:r>
      <w:r w:rsidR="00D96B94">
        <w:instrText>ADDIN CSL_CITATION {"citationItems":[{"id":"ITEM-1","itemData":{"DOI":"10.1111/j.1600-0668.2007.00516.x","ISSN":"1600-0668","PMID":"18363685","abstract":"UNLABELLED The predicted mean vote (PMV) model of thermal comfort, created by Fanger in the late 1960s, is used worldwide to assess thermal comfort. Fanger based his model on college-aged students for use in invariant environmental conditions in air-conditioned buildings in moderate thermal climate zones. Environmental engineering practice calls for a predictive method that is applicable to all types of people in any kind of building in every climate zone. In this publication, existing support and criticism, as well as modifications to the PMV model are discussed in light of the requirements by environmental engineering practice in the 21st century in order to move from a predicted mean vote to comfort for all. Improved prediction of thermal comfort can be achieved through improving the validity of the PMV model, better specification of the model's input parameters, and accounting for outdoor thermal conditions and special groups. The application range of the PMV model can be enlarged, for instance, by using the model to assess the effects of the thermal environment on productivity and behavior, and interactions with other indoor environmental parameters, and the use of information and communication technologies. Even with such modifications to thermal comfort evaluation, thermal comfort for all can only be achieved when occupants have effective control over their own thermal environment. PRACTICAL IMPLICATIONS The paper treats the assessment of thermal comfort using the PMV model of Fanger, and deals with the strengths and limitations of this model. Readers are made familiar to some opportunities for use in the 21st-century information society.","author":[{"dropping-particle":"","family":"Hoof","given":"J.","non-dropping-particle":"van","parse-names":false,"suffix":""}],"container-title":"Indoor air","id":"ITEM-1","issue":"3","issued":{"date-parts":[["2008","6"]]},"page":"182-201","title":"Forty years of Fanger's model of thermal comfort: comfort for all?","type":"article-journal","volume":"18"},"uris":["http://www.mendeley.com/documents/?uuid=695b4394-890a-4304-ae12-eaa1961f4a5c"]}],"mendeley":{"formattedCitation":"[4]","plainTextFormattedCitation":"[4]","previouslyFormattedCitation":"[4]"},"properties":{"noteIndex":0},"schema":"https://github.com/citation-style-language/schema/raw/master/csl-citation.json"}</w:instrText>
      </w:r>
      <w:r>
        <w:fldChar w:fldCharType="separate"/>
      </w:r>
      <w:r w:rsidRPr="00957A7B">
        <w:rPr>
          <w:noProof/>
        </w:rPr>
        <w:t>[4]</w:t>
      </w:r>
      <w:r>
        <w:fldChar w:fldCharType="end"/>
      </w:r>
      <w:r>
        <w:t>.</w:t>
      </w:r>
      <w:r w:rsidR="00E93BEA">
        <w:t xml:space="preserve">In these conditions, which are commonly known as thermal neutrality, the laws of thermodynamic would dictate that metabolic </w:t>
      </w:r>
      <w:r w:rsidR="007F007B">
        <w:t>is</w:t>
      </w:r>
      <w:r w:rsidR="00E93BEA">
        <w:t xml:space="preserve"> influenced neither by cold nor by heat stress. Arguably, such an approach treats</w:t>
      </w:r>
      <w:r w:rsidR="007F007B">
        <w:t xml:space="preserve"> </w:t>
      </w:r>
      <w:r w:rsidR="001903B3">
        <w:t xml:space="preserve">all humans as mere </w:t>
      </w:r>
      <w:r w:rsidR="007F007B" w:rsidRPr="007F007B">
        <w:t>“passive recipients of thermal stimuli”</w:t>
      </w:r>
      <w:r w:rsidR="007F007B">
        <w:fldChar w:fldCharType="begin" w:fldLock="1"/>
      </w:r>
      <w:r w:rsidR="00D96B94">
        <w:instrText>ADDIN CSL_CITATION {"citationItems":[{"id":"ITEM-1","itemData":{"ISSN":"00012505","abstract":"The adaptive hypothesis predicts that contextual factors and past thermal history modify building occupants' thermal expectations and preferences. One of the predictions of the adaptive hypothesis is that people in warm climate zones prefer warmer indoor temperatures than people living in cold climate zones. This is contrary to the static assumptions underlying the current ASHRAE comfort standard 55-92. To examine the adaptive hypothesis and its implications for Standard 55-92, the ASHRAE RP-884 project assembled a quality-controlled database from thermal comfort field experiments worldwide (circa 21,000 observations from 160 buildings). Our statistical analysis examined the semantics of thermal comfort in terms of thermal sensation, acceptability, and preference, as a function of both indoor and outdoor temperature. Optimum indoor temperatures tracked both prevailing indoor and outdoor temperatures, as predicted by the adaptive hypothesis. The static predicted mean vote (PMV) model was shown to be partially adaptive by accounting for behavioral adjustments, and fully explained adaptation occurring in HVAC buildings. Occupants in naturally ventilated buildings were tolerant of a significantly wider range of temperatures, explained by a combination of both behavioral adjustment and psychological adaptation. These results formed the basis of a proposal for a variable indoor temperature standard.","author":[{"dropping-particle":"","family":"Dear","given":"Richard J.","non-dropping-particle":"de","parse-names":false,"suffix":""},{"dropping-particle":"","family":"Brager","given":"Gail Schiller","non-dropping-particle":"","parse-names":false,"suffix":""}],"container-title":"ASHRAE Transactions","id":"ITEM-1","issue":"Pt 1A","issued":{"date-parts":[["1998"]]},"page":"145-167","publisher":"ASHRAE","title":"Developing an adaptive model of thermal comfort and preference","type":"article-journal","volume":"104"},"uris":["http://www.mendeley.com/documents/?uuid=950188de-fbbf-48f8-bd45-415dd6716853"]}],"mendeley":{"formattedCitation":"[5]","plainTextFormattedCitation":"[5]","previouslyFormattedCitation":"[5]"},"properties":{"noteIndex":0},"schema":"https://github.com/citation-style-language/schema/raw/master/csl-citation.json"}</w:instrText>
      </w:r>
      <w:r w:rsidR="007F007B">
        <w:fldChar w:fldCharType="separate"/>
      </w:r>
      <w:r w:rsidRPr="00957A7B">
        <w:rPr>
          <w:noProof/>
        </w:rPr>
        <w:t>[5]</w:t>
      </w:r>
      <w:r w:rsidR="007F007B">
        <w:fldChar w:fldCharType="end"/>
      </w:r>
      <w:r w:rsidR="007F007B">
        <w:t xml:space="preserve"> and fail fails to account </w:t>
      </w:r>
      <w:r w:rsidR="001903B3">
        <w:t xml:space="preserve">for </w:t>
      </w:r>
      <w:r w:rsidR="001903B3" w:rsidRPr="001903B3">
        <w:t>personal peculiarit</w:t>
      </w:r>
      <w:r w:rsidR="001903B3">
        <w:t xml:space="preserve">ies and many </w:t>
      </w:r>
      <w:r w:rsidR="007F007B">
        <w:t>real-world</w:t>
      </w:r>
      <w:r w:rsidR="001903B3">
        <w:t xml:space="preserve"> </w:t>
      </w:r>
      <w:r w:rsidR="007F007B">
        <w:t>thermal adaptations that influence how people respond to and interact with their thermal</w:t>
      </w:r>
      <w:r w:rsidR="001903B3">
        <w:t xml:space="preserve"> </w:t>
      </w:r>
      <w:r w:rsidR="007F007B">
        <w:t>environments.</w:t>
      </w:r>
      <w:r>
        <w:t xml:space="preserve"> Additionally, by its nature, this approach requires achieves a lackluster performance, and requires excessive energy to operate.</w:t>
      </w:r>
    </w:p>
    <w:p w14:paraId="121B64FB" w14:textId="3F6D2DE4" w:rsidR="00957A7B" w:rsidRDefault="00957A7B" w:rsidP="007F007B"/>
    <w:p w14:paraId="34A36653" w14:textId="3AB34819" w:rsidR="00DB7478" w:rsidRDefault="001925CF" w:rsidP="00DB7478">
      <w:pPr>
        <w:rPr>
          <w:rFonts w:ascii="Times New Roman" w:hAnsi="Times New Roman" w:cs="Times New Roman"/>
          <w:color w:val="000000"/>
          <w:sz w:val="22"/>
          <w:szCs w:val="22"/>
        </w:rPr>
      </w:pPr>
      <w:r>
        <w:t>Thanks to the energy shortage due to the Arab Oil Embargo of</w:t>
      </w:r>
      <w:r>
        <w:t xml:space="preserve"> the 1973-1974, energy conservation becomes </w:t>
      </w:r>
      <w:r w:rsidR="00D96B94">
        <w:t xml:space="preserve">a geopolitical priority. In particular, the U.S. government funneled significant funds into research related to </w:t>
      </w:r>
      <w:r w:rsidR="00D96B94" w:rsidRPr="00D96B94">
        <w:t xml:space="preserve">energy-efficient </w:t>
      </w:r>
      <w:r w:rsidR="00D96B94">
        <w:t xml:space="preserve">thermal comfort provision. The resulting research </w:t>
      </w:r>
      <w:r w:rsidR="00D96B94">
        <w:fldChar w:fldCharType="begin" w:fldLock="1"/>
      </w:r>
      <w:r>
        <w:instrText xml:space="preserve">ADDIN CSL_CITATION </w:instrText>
      </w:r>
      <w:r>
        <w:instrText>{"citationItems":[{"id":"ITEM-1","itemData":{"DOI":"10.1111/ina.12046","ISBN":"0905-6947","ISSN":"1600-0668","PMID":"23590514","abstract":"Climate change and the urgency of decarbonizing the built environment are driving technological innovation in the way</w:instrText>
      </w:r>
      <w:r>
        <w:instrText xml:space="preserve"> we deliver thermal comfort to occupants. These changes, in turn, seem to be setting the directions for contemporary thermal comfort research. This article presents a literature review of major changes, developments, and trends in the field of thermal comf</w:instrText>
      </w:r>
      <w:r>
        <w:instrText>ort research over the last 20 years. One of the main paradigm shift was the fundamental conceptual reorientation that has taken place in thermal comfort thinking over the last 20 years; a shift away from the physically based determinism of Fanger's comfort</w:instrText>
      </w:r>
      <w:r>
        <w:instrText xml:space="preserve"> model toward the mainstream and acceptance of the adaptive comfort model. Another noticeable shift has been from the undesirable toward the desirable qualities of air movement. Additionally, sophisticated models covering the physics and physiology of the </w:instrText>
      </w:r>
      <w:r>
        <w:instrText>human body were developed, driven by the continuous challenge to model thermal comfort at the same anatomical resolution and to combine these localized signals into a coherent, global thermal perception. Finally, the demand for ever increasing building ene</w:instrText>
      </w:r>
      <w:r>
        <w:instrText>rgy efficiency is pushing technological innovation in the way we deliver comfortable indoor environments. These trends, in turn, continue setting the directions for contemporary thermal comfort research for the next decades.","author":[{"dropping-particle"</w:instrText>
      </w:r>
      <w:r>
        <w:instrText>:"","family":"Dear","given":"R. J.","non-dropping-particle":"de","parse-names":false,"suffix":""},{"dropping-particle":"","family":"Akimoto","given":"T.","non-dropping-particle":"","parse-names":false,"suffix":""},{"dropping-particle":"","family":"Arens","</w:instrText>
      </w:r>
      <w:r>
        <w:instrText>given":"E. A.","non-dropping-particle":"","parse-names":false,"suffix":""},{"dropping-particle":"","family":"Brager","given":"G.","non-dropping-particle":"","parse-names":false,"suffix":""},{"dropping-particle":"","family":"Candido","given":"C.","non-dropp</w:instrText>
      </w:r>
      <w:r>
        <w:instrText>ing-particle":"","parse-names":false,"suffix":""},{"dropping-particle":"","family":"Cheong","given":"K. W D","non-dropping-particle":"","parse-names":false,"suffix":""},{"dropping-particle":"","family":"Li","given":"B.","non-dropping-particle":"","parse-na</w:instrText>
      </w:r>
      <w:r>
        <w:instrText>mes":false,"suffix":""},{"dropping-particle":"","family":"Nishihara","given":"N.","non-dropping-particle":"","parse-names":false,"suffix":""},{"dropping-particle":"","family":"Sekhar","given":"S. C.","non-dropping-particle":"","parse-names":false,"suffix":</w:instrText>
      </w:r>
      <w:r>
        <w:instrText>""},{"dropping-particle":"","family":"Tanabe","given":"S.","non-dropping-particle":"","parse-names":false,"suffix":""},{"dropping-particle":"","family":"Toftum","given":"J.","non-dropping-particle":"","parse-names":false,"suffix":""},{"dropping-particle":"</w:instrText>
      </w:r>
      <w:r>
        <w:instrText>","family":"Zhang","given":"H.","non-dropping-particle":"","parse-names":false,"suffix":""},{"dropping-particle":"","family":"Zhu","given":"Y.","non-dropping-particle":"","parse-names":false,"suffix":""}],"container-title":"Indoor air","id":"ITEM-1","issue</w:instrText>
      </w:r>
      <w:r>
        <w:instrText>":"6","issued":{"date-parts":[["2013","12"]]},"page":"442-61","title":"Progress in thermal comfort research over the last twenty years.","type":"article-journal","volume":"23"},"uris":["http://www.mendeley.com/documents/?uuid=585e24af-2f8c-405f-a7f3-408e6b</w:instrText>
      </w:r>
      <w:r>
        <w:instrText>0bd668"]}],"mendeley":{"formattedCitation":"[6]","plainTextFormattedCitation":"[6]","previouslyFormattedCitation":"[6]"},"properties":{"noteIndex":0},"schema":"https://github.com/citation-style-language/schema/raw/master/csl-citation.json"}</w:instrText>
      </w:r>
      <w:r w:rsidR="00D96B94">
        <w:fldChar w:fldCharType="separate"/>
      </w:r>
      <w:r w:rsidR="00D96B94" w:rsidRPr="00D96B94">
        <w:rPr>
          <w:noProof/>
        </w:rPr>
        <w:t>[6]</w:t>
      </w:r>
      <w:r w:rsidR="00D96B94">
        <w:fldChar w:fldCharType="end"/>
      </w:r>
      <w:r w:rsidR="00D96B94">
        <w:t xml:space="preserve"> </w:t>
      </w:r>
      <w:r w:rsidR="00957A7B">
        <w:rPr>
          <w:rFonts w:ascii="Times New Roman" w:hAnsi="Times New Roman" w:cs="Times New Roman"/>
          <w:color w:val="000000"/>
          <w:sz w:val="22"/>
          <w:szCs w:val="22"/>
        </w:rPr>
        <w:t xml:space="preserve">showed </w:t>
      </w:r>
      <w:r w:rsidR="00D96B94">
        <w:rPr>
          <w:rFonts w:ascii="Times New Roman" w:hAnsi="Times New Roman" w:cs="Times New Roman"/>
          <w:color w:val="000000"/>
          <w:sz w:val="22"/>
          <w:szCs w:val="22"/>
        </w:rPr>
        <w:t>that h</w:t>
      </w:r>
      <w:r w:rsidR="00957A7B">
        <w:rPr>
          <w:rFonts w:ascii="Times New Roman" w:hAnsi="Times New Roman" w:cs="Times New Roman"/>
          <w:color w:val="000000"/>
          <w:sz w:val="22"/>
          <w:szCs w:val="22"/>
        </w:rPr>
        <w:t>umans</w:t>
      </w:r>
      <w:r w:rsidR="00D96B94">
        <w:rPr>
          <w:rFonts w:ascii="Times New Roman" w:hAnsi="Times New Roman" w:cs="Times New Roman"/>
          <w:color w:val="000000"/>
          <w:sz w:val="22"/>
          <w:szCs w:val="22"/>
        </w:rPr>
        <w:t xml:space="preserve"> </w:t>
      </w:r>
      <w:r w:rsidR="00957A7B">
        <w:rPr>
          <w:rFonts w:ascii="Times New Roman" w:hAnsi="Times New Roman" w:cs="Times New Roman"/>
          <w:color w:val="000000"/>
          <w:sz w:val="22"/>
          <w:szCs w:val="22"/>
        </w:rPr>
        <w:t xml:space="preserve">have developed adaptations </w:t>
      </w:r>
      <w:r>
        <w:rPr>
          <w:rFonts w:ascii="Times New Roman" w:hAnsi="Times New Roman" w:cs="Times New Roman"/>
          <w:color w:val="000000"/>
          <w:sz w:val="22"/>
          <w:szCs w:val="22"/>
        </w:rPr>
        <w:t xml:space="preserve">(e.g., attire change, behavioral adjustments, physiological and psychological adaptations) that help </w:t>
      </w:r>
      <w:r w:rsidR="00957A7B">
        <w:rPr>
          <w:rFonts w:ascii="Times New Roman" w:hAnsi="Times New Roman" w:cs="Times New Roman"/>
          <w:color w:val="000000"/>
          <w:sz w:val="22"/>
          <w:szCs w:val="22"/>
        </w:rPr>
        <w:t>cope with their non-comfortable thermal</w:t>
      </w:r>
      <w:r w:rsidR="00D96B94">
        <w:rPr>
          <w:rFonts w:ascii="Times New Roman" w:hAnsi="Times New Roman" w:cs="Times New Roman"/>
          <w:color w:val="000000"/>
          <w:sz w:val="22"/>
          <w:szCs w:val="22"/>
        </w:rPr>
        <w:t xml:space="preserve"> </w:t>
      </w:r>
      <w:r w:rsidR="00957A7B">
        <w:rPr>
          <w:rFonts w:ascii="Times New Roman" w:hAnsi="Times New Roman" w:cs="Times New Roman"/>
          <w:color w:val="000000"/>
          <w:sz w:val="22"/>
          <w:szCs w:val="22"/>
        </w:rPr>
        <w:t xml:space="preserve">environments </w:t>
      </w:r>
      <w:r w:rsidR="00D96B94">
        <w:rPr>
          <w:rFonts w:ascii="Times New Roman" w:hAnsi="Times New Roman" w:cs="Times New Roman"/>
          <w:color w:val="000000"/>
          <w:sz w:val="22"/>
          <w:szCs w:val="22"/>
        </w:rPr>
        <w:t xml:space="preserve">and that many </w:t>
      </w:r>
      <w:r w:rsidR="00957A7B">
        <w:rPr>
          <w:rFonts w:ascii="Times New Roman" w:hAnsi="Times New Roman" w:cs="Times New Roman"/>
          <w:color w:val="000000"/>
          <w:sz w:val="22"/>
          <w:szCs w:val="22"/>
        </w:rPr>
        <w:t>parameters (e.g., past thermal</w:t>
      </w:r>
      <w:r>
        <w:rPr>
          <w:rFonts w:ascii="Times New Roman" w:hAnsi="Times New Roman" w:cs="Times New Roman"/>
          <w:color w:val="000000"/>
          <w:sz w:val="22"/>
          <w:szCs w:val="22"/>
        </w:rPr>
        <w:t xml:space="preserve"> </w:t>
      </w:r>
      <w:r w:rsidR="00957A7B">
        <w:rPr>
          <w:rFonts w:ascii="Times New Roman" w:hAnsi="Times New Roman" w:cs="Times New Roman"/>
          <w:color w:val="000000"/>
          <w:sz w:val="22"/>
          <w:szCs w:val="22"/>
        </w:rPr>
        <w:t>history, physiological, and psychological process) play a vital role in people’s thermal</w:t>
      </w:r>
      <w:r>
        <w:rPr>
          <w:rFonts w:ascii="Times New Roman" w:hAnsi="Times New Roman" w:cs="Times New Roman"/>
          <w:color w:val="000000"/>
          <w:sz w:val="22"/>
          <w:szCs w:val="22"/>
        </w:rPr>
        <w:t xml:space="preserve"> </w:t>
      </w:r>
      <w:r w:rsidR="00957A7B">
        <w:rPr>
          <w:rFonts w:ascii="Times New Roman" w:hAnsi="Times New Roman" w:cs="Times New Roman"/>
          <w:color w:val="000000"/>
          <w:sz w:val="22"/>
          <w:szCs w:val="22"/>
        </w:rPr>
        <w:t>comfort</w:t>
      </w:r>
      <w:r w:rsidR="00D96B94">
        <w:rPr>
          <w:rFonts w:ascii="Times New Roman" w:hAnsi="Times New Roman" w:cs="Times New Roman"/>
          <w:color w:val="000000"/>
          <w:sz w:val="22"/>
          <w:szCs w:val="22"/>
        </w:rPr>
        <w:t>. As such, there exists no single temperature for thermal comfort. Instead, when faced with</w:t>
      </w:r>
      <w:r>
        <w:rPr>
          <w:rFonts w:ascii="Times New Roman" w:hAnsi="Times New Roman" w:cs="Times New Roman"/>
          <w:color w:val="000000"/>
          <w:sz w:val="22"/>
          <w:szCs w:val="22"/>
        </w:rPr>
        <w:t xml:space="preserve"> </w:t>
      </w:r>
      <w:r w:rsidR="00D96B94">
        <w:rPr>
          <w:rFonts w:ascii="Times New Roman" w:hAnsi="Times New Roman" w:cs="Times New Roman"/>
          <w:color w:val="000000"/>
          <w:sz w:val="22"/>
          <w:szCs w:val="22"/>
        </w:rPr>
        <w:t>thermal discomfort, people proactively or unconsciously take action to stay comfortable.</w:t>
      </w:r>
      <w:r>
        <w:rPr>
          <w:rFonts w:ascii="Times New Roman" w:hAnsi="Times New Roman" w:cs="Times New Roman"/>
          <w:color w:val="000000"/>
          <w:sz w:val="22"/>
          <w:szCs w:val="22"/>
        </w:rPr>
        <w:t xml:space="preserve"> Consequently, instead of using energy-intensive thermal neutrality that keeps indoor air temperatures within strict temperature zones, acceptable thermal comfort could be achieved with wide thermal comfort zones at much lower energy. This approach</w:t>
      </w:r>
      <w:r w:rsidR="008A5F7C">
        <w:rPr>
          <w:rFonts w:ascii="Times New Roman" w:hAnsi="Times New Roman" w:cs="Times New Roman"/>
          <w:sz w:val="22"/>
          <w:szCs w:val="22"/>
        </w:rPr>
        <w:t xml:space="preserve">, however, </w:t>
      </w:r>
      <w:r>
        <w:rPr>
          <w:rFonts w:ascii="Times New Roman" w:hAnsi="Times New Roman" w:cs="Times New Roman"/>
          <w:color w:val="000000"/>
          <w:sz w:val="22"/>
          <w:szCs w:val="22"/>
        </w:rPr>
        <w:t>is very simplistic and</w:t>
      </w:r>
      <w:r>
        <w:rPr>
          <w:rFonts w:ascii="Times New Roman" w:hAnsi="Times New Roman" w:cs="Times New Roman"/>
          <w:sz w:val="22"/>
          <w:szCs w:val="22"/>
        </w:rPr>
        <w:t xml:space="preserve"> </w:t>
      </w:r>
      <w:r>
        <w:rPr>
          <w:rFonts w:ascii="Times New Roman" w:hAnsi="Times New Roman" w:cs="Times New Roman"/>
          <w:color w:val="000000"/>
          <w:sz w:val="22"/>
          <w:szCs w:val="22"/>
        </w:rPr>
        <w:t>ignores essential precursors to thermal comfort, and has functional restrictions that</w:t>
      </w:r>
      <w:r>
        <w:rPr>
          <w:rFonts w:ascii="Times New Roman" w:hAnsi="Times New Roman" w:cs="Times New Roman"/>
          <w:sz w:val="22"/>
          <w:szCs w:val="22"/>
        </w:rPr>
        <w:t xml:space="preserve"> </w:t>
      </w:r>
      <w:r>
        <w:rPr>
          <w:rFonts w:ascii="Times New Roman" w:hAnsi="Times New Roman" w:cs="Times New Roman"/>
          <w:color w:val="000000"/>
          <w:sz w:val="22"/>
          <w:szCs w:val="22"/>
        </w:rPr>
        <w:t xml:space="preserve">are often at odds with social norms and clothing etiquette </w:t>
      </w:r>
      <w:r>
        <w:rPr>
          <w:rFonts w:ascii="Times New Roman" w:hAnsi="Times New Roman" w:cs="Times New Roman"/>
          <w:color w:val="000000"/>
          <w:sz w:val="22"/>
          <w:szCs w:val="22"/>
        </w:rPr>
        <w:fldChar w:fldCharType="begin" w:fldLock="1"/>
      </w:r>
      <w:r w:rsidR="004841F4">
        <w:rPr>
          <w:rFonts w:ascii="Times New Roman" w:hAnsi="Times New Roman" w:cs="Times New Roman"/>
          <w:color w:val="000000"/>
          <w:sz w:val="22"/>
          <w:szCs w:val="22"/>
        </w:rPr>
        <w:instrText>ADDIN CSL_CITATION {"citationItems":[{"id":"ITEM-1","itemData":{"DOI":"10.1016/j.enbuild.2012.04.011","ISSN":"03787788","author":[{"dropping-particle":"","family":"Halawa","given":"E","non-dropping-particle":"","parse-names":false,"suffix":""},{"dropping-particle":"","family":"Hoof","given":"J.","non-dropping-particle":"van","parse-names":false,"suffix":""}],"container-title":"Energy and Buildings","id":"ITEM-1","issued":{"date-parts":[["2012","8"]]},"page":"101-110","title":"The adaptive approach to thermal comfort: A critical overview","type":"article-journal","volume":"51"},"uris":["http://www.mendeley.com/documents/?uuid=5611557a-ccb8-4d55-be1e-b8d5177bea6a"]}],"mendeley":{"formattedCitation":"[7]","plainTextFormattedCitation":"[7]","previouslyFormattedCitation":"[7]"},"properties":{"noteIndex":0},"schema":"https://github.com/citation-style-language/schema/raw/master/csl-citation.json"}</w:instrText>
      </w:r>
      <w:r>
        <w:rPr>
          <w:rFonts w:ascii="Times New Roman" w:hAnsi="Times New Roman" w:cs="Times New Roman"/>
          <w:color w:val="000000"/>
          <w:sz w:val="22"/>
          <w:szCs w:val="22"/>
        </w:rPr>
        <w:fldChar w:fldCharType="separate"/>
      </w:r>
      <w:r w:rsidRPr="00DB7478">
        <w:rPr>
          <w:rFonts w:ascii="Times New Roman" w:hAnsi="Times New Roman" w:cs="Times New Roman"/>
          <w:noProof/>
          <w:color w:val="000000"/>
          <w:sz w:val="22"/>
          <w:szCs w:val="22"/>
        </w:rPr>
        <w:t>[7]</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w:t>
      </w:r>
    </w:p>
    <w:p w14:paraId="6CDDB242" w14:textId="100C730F" w:rsidR="004841F4" w:rsidRDefault="004841F4" w:rsidP="00DB7478">
      <w:pPr>
        <w:rPr>
          <w:rFonts w:ascii="Times New Roman" w:hAnsi="Times New Roman" w:cs="Times New Roman"/>
          <w:color w:val="000000"/>
          <w:sz w:val="22"/>
          <w:szCs w:val="22"/>
        </w:rPr>
      </w:pPr>
    </w:p>
    <w:p w14:paraId="3F4AD1A4" w14:textId="6C1902AC" w:rsidR="004841F4" w:rsidRDefault="001925CF" w:rsidP="004841F4">
      <w:pPr>
        <w:rPr>
          <w:rFonts w:ascii="Times New Roman" w:hAnsi="Times New Roman" w:cs="Times New Roman"/>
          <w:color w:val="000000"/>
          <w:sz w:val="22"/>
          <w:szCs w:val="22"/>
        </w:rPr>
      </w:pPr>
      <w:r>
        <w:rPr>
          <w:rFonts w:ascii="Times New Roman" w:hAnsi="Times New Roman" w:cs="Times New Roman"/>
          <w:color w:val="000000"/>
          <w:sz w:val="22"/>
          <w:szCs w:val="22"/>
        </w:rPr>
        <w:t>With the looming perils due to climate change and global warming, policymakers all over the world have enacted policies that curtail agents of anthropogenic climate change. These policies impose st</w:t>
      </w:r>
      <w:r>
        <w:rPr>
          <w:rFonts w:ascii="Times New Roman" w:hAnsi="Times New Roman" w:cs="Times New Roman"/>
          <w:color w:val="000000"/>
          <w:sz w:val="22"/>
          <w:szCs w:val="22"/>
        </w:rPr>
        <w:t>rict cutbacks in energy use in buildings. Ironically, although new building regulations aim at reducing</w:t>
      </w:r>
    </w:p>
    <w:p w14:paraId="593F1AE7" w14:textId="2E9E6F14" w:rsidR="004841F4" w:rsidRDefault="001925CF" w:rsidP="004841F4">
      <w:pPr>
        <w:autoSpaceDE w:val="0"/>
        <w:autoSpaceDN w:val="0"/>
        <w:adjustRightInd w:val="0"/>
        <w:rPr>
          <w:rFonts w:ascii="Times New Roman" w:hAnsi="Times New Roman" w:cs="Times New Roman"/>
          <w:color w:val="000000"/>
          <w:sz w:val="22"/>
          <w:szCs w:val="22"/>
        </w:rPr>
      </w:pPr>
      <w:r>
        <w:rPr>
          <w:rFonts w:ascii="Times New Roman" w:hAnsi="Times New Roman" w:cs="Times New Roman"/>
          <w:color w:val="000000"/>
          <w:sz w:val="22"/>
          <w:szCs w:val="22"/>
        </w:rPr>
        <w:t>energy footprints, in reality, newer buildings are more energy-hungry because they use inferior building fabrics and design and because of inefficiencie</w:t>
      </w:r>
      <w:r>
        <w:rPr>
          <w:rFonts w:ascii="Times New Roman" w:hAnsi="Times New Roman" w:cs="Times New Roman"/>
          <w:color w:val="000000"/>
          <w:sz w:val="22"/>
          <w:szCs w:val="22"/>
        </w:rPr>
        <w:t xml:space="preserve">s in how they are operated </w:t>
      </w:r>
      <w:r>
        <w:rPr>
          <w:rFonts w:ascii="Times New Roman" w:hAnsi="Times New Roman" w:cs="Times New Roman"/>
          <w:color w:val="000000"/>
          <w:sz w:val="22"/>
          <w:szCs w:val="22"/>
        </w:rPr>
        <w:fldChar w:fldCharType="begin" w:fldLock="1"/>
      </w:r>
      <w:r>
        <w:rPr>
          <w:rFonts w:ascii="Times New Roman" w:hAnsi="Times New Roman" w:cs="Times New Roman"/>
          <w:color w:val="000000"/>
          <w:sz w:val="22"/>
          <w:szCs w:val="22"/>
        </w:rPr>
        <w:instrText>ADDIN CSL_CITATION {"citationItems":[{"id":"ITEM-1","itemData":{"DOI":"10.3763/asre.2009.0111","ISSN":"0003-8628","abstract":"The urgent need to reduce anthropogenic greenhouse gas (GHG) emissions in a bid to meet increasingly st</w:instrText>
      </w:r>
      <w:r>
        <w:rPr>
          <w:rFonts w:ascii="Times New Roman" w:hAnsi="Times New Roman" w:cs="Times New Roman"/>
          <w:color w:val="000000"/>
          <w:sz w:val="22"/>
          <w:szCs w:val="22"/>
        </w:rPr>
        <w:instrText>ringent GHG targets has focused the attention of scientists on the built environment. The reason is that nearly 50% of all the energy in the developed world is consumed in buildings and it is here that the easiest savings can be made. Although the theoreti</w:instrText>
      </w:r>
      <w:r>
        <w:rPr>
          <w:rFonts w:ascii="Times New Roman" w:hAnsi="Times New Roman" w:cs="Times New Roman"/>
          <w:color w:val="000000"/>
          <w:sz w:val="22"/>
          <w:szCs w:val="22"/>
        </w:rPr>
        <w:instrText>cal trend in building regulations is to favour lower carbon buildings, in reality new buildings have typically become more energy profligate year after year. Much of this results from increased mechanization, poorer building fabric and design, and the reso</w:instrText>
      </w:r>
      <w:r>
        <w:rPr>
          <w:rFonts w:ascii="Times New Roman" w:hAnsi="Times New Roman" w:cs="Times New Roman"/>
          <w:color w:val="000000"/>
          <w:sz w:val="22"/>
          <w:szCs w:val="22"/>
        </w:rPr>
        <w:instrText>urce consumption patterns. Modern thermal comfort standards are partly responsible for increased levels of energy consumption in buildings as well as for encouraging unhealthier, less comfortable buildings because they drive the designers towards higher us</w:instrText>
      </w:r>
      <w:r>
        <w:rPr>
          <w:rFonts w:ascii="Times New Roman" w:hAnsi="Times New Roman" w:cs="Times New Roman"/>
          <w:color w:val="000000"/>
          <w:sz w:val="22"/>
          <w:szCs w:val="22"/>
        </w:rPr>
        <w:instrText>e of air-conditioning. A first step towards the radical overhauling of our approach to the artificial conditioning of buildings is to revise these standards. This article describes the evolution of the current standards and the problems inherent in the bui</w:instrText>
      </w:r>
      <w:r>
        <w:rPr>
          <w:rFonts w:ascii="Times New Roman" w:hAnsi="Times New Roman" w:cs="Times New Roman"/>
          <w:color w:val="000000"/>
          <w:sz w:val="22"/>
          <w:szCs w:val="22"/>
        </w:rPr>
        <w:instrText>ldings they shape and serve and then proceeds to propose new methods of regulating thermal comfort in a warming world in which the cost of energy is rising.","author":[{"dropping-particle":"","family":"Roaf","given":"Sue","non-dropping-particle":"","parse-</w:instrText>
      </w:r>
      <w:r>
        <w:rPr>
          <w:rFonts w:ascii="Times New Roman" w:hAnsi="Times New Roman" w:cs="Times New Roman"/>
          <w:color w:val="000000"/>
          <w:sz w:val="22"/>
          <w:szCs w:val="22"/>
        </w:rPr>
        <w:instrText>names":false,"suffix":""},{"dropping-particle":"","family":"Nicol","given":"Fergus","non-dropping-particle":"","parse-names":false,"suffix":""},{"dropping-particle":"","family":"Humphreys","given":"Michael","non-dropping-particle":"","parse-names":false,"s</w:instrText>
      </w:r>
      <w:r>
        <w:rPr>
          <w:rFonts w:ascii="Times New Roman" w:hAnsi="Times New Roman" w:cs="Times New Roman"/>
          <w:color w:val="000000"/>
          <w:sz w:val="22"/>
          <w:szCs w:val="22"/>
        </w:rPr>
        <w:instrText>uffix":""},{"dropping-particle":"","family":"Tuohy","given":"Paul","non-dropping-particle":"","parse-names":false,"suffix":""},{"dropping-particle":"","family":"Boerstra","given":"Atze","non-dropping-particle":"","parse-names":false,"suffix":""}],"containe</w:instrText>
      </w:r>
      <w:r>
        <w:rPr>
          <w:rFonts w:ascii="Times New Roman" w:hAnsi="Times New Roman" w:cs="Times New Roman"/>
          <w:color w:val="000000"/>
          <w:sz w:val="22"/>
          <w:szCs w:val="22"/>
        </w:rPr>
        <w:instrText>r-title":"Architectural Science Review","id":"ITEM-1","issue":"1","issued":{"date-parts":[["2010","2","9"]]},"page":"65-77","title":"Twentieth century standards for thermal comfort: promoting high energy buildings","type":"article-journal","volume":"53"},"</w:instrText>
      </w:r>
      <w:r>
        <w:rPr>
          <w:rFonts w:ascii="Times New Roman" w:hAnsi="Times New Roman" w:cs="Times New Roman"/>
          <w:color w:val="000000"/>
          <w:sz w:val="22"/>
          <w:szCs w:val="22"/>
        </w:rPr>
        <w:instrText>uris":["http://www.mendeley.com/documents/?uuid=3a7d018e-912e-4c3c-b7e6-1da7701e2e72"]}],"mendeley":{"formattedCitation":"[8]","plainTextFormattedCitation":"[8]","previouslyFormattedCitation":"[8]"},"properties":{"noteIndex":0},"schema":"https://github.com</w:instrText>
      </w:r>
      <w:r>
        <w:rPr>
          <w:rFonts w:ascii="Times New Roman" w:hAnsi="Times New Roman" w:cs="Times New Roman"/>
          <w:color w:val="000000"/>
          <w:sz w:val="22"/>
          <w:szCs w:val="22"/>
        </w:rPr>
        <w:instrText>/citation-style-language/schema/raw/master/csl-citation.json"}</w:instrText>
      </w:r>
      <w:r>
        <w:rPr>
          <w:rFonts w:ascii="Times New Roman" w:hAnsi="Times New Roman" w:cs="Times New Roman"/>
          <w:color w:val="000000"/>
          <w:sz w:val="22"/>
          <w:szCs w:val="22"/>
        </w:rPr>
        <w:fldChar w:fldCharType="separate"/>
      </w:r>
      <w:r w:rsidRPr="004841F4">
        <w:rPr>
          <w:rFonts w:ascii="Times New Roman" w:hAnsi="Times New Roman" w:cs="Times New Roman"/>
          <w:noProof/>
          <w:color w:val="000000"/>
          <w:sz w:val="22"/>
          <w:szCs w:val="22"/>
        </w:rPr>
        <w:t>[8]</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xml:space="preserve">. Moreover, these regulations, given the limitations of current thermal comfort provision technologies, can only aggravate the level of thermal discomfort in workplaces. For </w:t>
      </w:r>
      <w:r>
        <w:rPr>
          <w:rFonts w:ascii="Times New Roman" w:hAnsi="Times New Roman" w:cs="Times New Roman"/>
          <w:color w:val="000000"/>
          <w:sz w:val="22"/>
          <w:szCs w:val="22"/>
        </w:rPr>
        <w:t xml:space="preserve">example, a mandatory energy-saving policy, which was introduced by the Japanese government in 2011, resulted in an increased thermal dissatisfaction and a reduction in productivity </w:t>
      </w:r>
      <w:r>
        <w:rPr>
          <w:rFonts w:ascii="Times New Roman" w:hAnsi="Times New Roman" w:cs="Times New Roman"/>
          <w:color w:val="000000"/>
          <w:sz w:val="22"/>
          <w:szCs w:val="22"/>
        </w:rPr>
        <w:fldChar w:fldCharType="begin" w:fldLock="1"/>
      </w:r>
      <w:r>
        <w:rPr>
          <w:rFonts w:ascii="Times New Roman" w:hAnsi="Times New Roman" w:cs="Times New Roman"/>
          <w:color w:val="000000"/>
          <w:sz w:val="22"/>
          <w:szCs w:val="22"/>
        </w:rPr>
        <w:instrText>ADDIN CSL_CITATION {"citationItems":[{"id":"ITEM-1","itemData":{"DOI":"10.1</w:instrText>
      </w:r>
      <w:r>
        <w:rPr>
          <w:rFonts w:ascii="Times New Roman" w:hAnsi="Times New Roman" w:cs="Times New Roman"/>
          <w:color w:val="000000"/>
          <w:sz w:val="22"/>
          <w:szCs w:val="22"/>
        </w:rPr>
        <w:instrText>080/00038628.2012.744296","ISBN":"9781627480758","ISSN":"0003-8628","abstract":"The great east Japan earthquake of March 11, 2011, wreaked enormous damage, forcing the Japanese government to mandate a 15% peak power reduction to address shortages in summer</w:instrText>
      </w:r>
      <w:r>
        <w:rPr>
          <w:rFonts w:ascii="Times New Roman" w:hAnsi="Times New Roman" w:cs="Times New Roman"/>
          <w:color w:val="000000"/>
          <w:sz w:val="22"/>
          <w:szCs w:val="22"/>
        </w:rPr>
        <w:instrText>. Office workers were forced to be patient. The present paper reports the results of field studies conducted in Tokyo office buildings during summer to understand the relationship between indoor environment, productivity, and energy conservation measures u</w:instrText>
      </w:r>
      <w:r>
        <w:rPr>
          <w:rFonts w:ascii="Times New Roman" w:hAnsi="Times New Roman" w:cs="Times New Roman"/>
          <w:color w:val="000000"/>
          <w:sz w:val="22"/>
          <w:szCs w:val="22"/>
        </w:rPr>
        <w:instrText>nder the mandated limits. Occupants generally expressed discomfort regarding the high temperature, but widely accepted the decrease in illumination from 750 to 300-500 lux. Increased awareness regarding power savings was found, with more than 90% of people</w:instrText>
      </w:r>
      <w:r>
        <w:rPr>
          <w:rFonts w:ascii="Times New Roman" w:hAnsi="Times New Roman" w:cs="Times New Roman"/>
          <w:color w:val="000000"/>
          <w:sz w:val="22"/>
          <w:szCs w:val="22"/>
        </w:rPr>
        <w:instrText xml:space="preserve"> accepting the poor indoor environment in light of the shortages that year. Clothing and raising set point temperature recommendations made by the Super Cool Biz campaign were followed in most offices. However, self-estimated productivity was 6.6% lower th</w:instrText>
      </w:r>
      <w:r>
        <w:rPr>
          <w:rFonts w:ascii="Times New Roman" w:hAnsi="Times New Roman" w:cs="Times New Roman"/>
          <w:color w:val="000000"/>
          <w:sz w:val="22"/>
          <w:szCs w:val="22"/>
        </w:rPr>
        <w:instrText>an last summer. Strategies for electricity savings that do not affect productivity are necessary.","author":[{"dropping-particle":"","family":"Tanabe","given":"Shin-ichi","non-dropping-particle":"","parse-names":false,"suffix":""},{"dropping-particle":"","</w:instrText>
      </w:r>
      <w:r>
        <w:rPr>
          <w:rFonts w:ascii="Times New Roman" w:hAnsi="Times New Roman" w:cs="Times New Roman"/>
          <w:color w:val="000000"/>
          <w:sz w:val="22"/>
          <w:szCs w:val="22"/>
        </w:rPr>
        <w:instrText>family":"Iwahashi","given":"Yuko","non-dropping-particle":"","parse-names":false,"suffix":""},{"dropping-particle":"","family":"Tsushima","given":"Sayana","non-dropping-particle":"","parse-names":false,"suffix":""},{"dropping-particle":"","family":"Nishiha</w:instrText>
      </w:r>
      <w:r>
        <w:rPr>
          <w:rFonts w:ascii="Times New Roman" w:hAnsi="Times New Roman" w:cs="Times New Roman"/>
          <w:color w:val="000000"/>
          <w:sz w:val="22"/>
          <w:szCs w:val="22"/>
        </w:rPr>
        <w:instrText>ra","given":"Naoe","non-dropping-particle":"","parse-names":false,"suffix":""}],"container-title":"Architectural Science Review","id":"ITEM-1","issue":"1","issued":{"date-parts":[["2013","2"]]},"page":"4-13","title":"Thermal comfort and productivity in off</w:instrText>
      </w:r>
      <w:r>
        <w:rPr>
          <w:rFonts w:ascii="Times New Roman" w:hAnsi="Times New Roman" w:cs="Times New Roman"/>
          <w:color w:val="000000"/>
          <w:sz w:val="22"/>
          <w:szCs w:val="22"/>
        </w:rPr>
        <w:instrText>ices under mandatory electricity savings after the Great East Japan earthquake","type":"article-journal","volume":"56"},"uris":["http://www.mendeley.com/documents/?uuid=45b5b3c2-45ce-452e-b120-ef3fb28c8a04"]}],"mendeley":{"formattedCitation":"[9]","plainTe</w:instrText>
      </w:r>
      <w:r>
        <w:rPr>
          <w:rFonts w:ascii="Times New Roman" w:hAnsi="Times New Roman" w:cs="Times New Roman"/>
          <w:color w:val="000000"/>
          <w:sz w:val="22"/>
          <w:szCs w:val="22"/>
        </w:rPr>
        <w:instrText>xtFormattedCitation":"[9]","previouslyFormattedCitation":"[9]"},"properties":{"noteIndex":0},"schema":"https://github.com/citation-style-language/schema/raw/master/csl-citation.json"}</w:instrText>
      </w:r>
      <w:r>
        <w:rPr>
          <w:rFonts w:ascii="Times New Roman" w:hAnsi="Times New Roman" w:cs="Times New Roman"/>
          <w:color w:val="000000"/>
          <w:sz w:val="22"/>
          <w:szCs w:val="22"/>
        </w:rPr>
        <w:fldChar w:fldCharType="separate"/>
      </w:r>
      <w:r w:rsidRPr="004841F4">
        <w:rPr>
          <w:rFonts w:ascii="Times New Roman" w:hAnsi="Times New Roman" w:cs="Times New Roman"/>
          <w:noProof/>
          <w:color w:val="000000"/>
          <w:sz w:val="22"/>
          <w:szCs w:val="22"/>
        </w:rPr>
        <w:t>[9]</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 Thus, delivering thermal comfort at lower energy is a conundrum t</w:t>
      </w:r>
      <w:r>
        <w:rPr>
          <w:rFonts w:ascii="Times New Roman" w:hAnsi="Times New Roman" w:cs="Times New Roman"/>
          <w:color w:val="000000"/>
          <w:sz w:val="22"/>
          <w:szCs w:val="22"/>
        </w:rPr>
        <w:t>hat</w:t>
      </w:r>
    </w:p>
    <w:p w14:paraId="588BE2F2" w14:textId="2267A35C" w:rsidR="004841F4" w:rsidRDefault="001925CF" w:rsidP="004841F4">
      <w:pPr>
        <w:autoSpaceDE w:val="0"/>
        <w:autoSpaceDN w:val="0"/>
        <w:adjustRightInd w:val="0"/>
        <w:rPr>
          <w:rFonts w:ascii="Times New Roman" w:hAnsi="Times New Roman" w:cs="Times New Roman"/>
          <w:sz w:val="22"/>
          <w:szCs w:val="22"/>
        </w:rPr>
      </w:pPr>
      <w:r>
        <w:rPr>
          <w:rFonts w:ascii="Times New Roman" w:hAnsi="Times New Roman" w:cs="Times New Roman"/>
          <w:color w:val="000000"/>
          <w:sz w:val="22"/>
          <w:szCs w:val="22"/>
        </w:rPr>
        <w:t xml:space="preserve">requires a paradigm shift in how thermal comfort is provided </w:t>
      </w:r>
      <w:r>
        <w:rPr>
          <w:rFonts w:ascii="Times New Roman" w:hAnsi="Times New Roman" w:cs="Times New Roman"/>
          <w:color w:val="000000"/>
          <w:sz w:val="22"/>
          <w:szCs w:val="22"/>
        </w:rPr>
        <w:fldChar w:fldCharType="begin" w:fldLock="1"/>
      </w:r>
      <w:r>
        <w:rPr>
          <w:rFonts w:ascii="Times New Roman" w:hAnsi="Times New Roman" w:cs="Times New Roman"/>
          <w:color w:val="000000"/>
          <w:sz w:val="22"/>
          <w:szCs w:val="22"/>
        </w:rPr>
        <w:instrText>ADDIN CSL_CITATION {"citationItems":[{"id":"ITEM-1","itemData":{"DOI":"10.1080/09613218.2017.1301698","ISSN":"0961-3218","author":[{"dropping-particle":"","family":"Nicol","given":"J. Fergus"</w:instrText>
      </w:r>
      <w:r>
        <w:rPr>
          <w:rFonts w:ascii="Times New Roman" w:hAnsi="Times New Roman" w:cs="Times New Roman"/>
          <w:color w:val="000000"/>
          <w:sz w:val="22"/>
          <w:szCs w:val="22"/>
        </w:rPr>
        <w:instrText>,"non-dropping-particle":"","parse-names":false,"suffix":""},{"dropping-particle":"","family":"Roaf","given":"Susan","non-dropping-particle":"","parse-names":false,"suffix":""}],"container-title":"Building Research &amp; Information","id":"ITEM-1","issue":"7",</w:instrText>
      </w:r>
      <w:r>
        <w:rPr>
          <w:rFonts w:ascii="Times New Roman" w:hAnsi="Times New Roman" w:cs="Times New Roman"/>
          <w:color w:val="000000"/>
          <w:sz w:val="22"/>
          <w:szCs w:val="22"/>
        </w:rPr>
        <w:instrText>"issued":{"date-parts":[["2017","10","3"]]},"page":"711-716","title":"Rethinking thermal comfort","type":"article-journal","volume":"45"},"uris":["http://www.mendeley.com/documents/?uuid=0cc18e4d-82ca-4c8a-bb2e-04e0a611b884"]}],"mendeley":{"formattedCitati</w:instrText>
      </w:r>
      <w:r>
        <w:rPr>
          <w:rFonts w:ascii="Times New Roman" w:hAnsi="Times New Roman" w:cs="Times New Roman"/>
          <w:color w:val="000000"/>
          <w:sz w:val="22"/>
          <w:szCs w:val="22"/>
        </w:rPr>
        <w:instrText>on":"[10]","plainTextFormattedCitation":"[10]"},"properties":{"noteIndex":0},"schema":"https://github.com/citation-style-language/schema/raw/master/csl-citation.json"}</w:instrText>
      </w:r>
      <w:r>
        <w:rPr>
          <w:rFonts w:ascii="Times New Roman" w:hAnsi="Times New Roman" w:cs="Times New Roman"/>
          <w:color w:val="000000"/>
          <w:sz w:val="22"/>
          <w:szCs w:val="22"/>
        </w:rPr>
        <w:fldChar w:fldCharType="separate"/>
      </w:r>
      <w:r w:rsidRPr="004841F4">
        <w:rPr>
          <w:rFonts w:ascii="Times New Roman" w:hAnsi="Times New Roman" w:cs="Times New Roman"/>
          <w:noProof/>
          <w:color w:val="000000"/>
          <w:sz w:val="22"/>
          <w:szCs w:val="22"/>
        </w:rPr>
        <w:t>[10]</w:t>
      </w:r>
      <w:r>
        <w:rPr>
          <w:rFonts w:ascii="Times New Roman" w:hAnsi="Times New Roman" w:cs="Times New Roman"/>
          <w:color w:val="000000"/>
          <w:sz w:val="22"/>
          <w:szCs w:val="22"/>
        </w:rPr>
        <w:fldChar w:fldCharType="end"/>
      </w:r>
      <w:r>
        <w:rPr>
          <w:rFonts w:ascii="Times New Roman" w:hAnsi="Times New Roman" w:cs="Times New Roman"/>
          <w:color w:val="000000"/>
          <w:sz w:val="22"/>
          <w:szCs w:val="22"/>
        </w:rPr>
        <w:t>.</w:t>
      </w:r>
    </w:p>
    <w:p w14:paraId="4BF1A319" w14:textId="77777777" w:rsidR="00DB7478" w:rsidRDefault="00DB7478" w:rsidP="008A5F7C">
      <w:pPr>
        <w:autoSpaceDE w:val="0"/>
        <w:autoSpaceDN w:val="0"/>
        <w:adjustRightInd w:val="0"/>
        <w:rPr>
          <w:rFonts w:ascii="Times New Roman" w:hAnsi="Times New Roman" w:cs="Times New Roman"/>
          <w:sz w:val="22"/>
          <w:szCs w:val="22"/>
        </w:rPr>
      </w:pPr>
    </w:p>
    <w:p w14:paraId="03F86EDE" w14:textId="170056AA" w:rsidR="00E93BEA" w:rsidRPr="00DB7478" w:rsidRDefault="00E93BEA" w:rsidP="00DB7478">
      <w:pPr>
        <w:autoSpaceDE w:val="0"/>
        <w:autoSpaceDN w:val="0"/>
        <w:adjustRightInd w:val="0"/>
        <w:rPr>
          <w:rFonts w:ascii="Times New Roman" w:hAnsi="Times New Roman" w:cs="Times New Roman"/>
          <w:sz w:val="22"/>
          <w:szCs w:val="22"/>
        </w:rPr>
      </w:pPr>
    </w:p>
    <w:sectPr w:rsidR="00E93BEA" w:rsidRPr="00DB7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77A"/>
    <w:rsid w:val="000169B8"/>
    <w:rsid w:val="00151BAD"/>
    <w:rsid w:val="00161A23"/>
    <w:rsid w:val="001903B3"/>
    <w:rsid w:val="001925CF"/>
    <w:rsid w:val="002A377A"/>
    <w:rsid w:val="004841F4"/>
    <w:rsid w:val="00536278"/>
    <w:rsid w:val="00572726"/>
    <w:rsid w:val="00753035"/>
    <w:rsid w:val="007F007B"/>
    <w:rsid w:val="008A5F7C"/>
    <w:rsid w:val="009117A8"/>
    <w:rsid w:val="00957A7B"/>
    <w:rsid w:val="009E6913"/>
    <w:rsid w:val="00D96B94"/>
    <w:rsid w:val="00DB0D70"/>
    <w:rsid w:val="00DB7478"/>
    <w:rsid w:val="00E93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542C915-637B-FF41-89DB-A38260F1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007B"/>
  </w:style>
  <w:style w:type="paragraph" w:styleId="Heading3">
    <w:name w:val="heading 3"/>
    <w:basedOn w:val="Normal"/>
    <w:link w:val="Heading3Char"/>
    <w:uiPriority w:val="9"/>
    <w:qFormat/>
    <w:rsid w:val="00151BA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93BEA"/>
    <w:rPr>
      <w:color w:val="0000FF"/>
      <w:u w:val="single"/>
    </w:rPr>
  </w:style>
  <w:style w:type="character" w:customStyle="1" w:styleId="Heading3Char">
    <w:name w:val="Heading 3 Char"/>
    <w:basedOn w:val="DefaultParagraphFont"/>
    <w:link w:val="Heading3"/>
    <w:uiPriority w:val="9"/>
    <w:rsid w:val="00151BA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5F3267-3173-6C44-AAE8-CAEBC9EFC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3210</Words>
  <Characters>18302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 Office User</cp:lastModifiedBy>
  <cp:revision>2</cp:revision>
  <dcterms:created xsi:type="dcterms:W3CDTF">2021-01-11T11:08:00Z</dcterms:created>
  <dcterms:modified xsi:type="dcterms:W3CDTF">2021-01-11T11:08:00Z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http://www.zotero.org/styles/ieee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5a97c8d9-2a9d-3ab7-9fd3-eb033049a612</vt:lpwstr>
  </property>
</Properties>
</file>