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pStyle w:val="ReaderKicker"/>
        <w:jc w:val="center"/>
      </w:pPr>
      <w:r>
        <w:rPr>
          <w:rFonts w:ascii="Calibri" w:hAnsi="Calibri" w:eastAsia="Microsoft YaHei"/>
          <w:b/>
          <w:color w:val="176B70"/>
          <w:sz w:val="20"/>
        </w:rPr>
        <w:t>LEARNER READING MATERIAL｜系统学习读本</w:t>
      </w:r>
    </w:p>
    <w:p>
      <w:pPr>
        <w:pStyle w:val="ReaderTitle"/>
        <w:spacing w:after="180"/>
        <w:jc w:val="center"/>
      </w:pPr>
      <w:r>
        <w:rPr>
          <w:rFonts w:ascii="Calibri" w:hAnsi="Calibri" w:eastAsia="Microsoft YaHei"/>
          <w:b/>
          <w:color w:val="0B2545"/>
          <w:sz w:val="60"/>
        </w:rPr>
        <w:t>衍生品风险控制</w:t>
      </w:r>
    </w:p>
    <w:p>
      <w:pPr>
        <w:pStyle w:val="ReaderTitle"/>
        <w:spacing w:after="240"/>
        <w:jc w:val="center"/>
      </w:pPr>
      <w:r>
        <w:rPr>
          <w:rFonts w:ascii="Calibri" w:hAnsi="Calibri" w:eastAsia="Microsoft YaHei"/>
          <w:b/>
          <w:color w:val="0B2545"/>
          <w:sz w:val="60"/>
        </w:rPr>
        <w:t>从 Greeks 到 FRTB SA</w:t>
      </w:r>
    </w:p>
    <w:p>
      <w:pPr>
        <w:pStyle w:val="ReaderSubtitle"/>
        <w:spacing w:after="360"/>
        <w:jc w:val="center"/>
      </w:pPr>
      <w:r>
        <w:rPr>
          <w:rFonts w:ascii="Calibri" w:hAnsi="Calibri" w:eastAsia="Microsoft YaHei"/>
          <w:color w:val="1F4D78"/>
          <w:sz w:val="30"/>
        </w:rPr>
        <w:t>用一宗期权交易读懂敏感度、P&amp;L、尾部风险与监管资本</w:t>
      </w:r>
    </w:p>
    <w:p>
      <w:pPr>
        <w:spacing w:after="600"/>
        <w:jc w:val="center"/>
      </w:pPr>
      <w:r>
        <w:rPr>
          <w:rFonts w:ascii="Calibri" w:hAnsi="Calibri" w:eastAsia="Microsoft YaHei"/>
          <w:b/>
          <w:color w:val="176B70"/>
          <w:sz w:val="20"/>
        </w:rPr>
        <w:t>Delta · Gamma · Vega · P&amp;L Attribution · VaR/ES/Stress · SBM · Curvature</w:t>
      </w:r>
    </w:p>
    <w:p>
      <w:pPr>
        <w:pStyle w:val="SmallMeta"/>
        <w:jc w:val="center"/>
      </w:pPr>
      <w:r>
        <w:rPr>
          <w:rFonts w:ascii="Calibri" w:hAnsi="Calibri" w:eastAsia="Microsoft YaHei"/>
          <w:color w:val="5B6573"/>
          <w:sz w:val="19"/>
        </w:rPr>
        <w:t>中文为主，保留关键 English terms、监管公式与单位</w:t>
      </w:r>
    </w:p>
    <w:p>
      <w:pPr>
        <w:pStyle w:val="SmallMeta"/>
        <w:jc w:val="center"/>
      </w:pPr>
      <w:r>
        <w:rPr>
          <w:rFonts w:ascii="Calibri" w:hAnsi="Calibri" w:eastAsia="Microsoft YaHei"/>
          <w:color w:val="5B6573"/>
          <w:sz w:val="19"/>
        </w:rPr>
        <w:t>适合金融市场、风险管理、模型与监管资本学习者</w:t>
      </w:r>
    </w:p>
    <w:p>
      <w:pPr>
        <w:pStyle w:val="SmallMeta"/>
        <w:jc w:val="center"/>
      </w:pPr>
      <w:r>
        <w:rPr>
          <w:rFonts w:ascii="Calibri" w:hAnsi="Calibri" w:eastAsia="Microsoft YaHei"/>
          <w:color w:val="5B6573"/>
          <w:sz w:val="19"/>
        </w:rPr>
        <w:t>版本：2026 年 8 月</w:t>
      </w:r>
    </w:p>
    <w:p>
      <w:pPr>
        <w:spacing w:after="480"/>
      </w:pP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这本读本的主线  </w:t>
      </w:r>
      <w:r>
        <w:rPr>
          <w:rFonts w:ascii="Calibri" w:hAnsi="Calibri" w:eastAsia="Microsoft YaHei"/>
          <w:color w:val="1F2933"/>
        </w:rPr>
        <w:t>定价模型回答“现在值多少钱”；Greeks 解释“附近的风险地形”；P&amp;L Attribution 检验解释力；VaR、ES 与 Stress 观察可能损失；FRTB SA 再把监管定义的 sensitivities 转成 capital。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使用边界  </w:t>
      </w:r>
      <w:r>
        <w:rPr>
          <w:rFonts w:ascii="Calibri" w:hAnsi="Calibri" w:eastAsia="Microsoft YaHei"/>
          <w:color w:val="1F2933"/>
        </w:rPr>
        <w:t>本材料用于学习，不构成监管、法律或投资意见。Basel Framework 是国际最低标准，实际计算须以所在法域的生效规则、参数和监管解释为准。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如何阅读这本材料</w:t>
      </w:r>
    </w:p>
    <w:p>
      <w:pPr/>
      <w:r>
        <w:rPr>
          <w:rFonts w:ascii="Calibri" w:hAnsi="Calibri" w:eastAsia="Microsoft YaHei"/>
        </w:rPr>
        <w:t>如果你第一次接触衍生品风险，不必先背希腊字母表。请始终追问三个问题：什么市场变量在动？组合对它有多敏感？这种敏感度如何变成损益或资本？本书的每一章都在回答这三个问题的不同版本。</w:t>
      </w: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推荐路径  </w:t>
      </w:r>
      <w:r>
        <w:rPr>
          <w:rFonts w:ascii="Calibri" w:hAnsi="Calibri" w:eastAsia="Microsoft YaHei"/>
          <w:color w:val="1F2933"/>
        </w:rPr>
        <w:t>第一次阅读按第 1—12 章顺序推进；第二次阅读可直接重做第 8、10—12 章的计算；授课或复习时使用附录中的映射表、符号表和端到端检查清单。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学习目标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区分 risk factor、sensitivity、shock、P&amp;L 与 capital，避免把不同层级混为一谈。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用 Delta、Gamma、Vega、Theta、Rho、Vanna、Volga/Vomma、Charm 解释期权组合风险。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使用 Taylor approximation 建立 Greeks-based P&amp;L explain，并识别 residual 的来源。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说清 VaR、Expected Shortfall（ES）与 Stress Test 分别回答什么问题。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掌握 FRTB SA/SBM 的概念链：risk factor → sensitivity → bucket → risk weight → weighted sensitivity → aggregation。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解释传统 Gamma/convexity 与 FRTB curvature risk 的联系、差异及常见误区。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从一笔交易出发，写出从定价、敏感度到 FRTB SA capital 的完整流程。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贯穿案例：海岳银行 Alpha Options Desk</w:t>
      </w:r>
    </w:p>
    <w:p>
      <w:pPr/>
      <w:r>
        <w:rPr>
          <w:rFonts w:ascii="Calibri" w:hAnsi="Calibri" w:eastAsia="Microsoft YaHei"/>
        </w:rPr>
        <w:t>为了让概念连续，本书使用一个虚构交易台案例。海岳银行买入 1,000 份 6 个月平值股票看涨期权，并卖空 500 股标的做初始 Delta hedge。为突出风险逻辑，案例假设每份期权对应 1 股，币种单位记为 CU（currency unit）。真实合约还必须乘以 contract multiplier、数量和汇率。下列数值是同一教学估值引擎给出的、经过取整的输出，不代表某一特定市场校准。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000"/>
        <w:gridCol w:w="2400"/>
        <w:gridCol w:w="49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每份期权数值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单位 / 解释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Spot S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100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CU / 股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Implied volatility σ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25%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0.25 decimal volatility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Current option PV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8.00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CU / 期权；组合当前 option PV = 8,000 CU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0.50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股等价 / 期权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0.04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变化 / 1 CU 的 spot 变化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0.12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CU / 1 vol point / 期权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Theta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−0.02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CU / 天 / 期权</w:t>
            </w:r>
          </w:p>
        </w:tc>
      </w:tr>
      <w:tr>
        <w:tc>
          <w:tcPr>
            <w:tcW w:type="dxa" w:w="20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次日市场</w:t>
            </w:r>
          </w:p>
        </w:tc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ΔS = −4；Δσ = +3；Δt = 1</w:t>
            </w:r>
          </w:p>
        </w:tc>
        <w:tc>
          <w:tcPr>
            <w:tcW w:type="dxa" w:w="49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spot 下跌；隐含波动率上升 3 个 vol points；经过 1 天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案例如何随章节扩展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00"/>
        <w:gridCol w:w="4420"/>
        <w:gridCol w:w="34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章节阶段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Alpha Desk 案例台账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为什么需要扩展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1—6</w:t>
            </w:r>
          </w:p>
        </w:tc>
        <w:tc>
          <w:tcPr>
            <w:tcW w:type="dxa" w:w="44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1,000 份 long call + short 500 shares</w:t>
            </w:r>
          </w:p>
        </w:tc>
        <w:tc>
          <w:tcPr>
            <w:tcW w:type="dxa" w:w="3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学习局部 Greeks、hedge 与 +660 explained P&amp;L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7</w:t>
            </w:r>
          </w:p>
        </w:tc>
        <w:tc>
          <w:tcPr>
            <w:tcW w:type="dxa" w:w="44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旁看一个独立 volatility sleeve：不同 expiry options</w:t>
            </w:r>
          </w:p>
        </w:tc>
        <w:tc>
          <w:tcPr>
            <w:tcW w:type="dxa" w:w="3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观察 volatility basis；该 sleeve 不进入下一章 +610 的 P&amp;L scope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8</w:t>
            </w:r>
          </w:p>
        </w:tc>
        <w:tc>
          <w:tcPr>
            <w:tcW w:type="dxa" w:w="44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冻结原 long-call + stock-hedge sub-portfolio；次日 option PV = 6.61</w:t>
            </w:r>
          </w:p>
        </w:tc>
        <w:tc>
          <w:tcPr>
            <w:tcW w:type="dxa" w:w="3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以 full revaluation 得到 +610，并检验 residual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9</w:t>
            </w:r>
          </w:p>
        </w:tc>
        <w:tc>
          <w:tcPr>
            <w:tcW w:type="dxa" w:w="44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扩大名义规模，加入 expiry options 与 index hedge；使用缩放后的历史重估数据</w:t>
            </w:r>
          </w:p>
        </w:tc>
        <w:tc>
          <w:tcPr>
            <w:tcW w:type="dxa" w:w="3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区分 VaR、ES 与 management stress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10—11</w:t>
            </w:r>
          </w:p>
        </w:tc>
        <w:tc>
          <w:tcPr>
            <w:tcW w:type="dxa" w:w="44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再加入 Beta option、Broad Index ETF 与 5Y×5Y payer swaption</w:t>
            </w:r>
          </w:p>
        </w:tc>
        <w:tc>
          <w:tcPr>
            <w:tcW w:type="dxa" w:w="3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用 equity slice 手算 WS；将 swaption 留在 GIRR scenario totals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12</w:t>
            </w:r>
          </w:p>
        </w:tc>
        <w:tc>
          <w:tcPr>
            <w:tcW w:type="dxa" w:w="44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再加入一笔客户 short-convexity option</w:t>
            </w:r>
          </w:p>
        </w:tc>
        <w:tc>
          <w:tcPr>
            <w:tcW w:type="dxa" w:w="3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让正的 curvature loss 可手算；与原 long call 的负 CVR 对照</w:t>
            </w:r>
          </w:p>
        </w:tc>
      </w:tr>
    </w:tbl>
    <w:p>
      <w:pPr>
        <w:spacing w:after="40" w:before="0"/>
      </w:pP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“缩放后的监管 dataset”用于透明手算，不是把前述 +660 CU P&amp;L 机械转换成资本；各段会明确标注教学假设。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贯穿问题  </w:t>
      </w:r>
      <w:r>
        <w:rPr>
          <w:rFonts w:ascii="Calibri" w:hAnsi="Calibri" w:eastAsia="Microsoft YaHei"/>
          <w:color w:val="1F2933"/>
        </w:rPr>
        <w:t>这个组合一开始 Delta-neutral，次日为什么仍可能赚钱？日常解释出的 +660 与静态 full-revaluation P&amp;L +610 为什么不同？同一交易台进入 FRTB SA 后，为什么不能只把交易台 Greeks 直接相加？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全书路线图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你将解决的问题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语言基础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1—2</w:t>
            </w:r>
          </w:p>
        </w:tc>
        <w:tc>
          <w:tcPr>
            <w:tcW w:type="dxa" w:w="6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从定价函数识别风险因子，并理解一阶方向风险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期权非线性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3—6</w:t>
            </w:r>
          </w:p>
        </w:tc>
        <w:tc>
          <w:tcPr>
            <w:tcW w:type="dxa" w:w="6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解释 Gamma、Vega、Theta 与高阶 Greeks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组合与验证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7—9</w:t>
            </w:r>
          </w:p>
        </w:tc>
        <w:tc>
          <w:tcPr>
            <w:tcW w:type="dxa" w:w="6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构建风险矩阵、P&amp;L explain，并认识 VaR/ES/Stress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监管转换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10—12</w:t>
            </w:r>
          </w:p>
        </w:tc>
        <w:tc>
          <w:tcPr>
            <w:tcW w:type="dxa" w:w="6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把交易映射为 FRTB sensitivities，完成聚合与 curvature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复习与应用</w:t>
            </w:r>
          </w:p>
        </w:tc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附录</w:t>
            </w:r>
          </w:p>
        </w:tc>
        <w:tc>
          <w:tcPr>
            <w:tcW w:type="dxa" w:w="61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查单位、映射、答案和完整计算清单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1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一笔期权到底“有什么风险”？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模型告诉你期权今天值 8 CU；但股票、波动率、利率和时间一起变化时，明天的价值由什么决定？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区分 risk factor 与 Greek；理解 shock、P&amp;L 与 sensitivity 的关系；读懂 Taylor expansion 的角色。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从定价函数开始</w:t>
      </w:r>
    </w:p>
    <w:p>
      <w:pPr/>
      <w:r>
        <w:rPr>
          <w:rFonts w:ascii="Calibri" w:hAnsi="Calibri" w:eastAsia="Microsoft YaHei"/>
        </w:rPr>
        <w:t>衍生品价值不是一个孤立数字，而是市场变量、合约条款和模型假设共同作用的结果。把合约条款暂时固定，可以把价格写成风险因子的函数：</w:t>
      </w:r>
    </w:p>
    <w:p>
      <w:pPr>
        <w:pStyle w:val="Equation"/>
        <w:spacing w:before="80" w:after="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 = V(S, σ, r, t, …)</w:t>
      </w:r>
    </w:p>
    <w:p>
      <w:pPr>
        <w:pStyle w:val="SourceNote"/>
        <w:jc w:val="center"/>
      </w:pPr>
      <w:r>
        <w:rPr>
          <w:rFonts w:ascii="Calibri" w:hAnsi="Calibri" w:eastAsia="Microsoft YaHei"/>
          <w:color w:val="5B6573"/>
          <w:sz w:val="17"/>
        </w:rPr>
        <w:t>S：标的价格；σ：隐含波动率；r：利率；t：时间变量。</w:t>
      </w:r>
    </w:p>
    <w:p>
      <w:pPr/>
      <w:r>
        <w:rPr>
          <w:rFonts w:ascii="Calibri" w:hAnsi="Calibri" w:eastAsia="Microsoft YaHei"/>
        </w:rPr>
        <w:t>risk factor 是会发生市场变化的变量，例如股票价格 S；sensitivity 是价值 V 对该变量变化的响应，例如 Delta。shock 是一次真实或假设的市场变化，例如 ΔS = −4；P&amp;L 则是变化后的价值减去变化前价值。四者处在不同层级。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50"/>
        <w:gridCol w:w="2600"/>
        <w:gridCol w:w="50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案例中的例子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Risk factor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什么在动？</w:t>
            </w:r>
          </w:p>
        </w:tc>
        <w:tc>
          <w:tcPr>
            <w:tcW w:type="dxa" w:w="50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股票价格 S、隐含波动率 σ、利率曲线节点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Sensitivity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动一点，价值变多少？</w:t>
            </w:r>
          </w:p>
        </w:tc>
        <w:tc>
          <w:tcPr>
            <w:tcW w:type="dxa" w:w="50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= ∂V/∂S；Vega = ∂V/∂σ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Shock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动了多少？</w:t>
            </w:r>
          </w:p>
        </w:tc>
        <w:tc>
          <w:tcPr>
            <w:tcW w:type="dxa" w:w="50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ΔS = −4；Δσ = +3 vol points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P&amp;L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最终价值变化多少？</w:t>
            </w:r>
          </w:p>
        </w:tc>
        <w:tc>
          <w:tcPr>
            <w:tcW w:type="dxa" w:w="50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V(new market) − V(old market)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Capital</w:t>
            </w:r>
          </w:p>
        </w:tc>
        <w:tc>
          <w:tcPr>
            <w:tcW w:type="dxa" w:w="26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监管要求持有多少风险资本？</w:t>
            </w:r>
          </w:p>
        </w:tc>
        <w:tc>
          <w:tcPr>
            <w:tcW w:type="dxa" w:w="50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FRTB SA 按规定规则计算的 charge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Greeks 是局部“地图”</w:t>
      </w:r>
    </w:p>
    <w:p>
      <w:pPr/>
      <w:r>
        <w:rPr>
          <w:rFonts w:ascii="Calibri" w:hAnsi="Calibri" w:eastAsia="Microsoft YaHei"/>
        </w:rPr>
        <w:t>对当前位置附近做 Taylor expansion，可以把价值变化拆成若干可解释的风险贡献。它像一张局部地形图：一阶导数描述坡度，二阶导数描述弯曲，交叉导数描述两个方向共同变化时坡度如何改变。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ΔV ≈ Δ·ΔS + ½Γ(ΔS)² + Vega·Δσ + Rho·Δr + Theta·Δt + higher-order terms</w:t>
      </w:r>
    </w:p>
    <w:p>
      <w:pPr/>
      <w:r>
        <w:rPr>
          <w:rFonts w:ascii="Calibri" w:hAnsi="Calibri" w:eastAsia="Microsoft YaHei"/>
        </w:rPr>
        <w:t>该公式不是恒等式。市场变化越大、波动率曲面变化越复杂，或产品越不光滑，遗漏的 higher-order terms 越可能重要。因此 Greeks 既是风险语言，也是近似工具；在极端情景与 FRTB curvature 中，全量重估（full revaluation）会重新进入视野。</w:t>
      </w: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先猜再算  </w:t>
      </w:r>
      <w:r>
        <w:rPr>
          <w:rFonts w:ascii="Calibri" w:hAnsi="Calibri" w:eastAsia="Microsoft YaHei"/>
          <w:color w:val="1F2933"/>
        </w:rPr>
        <w:t>股票下跌、波动率上升、经过一天。对一份 long call，Delta 项通常为负，Vega 项通常为正，Theta 项通常为负。先判断符号，再代入数值。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风险语言的两条路径</w:t>
      </w:r>
    </w:p>
    <w:p>
      <w:pPr/>
      <w:r>
        <w:rPr>
          <w:rFonts w:ascii="Calibri" w:hAnsi="Calibri" w:eastAsia="Microsoft YaHei"/>
        </w:rPr>
        <w:t>同一套定价系统会支持两条相关但不同的路径。日常风险管理使用 Greeks、P&amp;L explain、limits、VaR/ES 和 stress；FRTB Standardised Approach 使用监管规定的风险因子、敏感度、风险权重与相关性，形成 capital。前者不能简单视为后者的串行输入。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S 是风险因子，Delta 是敏感度；ΔS 是冲击，ΔV 是结果。Greek 不是市场变量本身。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先识别 risk factor，再计算 sensitivity；把 sensitivity 与 shock 相乘得到局部 P&amp;L 近似；监管 capital 是另一套规定聚合的结果。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股票价格 S 与 Delta 中，哪一个是 risk factor？哪一个是 sensitivity？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若 Delta = 0.6、ΔS = −2，仅用一阶近似，单份期权的 Delta P&amp;L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Taylor approximation 在大幅市场冲击下可能失真？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2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Delta 与 Rho：先看一阶方向风险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为什么 1,000 份 Delta 为 0.50 的看涨期权，看起来像持有 500 股？利率产品为什么又不能只报一个 Rho？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计算 portfolio Delta 和 hedge；理解 Rho、DV01 与 curve nodes；把传统风险语言初步连接到 FRTB Delta。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Delta：把期权转换成标的等价头寸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Delta = ∂V / ∂S</w:t>
      </w:r>
    </w:p>
    <w:p>
      <w:pPr/>
      <w:r>
        <w:rPr>
          <w:rFonts w:ascii="Calibri" w:hAnsi="Calibri" w:eastAsia="Microsoft YaHei"/>
        </w:rPr>
        <w:t>Delta 表示标的价格小幅变化 1 个价格单位时，期权价值近似变化多少。对于 1,000 份 Delta 为 0.50 的期权，portfolio Delta 为 500，直觉上相当于持有 500 股标的。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Portfolio Delta = quantity × contract multiplier × unit Delta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1,000 × 1 × 0.50 = +500 shares-equivalent</w:t>
      </w:r>
    </w:p>
    <w:p>
      <w:pPr/>
      <w:r>
        <w:rPr>
          <w:rFonts w:ascii="Calibri" w:hAnsi="Calibri" w:eastAsia="Microsoft YaHei"/>
        </w:rPr>
        <w:t>交易台卖空 500 股后，初始 net Delta 为 0。若股票从 100 跌到 96，期权的一阶 P&amp;L 约为 −2,000 CU，而空头股票约赚 +2,000 CU，两者抵销。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900"/>
        <w:gridCol w:w="1900"/>
        <w:gridCol w:w="45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头寸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Delta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ΔS = −4 时的一阶 P&amp;L</w:t>
            </w:r>
          </w:p>
        </w:tc>
      </w:tr>
      <w:tr>
        <w:tc>
          <w:tcPr>
            <w:tcW w:type="dxa" w:w="2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1,000 份 call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+500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+500 × (−4) = −2,000</w:t>
            </w:r>
          </w:p>
        </w:tc>
      </w:tr>
      <w:tr>
        <w:tc>
          <w:tcPr>
            <w:tcW w:type="dxa" w:w="2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卖空 500 股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−500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−500 × (−4) = +2,000</w:t>
            </w:r>
          </w:p>
        </w:tc>
      </w:tr>
      <w:tr>
        <w:tc>
          <w:tcPr>
            <w:tcW w:type="dxa" w:w="2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合计</w:t>
            </w:r>
          </w:p>
        </w:tc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</w:t>
            </w:r>
          </w:p>
        </w:tc>
        <w:tc>
          <w:tcPr>
            <w:tcW w:type="dxa" w:w="45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</w:t>
            </w:r>
          </w:p>
        </w:tc>
      </w:tr>
    </w:tbl>
    <w:p>
      <w:pPr>
        <w:spacing w:after="40" w:before="0"/>
      </w:pP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单位检查  </w:t>
      </w:r>
      <w:r>
        <w:rPr>
          <w:rFonts w:ascii="Calibri" w:hAnsi="Calibri" w:eastAsia="Microsoft YaHei"/>
          <w:color w:val="1F2933"/>
        </w:rPr>
        <w:t>unit Delta 的单位可理解为“股 / 期权”；乘以期权数量和合约乘数后得到“股等价”；再乘价格变化 CU/股，得到 CU 的 P&amp;L。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Delta-neutral 只描述“现在”</w:t>
      </w:r>
    </w:p>
    <w:p>
      <w:pPr/>
      <w:r>
        <w:rPr>
          <w:rFonts w:ascii="Calibri" w:hAnsi="Calibri" w:eastAsia="Microsoft YaHei"/>
        </w:rPr>
        <w:t>Delta-neutral 不是永久属性。标的变化会通过 Gamma 改变 Delta，时间变化会通过 Charm 改变 Delta，波动率变化会通过 Vanna 改变 Delta。动态对冲（dynamic hedging）的本质，是在市场变化后重新测量并调整头寸。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Rho、DV01 与利率曲线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Rho = ∂V / ∂r</w:t>
      </w:r>
    </w:p>
    <w:p>
      <w:pPr/>
      <w:r>
        <w:rPr>
          <w:rFonts w:ascii="Calibri" w:hAnsi="Calibri" w:eastAsia="Microsoft YaHei"/>
        </w:rPr>
        <w:t>Rho 描述利率变化带来的价值变化。但真实利率不是一个数，而是一条曲线。对 bond、swap、swaption 等产品，风险管理通常更关心 DV01/PV01 或 Key Rate Delta：2Y、5Y、10Y 等曲线节点各变动 1 bp 时，价值分别变化多少。</w:t>
      </w:r>
    </w:p>
    <w:p>
      <w:pPr>
        <w:pStyle w:val="Equation"/>
        <w:spacing w:before="80" w:after="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DV01 ≈ V(r + 1 bp) − V(r)</w:t>
      </w:r>
    </w:p>
    <w:p>
      <w:pPr>
        <w:pStyle w:val="SourceNote"/>
        <w:jc w:val="center"/>
      </w:pPr>
      <w:r>
        <w:rPr>
          <w:rFonts w:ascii="Calibri" w:hAnsi="Calibri" w:eastAsia="Microsoft YaHei"/>
          <w:color w:val="5B6573"/>
          <w:sz w:val="17"/>
        </w:rPr>
        <w:t>符号约定可能因机构而异；使用时必须注明“利率上升 1 bp 的 P&amp;L”还是其负值。</w:t>
      </w:r>
    </w:p>
    <w:p>
      <w:pPr/>
      <w:r>
        <w:rPr>
          <w:rFonts w:ascii="Calibri" w:hAnsi="Calibri" w:eastAsia="Microsoft YaHei"/>
        </w:rPr>
        <w:t>把一笔 5Y×5Y payer swaption 只汇总成“总 Rho”可能掩盖曲线形状风险。两个组合总 DV01 都为 0，仍可能一个在 5Y 节点为正、另一个在 10Y 节点为负，承受 steepener/flattener 风险。进入 FRTB SA 时，这些风险通常映射到 GIRR Delta，而不是另设一个名为 Rho 的资本类别。</w:t>
      </w:r>
    </w:p>
    <w:p>
      <w:pPr>
        <w:spacing w:before="100" w:after="160" w:line="300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从 PV01 到监管 sensitivity  </w:t>
      </w:r>
      <w:r>
        <w:rPr>
          <w:rFonts w:ascii="Calibri" w:hAnsi="Calibri" w:eastAsia="Microsoft YaHei"/>
          <w:color w:val="1F2933"/>
        </w:rPr>
        <w:t>若桌面 PV01 定义为利率上升 1 bp 的价值变化（CU/bp），而监管 RW 用 decimal rate 表示，则 s_k^FRTB = PV01 / 0.0001，再乘 decimal RW；等价地，也可用 PV01 乘以按 bp 表示的 RW。两种口径不能混用，CS01 同理。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Delta-neutral 是局部且时点性的；总 Rho 或总 DV01 为零也不代表各曲线节点风险为零。FRTB 中也没有独立的“Rho risk class”。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Delta 是 spot 的一阶敏感度；Delta hedge 消除当前局部方向风险；利率风险应按曲线节点观察，并在 FRTB 中主要进入 GIRR Delta。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若持有 1,000 份 call 并只卖空 400 股，net Delta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为什么一笔 swaption 的总 DV01 不能完全替代 key-rate DV01？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传统 Rho/DV01 在 FRTB SBM 中通常映射到哪一项？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3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Gamma：为什么 Delta-neutral 仍会有 P&amp;L？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既然期权 Delta 与股票 Delta 已经抵销，股票下跌 4 CU 后，组合为什么仍有约 +320 CU 的非线性收益？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理解 Gamma 的几何直觉；计算二阶 P&amp;L；认识 convexity 与动态对冲。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Gamma 是 Delta 的变化率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Gamma = ∂²V / ∂S² = ∂Delta / ∂S</w:t>
      </w:r>
    </w:p>
    <w:p>
      <w:pPr/>
      <w:r>
        <w:rPr>
          <w:rFonts w:ascii="Calibri" w:hAnsi="Calibri" w:eastAsia="Microsoft YaHei"/>
        </w:rPr>
        <w:t>Delta 是价值曲线在当前点的切线斜率，Gamma 则描述这条斜率如何随 spot 改变。标准 long call 或 long put 通常是 long Gamma：价格无论向上还是向下大幅移动，二阶项都倾向为正。short option 则相反。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ΔV ≈ Delta·ΔS + ½Gamma(ΔS)²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贯穿案例：二阶项为 +320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Gamma P&amp;L = ½ × 1,000 × 0.04 × (−4)² = +320 CU</w:t>
      </w:r>
    </w:p>
    <w:p>
      <w:pPr/>
      <w:r>
        <w:rPr>
          <w:rFonts w:ascii="Calibri" w:hAnsi="Calibri" w:eastAsia="Microsoft YaHei"/>
        </w:rPr>
        <w:t>初始 Delta P&amp;L 被股票 hedge 抵销，但股票头寸本身没有 Gamma，因此组合仍保留期权的 +320 CU 二阶贡献。这里的 +320 是在 Gamma 保持不变、忽略更高阶项时的近似。</w:t>
      </w: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先猜再算  </w:t>
      </w:r>
      <w:r>
        <w:rPr>
          <w:rFonts w:ascii="Calibri" w:hAnsi="Calibri" w:eastAsia="Microsoft YaHei"/>
          <w:color w:val="1F2933"/>
        </w:rPr>
        <w:t>先问两个符号：Gamma 是正还是负？冲击经过平方后为正。只要 long Gamma 且二阶近似成立，spot 向上或向下都会带来正的 Gamma 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Gamma 与 convexity</w:t>
      </w:r>
    </w:p>
    <w:p>
      <w:pPr/>
      <w:r>
        <w:rPr>
          <w:rFonts w:ascii="Calibri" w:hAnsi="Calibri" w:eastAsia="Microsoft YaHei"/>
        </w:rPr>
        <w:t>convexity 是更宽泛的概念：价值对某个风险因子的关系呈弯曲。股票期权的 spot convexity 可用 Gamma 描述；债券对收益率的 price-yield convexity、波动率方向的 Volga，也都体现非线性，但它们不是同一个敏感度。</w:t>
      </w:r>
    </w:p>
    <w:p>
      <w:pPr/>
      <w:r>
        <w:rPr>
          <w:rFonts w:ascii="Calibri" w:hAnsi="Calibri" w:eastAsia="Microsoft YaHei"/>
        </w:rPr>
        <w:t>交易员常说 long Gamma 可以通过“低买高卖”式的动态 Delta hedge 捕捉已实现波动，但这不是无成本套利。long Gamma 通常伴随 negative Theta，实际收益还受跳跃、交易成本、离散对冲和模型误差影响。</w:t>
      </w: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单位检查  </w:t>
      </w:r>
      <w:r>
        <w:rPr>
          <w:rFonts w:ascii="Calibri" w:hAnsi="Calibri" w:eastAsia="Microsoft YaHei"/>
          <w:color w:val="1F2933"/>
        </w:rPr>
        <w:t>Gamma 的单位可理解为“Delta / 1 CU 的 spot 变化”。乘以 (ΔS)² 后，再乘数量，结果回到 CU 的 P&amp;L。公式中的 ½ 不能漏。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Gamma P&amp;L 中的 ½ 来自 Taylor expansion；Gamma 项主要由冲击幅度的平方和 Gamma 符号决定，不是由涨跌方向直接决定。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Delta 描述切线，Gamma 描述弯曲；初始 Delta hedge 不消除 Gamma；long Gamma 对大幅双向波动有利，但通常需要付出 Theta。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单份期权 Delta = 0.50、Gamma = 0.04、ΔS = −4，二阶近似 P&amp;L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若其他条件相同，short 1,000 份期权的 Gamma P&amp;L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Delta-neutral 不等于 risk-free？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4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Vega：期权也在交易波动率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即使股票价格几乎不动，为什么一份长期权仍可能因为市场恐慌而上涨？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理解 implied volatility 是风险因子；正确处理 vol point 与 decimal volatility；认识 volatility surface 风险。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Vega 的含义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Vega = ∂V / ∂σ</w:t>
      </w:r>
    </w:p>
    <w:p>
      <w:pPr/>
      <w:r>
        <w:rPr>
          <w:rFonts w:ascii="Calibri" w:hAnsi="Calibri" w:eastAsia="Microsoft YaHei"/>
        </w:rPr>
        <w:t>Vega 衡量 implied volatility 变化时的价值响应。标准 long option 通常 long Vega：其他条件不变，市场愿意为更大的未来不确定性支付更高的期权价格。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最容易出错的是单位</w:t>
      </w:r>
    </w:p>
    <w:p>
      <w:pPr/>
      <w:r>
        <w:rPr>
          <w:rFonts w:ascii="Calibri" w:hAnsi="Calibri" w:eastAsia="Microsoft YaHei"/>
        </w:rPr>
        <w:t>市场通常把波动率从 20% 升至 23% 称为上升 3 vol points，而不是在 Vega 计算中直接代入 15% 的相对增幅。Vega 可能按“每 1 vol point”报告，也可能按 σ 增加 1.00 报告，两者相差 100 倍。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3 vol points = 3 percentage points = 0.03 in decimal volatility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Vega P&amp;L = 1,000 × 0.12 CU/vol point × 3 vol points = +360 CU</w:t>
      </w: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单位检查  </w:t>
      </w:r>
      <w:r>
        <w:rPr>
          <w:rFonts w:ascii="Calibri" w:hAnsi="Calibri" w:eastAsia="Microsoft YaHei"/>
          <w:color w:val="1F2933"/>
        </w:rPr>
        <w:t>若 Vega = 0.12 CU/vol point，就乘 3；若 Vega = 12 CU per 1.00 σ，就乘 0.03。两种写法应得到同一结果。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一个总 Vega 不够</w:t>
      </w:r>
    </w:p>
    <w:p>
      <w:pPr/>
      <w:r>
        <w:rPr>
          <w:rFonts w:ascii="Calibri" w:hAnsi="Calibri" w:eastAsia="Microsoft YaHei"/>
        </w:rPr>
        <w:t>implied volatility 不是一个数，而是一张 surface。股票期权常按 expiry × strike/moneyness 管理；swaption 常按 option expiry × underlying tenor 管理；外汇期权还会关注 delta buckets、risk reversal 与 butterfly。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00"/>
        <w:gridCol w:w="3150"/>
        <w:gridCol w:w="43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表面维度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可能被总 Vega 掩盖的风险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Expiry</w:t>
            </w:r>
          </w:p>
        </w:tc>
        <w:tc>
          <w:tcPr>
            <w:tcW w:type="dxa" w:w="3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不同期限波动率是否同步？</w:t>
            </w:r>
          </w:p>
        </w:tc>
        <w:tc>
          <w:tcPr>
            <w:tcW w:type="dxa" w:w="43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term-structure basis risk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Strike / moneyness</w:t>
            </w:r>
          </w:p>
        </w:tc>
        <w:tc>
          <w:tcPr>
            <w:tcW w:type="dxa" w:w="3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smile/skew 如何移动？</w:t>
            </w:r>
          </w:p>
        </w:tc>
        <w:tc>
          <w:tcPr>
            <w:tcW w:type="dxa" w:w="43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skew risk、wing risk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Underlying tenor</w:t>
            </w:r>
          </w:p>
        </w:tc>
        <w:tc>
          <w:tcPr>
            <w:tcW w:type="dxa" w:w="3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利率期权的不同 swap tenor 是否同步？</w:t>
            </w:r>
          </w:p>
        </w:tc>
        <w:tc>
          <w:tcPr>
            <w:tcW w:type="dxa" w:w="43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swaption cube basis</w:t>
            </w:r>
          </w:p>
        </w:tc>
      </w:tr>
    </w:tbl>
    <w:p>
      <w:pPr>
        <w:spacing w:after="40" w:before="0"/>
      </w:pP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Vega 的数值必须和波动率单位一起读；总 Vega 为零不代表每个 volatility risk factor 都被对冲。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σ 是风险因子，Vega 是敏感度；vol point 与 decimal volatility 要先统一；风险管理应观察 volatility surface，而不仅是总数。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Vega = 0.12 CU/vol point，波动率从 20% 升至 22.5%，单份期权的 Vega P&amp;L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Vega = 12 CU per 1.00 σ，σ 上升 0.025，结果是否相同？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+100 的 1M Vega 和 −100 的 1Y Vega 不能视为完全抵销？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5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Theta 与 Gamma–Theta trade-off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如果市场完全不动，为什么一份 long option 仍可能每天损失时间价值？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理解 Theta 的经济含义；组合 Gamma、Vega 与 Theta 的 P&amp;L；识别符号约定。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Theta 是时间流逝的敏感度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Theta = ∂V / ∂t</w:t>
      </w:r>
    </w:p>
    <w:p>
      <w:pPr/>
      <w:r>
        <w:rPr>
          <w:rFonts w:ascii="Calibri" w:hAnsi="Calibri" w:eastAsia="Microsoft YaHei"/>
        </w:rPr>
        <w:t>随着到期日接近，期权等待有利走势的时间减少。标准 long option 常见的风险组合是 long Gamma、long Vega、short Theta：持有人支付时间价值，换取凸性与波动率暴露。期权卖方收取时间价值，但承担 short Gamma 的尾部风险。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符号约定  </w:t>
      </w:r>
      <w:r>
        <w:rPr>
          <w:rFonts w:ascii="Calibri" w:hAnsi="Calibri" w:eastAsia="Microsoft YaHei"/>
          <w:color w:val="1F2933"/>
        </w:rPr>
        <w:t>若 t 表示 calendar time，Theta 常指每过一天的价值变化；若 τ 表示 time-to-maturity，则 ∂V/∂τ 的符号可能相反。阅读任何风险报告前先确认变量定义。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贯穿案例：从分项到 +660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Theta P&amp;L = 1,000 × (−0.02 CU/day) × 1 day = −20 CU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400"/>
        <w:gridCol w:w="4370"/>
        <w:gridCol w:w="259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解释项</w:t>
            </w:r>
          </w:p>
        </w:tc>
        <w:tc>
          <w:tcPr>
            <w:tcW w:type="dxa" w:w="4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计算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P&amp;L（CU）</w:t>
            </w:r>
          </w:p>
        </w:tc>
      </w:tr>
      <w:tr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+ stock hedge</w:t>
            </w:r>
          </w:p>
        </w:tc>
        <w:tc>
          <w:tcPr>
            <w:tcW w:type="dxa" w:w="4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−2,000 + 2,000</w:t>
            </w:r>
          </w:p>
        </w:tc>
        <w:tc>
          <w:tcPr>
            <w:tcW w:type="dxa" w:w="259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0</w:t>
            </w:r>
          </w:p>
        </w:tc>
      </w:tr>
      <w:tr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</w:t>
            </w:r>
          </w:p>
        </w:tc>
        <w:tc>
          <w:tcPr>
            <w:tcW w:type="dxa" w:w="4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½ × 1,000 × 0.04 × 16</w:t>
            </w:r>
          </w:p>
        </w:tc>
        <w:tc>
          <w:tcPr>
            <w:tcW w:type="dxa" w:w="259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+320</w:t>
            </w:r>
          </w:p>
        </w:tc>
      </w:tr>
      <w:tr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</w:t>
            </w:r>
          </w:p>
        </w:tc>
        <w:tc>
          <w:tcPr>
            <w:tcW w:type="dxa" w:w="4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1,000 × 0.12 × 3</w:t>
            </w:r>
          </w:p>
        </w:tc>
        <w:tc>
          <w:tcPr>
            <w:tcW w:type="dxa" w:w="259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+360</w:t>
            </w:r>
          </w:p>
        </w:tc>
      </w:tr>
      <w:tr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Theta</w:t>
            </w:r>
          </w:p>
        </w:tc>
        <w:tc>
          <w:tcPr>
            <w:tcW w:type="dxa" w:w="4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1,000 × (−0.02) × 1</w:t>
            </w:r>
          </w:p>
        </w:tc>
        <w:tc>
          <w:tcPr>
            <w:tcW w:type="dxa" w:w="259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−20</w:t>
            </w:r>
          </w:p>
        </w:tc>
      </w:tr>
      <w:tr>
        <w:tc>
          <w:tcPr>
            <w:tcW w:type="dxa" w:w="24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Explained P&amp;L</w:t>
            </w:r>
          </w:p>
        </w:tc>
        <w:tc>
          <w:tcPr>
            <w:tcW w:type="dxa" w:w="43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 + 320 + 360 − 20</w:t>
            </w:r>
          </w:p>
        </w:tc>
        <w:tc>
          <w:tcPr>
            <w:tcW w:type="dxa" w:w="259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+660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eastAsia="Microsoft YaHei"/>
        </w:rPr>
        <w:t>这个 +660 不是保证发生的实际 P&amp;L，而是基于本章使用的局部 Greeks 和简化冲击构造的解释值。下一步需要把它与 full revaluation 的实际损益比较。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Gamma–Theta 不是简单的一换一</w:t>
      </w:r>
    </w:p>
    <w:p>
      <w:pPr/>
      <w:r>
        <w:rPr>
          <w:rFonts w:ascii="Calibri" w:hAnsi="Calibri" w:eastAsia="Microsoft YaHei"/>
        </w:rPr>
        <w:t>在 Black–Scholes 等简化框架下，Gamma、Theta 与隐含波动率之间存在定价关系，因此交易员常比较 realized volatility 与 implied volatility。但实际组合还受到 Vega、利率、分红、跳跃、离散对冲和交易成本影响。把“long Gamma”直接等同于“必然赚钱”是危险的。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Theta 的符号依赖时间变量约定；long Gamma 的潜在收益需要与 Theta、Vega 以及对冲成本一起看。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long option 常见 long Gamma/long Vega/short Theta；各项 P&amp;L 必须使用一致单位；+660 是解释值，不是最终全量重估结果。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案例中经过两天、其他冲击不变，仅 Theta P&amp;L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short Theta 可以理解为持有 convexity 的成本之一？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把案例四项相加，explained P&amp;L 是多少？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6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Vanna、Volga/Vomma 与 Charm：风险本身也会变化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今天的 Delta 和 Vega 都对冲准确，为什么波动率变化或时间流逝后，明天又会出现新的 Delta？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解释三个常见高阶 Greeks；识别 cross-risk 与 convexity；理解它们与 FRTB 类别并非一一对应。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三个高阶敏感度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00"/>
        <w:gridCol w:w="2940"/>
        <w:gridCol w:w="46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Greek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直觉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Vanna</w:t>
            </w:r>
          </w:p>
        </w:tc>
        <w:tc>
          <w:tcPr>
            <w:tcW w:type="dxa" w:w="29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∂²V/(∂S∂σ) = ∂Delta/∂σ = ∂Vega/∂S</w:t>
            </w:r>
          </w:p>
        </w:tc>
        <w:tc>
          <w:tcPr>
            <w:tcW w:type="dxa" w:w="4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波动率变化会怎样改变 Delta；spot 变化会怎样改变 Vega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Volga / Vomma</w:t>
            </w:r>
          </w:p>
        </w:tc>
        <w:tc>
          <w:tcPr>
            <w:tcW w:type="dxa" w:w="29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∂²V/∂σ² = ∂Vega/∂σ</w:t>
            </w:r>
          </w:p>
        </w:tc>
        <w:tc>
          <w:tcPr>
            <w:tcW w:type="dxa" w:w="4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 随波动率变化的速度，即 volatility convexity</w:t>
            </w:r>
          </w:p>
        </w:tc>
      </w:tr>
      <w:tr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Charm</w:t>
            </w:r>
          </w:p>
        </w:tc>
        <w:tc>
          <w:tcPr>
            <w:tcW w:type="dxa" w:w="29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∂Delta/∂t</w:t>
            </w:r>
          </w:p>
        </w:tc>
        <w:tc>
          <w:tcPr>
            <w:tcW w:type="dxa" w:w="4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仅因时间流逝，Delta 如何漂移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eastAsia="Microsoft YaHei"/>
        </w:rPr>
        <w:t>一阶 Greeks 像仪表盘当前读数，高阶 Greeks 描述这些读数接下来如何变化。它们在 exotic options、barriers、digitals、long-dated options 和有显著 skew 的组合中尤其重要。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小例子：Vanna 让 Delta 重新出现</w:t>
      </w:r>
    </w:p>
    <w:p>
      <w:pPr/>
      <w:r>
        <w:rPr>
          <w:rFonts w:ascii="Calibri" w:hAnsi="Calibri" w:eastAsia="Microsoft YaHei"/>
        </w:rPr>
        <w:t>假设一份期权的 Vanna 为 0.04 Delta units / vol point。若 implied volatility 上升 2 vol points，则 Delta 约增加 0.08。持有 1,000 份时，组合可能新增约 +80 股等价的 Delta，需要重新对冲。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Approximate Delta change from Vanna = Vanna × Δσ = 0.04 × 2 = 0.08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高阶 Greeks 与 FRTB 的边界</w:t>
      </w:r>
    </w:p>
    <w:p>
      <w:pPr/>
      <w:r>
        <w:rPr>
          <w:rFonts w:ascii="Calibri" w:hAnsi="Calibri" w:eastAsia="Microsoft YaHei"/>
        </w:rPr>
        <w:t>FRTB SBM 的资本类别是 Delta、Vega 和 Curvature，并没有 Vanna capital、Volga capital 或 Charm capital 这些同名类别。Curvature 通常逐个规定的 delta risk factor 施加冲击，只捕捉该冲击方向上的 full-revaluation residual；它不等于显式计量 cross-gamma、Vanna 或 Volga。多个因子同时变化的交叉效应，应由日常 joint stress/full revaluation 等工具另行观察。</w:t>
      </w:r>
    </w:p>
    <w:p>
      <w:pPr>
        <w:spacing w:before="100" w:after="160" w:line="300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关键边界  </w:t>
      </w:r>
      <w:r>
        <w:rPr>
          <w:rFonts w:ascii="Calibri" w:hAnsi="Calibri" w:eastAsia="Microsoft YaHei"/>
          <w:color w:val="1F2933"/>
        </w:rPr>
        <w:t>Volga 描述 implied volatility 方向的二阶风险；FRTB curvature 主要对 delta risk factors 做规定冲击和全量重估。二者不是同一个概念。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不要把每个高阶 Greek 强行映射成同名 FRTB capital。尤其是 Volga 不等于 FRTB curvature。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Vanna 是 spot–volatility 交叉风险；Volga 是 volatility convexity；Charm 是 Delta 的时间漂移；三者解释风险变化，但 FRTB 使用自己的分类语言。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Vanna = 0.04/vol point，波动率上升 2 points，单份期权 Delta 约变化多少？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Volga 为正，在局部上意味着 Vega 随 σ 怎样变化？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Volga 不能直接称为 FRTB curvature？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7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从一个总 Greek 到风险矩阵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组合总 Vega 等于零，Risk Manager 为什么仍可能认为组合没有真正对冲？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区分同一 risk factor 净额与跨因子对冲；构建节点化风险视图；为 FRTB bucket 语言做准备。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总数可能隐藏 basis risk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案例当前状态  </w:t>
      </w:r>
      <w:r>
        <w:rPr>
          <w:rFonts w:ascii="Calibri" w:hAnsi="Calibri" w:eastAsia="Microsoft YaHei"/>
          <w:color w:val="1F2933"/>
        </w:rPr>
        <w:t>先旁看 Alpha Desk 的一个独立 volatility sleeve：1M 和 1Y options 的 Vega 分别为 +100 与 −100。它用于学习风险矩阵，不纳入下一章 +610 CU 的核心 sub-portfolio P&amp;L scope。</w:t>
      </w:r>
    </w:p>
    <w:p>
      <w:pPr/>
      <w:r>
        <w:rPr>
          <w:rFonts w:ascii="Calibri" w:hAnsi="Calibri" w:eastAsia="Microsoft YaHei"/>
        </w:rPr>
        <w:t>假设组合有 +100 的 1M Vega 和 −100 的 1Y Vega。总 Vega 为 0，但两个 volatility nodes 不一定同步变化。如果短端波动率上升、长端不动，组合仍有明显 P&amp;L。这就是期限结构 basis risk。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3100"/>
        <w:gridCol w:w="1800"/>
        <w:gridCol w:w="44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Risk factor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Sensitivity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是否可与另一行完整净额？</w:t>
            </w:r>
          </w:p>
        </w:tc>
      </w:tr>
      <w:tr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1M ATM implied volatility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+100</w:t>
            </w:r>
          </w:p>
        </w:tc>
        <w:tc>
          <w:tcPr>
            <w:tcW w:type="dxa" w:w="4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否；它是独立节点</w:t>
            </w:r>
          </w:p>
        </w:tc>
      </w:tr>
      <w:tr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1Y ATM implied volatility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−100</w:t>
            </w:r>
          </w:p>
        </w:tc>
        <w:tc>
          <w:tcPr>
            <w:tcW w:type="dxa" w:w="4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否；只能视作不完全 hedge</w:t>
            </w:r>
          </w:p>
        </w:tc>
      </w:tr>
      <w:tr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Total Vega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</w:t>
            </w:r>
          </w:p>
        </w:tc>
        <w:tc>
          <w:tcPr>
            <w:tcW w:type="dxa" w:w="4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只是一维汇总，不代表局部风险为零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风险矩阵回答“在哪里”</w:t>
      </w:r>
    </w:p>
    <w:p>
      <w:pPr/>
      <w:r>
        <w:rPr>
          <w:rFonts w:ascii="Calibri" w:hAnsi="Calibri" w:eastAsia="Microsoft YaHei"/>
        </w:rPr>
        <w:t>风险报告不仅要回答有多少风险，还要回答风险在哪里。股票期权可以展示 expiry × strike；swaption 可以展示 option expiry × underlying swap tenor；利率 Delta 可以展示 currency × curve × tenor。对复杂组合，这些二维或三维矩阵比单一总数更有控制价值。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三个层级：risk factor、bucket、risk class</w:t>
      </w:r>
    </w:p>
    <w:p>
      <w:pPr/>
      <w:r>
        <w:rPr>
          <w:rFonts w:ascii="Calibri" w:hAnsi="Calibri" w:eastAsia="Microsoft YaHei"/>
        </w:rPr>
        <w:t>FRTB 后半部分会反复使用三个层级。risk factor 是最细的市场变量；bucket 把具有共同属性的多个风险因子归组；risk class 则是更高层的监管类别，例如 GIRR、Equity 或 FX。只有同一 risk factor 的敏感度先完全净额；同一 bucket 内的不同 risk factors 只能按规定相关性获得部分对冲。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50"/>
        <w:gridCol w:w="3750"/>
        <w:gridCol w:w="38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例子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Risk factor</w:t>
            </w:r>
          </w:p>
        </w:tc>
        <w:tc>
          <w:tcPr>
            <w:tcW w:type="dxa" w:w="3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某股票价格；USD OIS 5Y node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计算和净额的最细对象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Bucket</w:t>
            </w:r>
          </w:p>
        </w:tc>
        <w:tc>
          <w:tcPr>
            <w:tcW w:type="dxa" w:w="3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某 equity sector/region bucket；某 currency GIRR bucket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使用桶内相关性聚合</w:t>
            </w:r>
          </w:p>
        </w:tc>
      </w:tr>
      <w:tr>
        <w:tc>
          <w:tcPr>
            <w:tcW w:type="dxa" w:w="1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Risk class</w:t>
            </w:r>
          </w:p>
        </w:tc>
        <w:tc>
          <w:tcPr>
            <w:tcW w:type="dxa" w:w="37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Equity；GIRR；FX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形成该风险类别 charge</w:t>
            </w:r>
          </w:p>
        </w:tc>
      </w:tr>
    </w:tbl>
    <w:p>
      <w:pPr>
        <w:spacing w:after="40" w:before="0"/>
      </w:pP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“同一 bucket”不等于“同一 risk factor”。同桶的正负敏感度不能简单 100% 抵销。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总 Greek 是摘要，不是完整风险地图；节点化矩阵揭示 basis risk；risk factor、bucket、risk class 是三个不同层级。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+100 的 1M Vega 与 −100 的 1Y Vega 不能完整净额？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swaption Vega 常用哪两个主要维度展示？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同一 bucket 的两个不同 risk factors 能否在 FRTB 中直接 100% 抵销？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8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P&amp;L Attribution：今天为什么赚了 610？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Greeks 解释值是 +660 CU，但静态持仓的 full-revaluation P&amp;L 是 +610 CU。少掉的 50 CU 去了哪里？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构建 explained P&amp;L；计算 residual；区分日常 P&amp;L explain 与 FRTB IMA PLA。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P&amp;L explain 是模型解释力的日常体检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本章 P&amp;L scope  </w:t>
      </w:r>
      <w:r>
        <w:rPr>
          <w:rFonts w:ascii="Calibri" w:hAnsi="Calibri" w:eastAsia="Microsoft YaHei"/>
          <w:color w:val="1F2933"/>
        </w:rPr>
        <w:t>本章回到原始核心 sub-portfolio：1,000 份 6M call + short 500 shares。第 7 章的独立 volatility sleeve 不在本日冻结持仓范围内。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Full-revaluation P&amp;L = Explained P&amp;L + Residual</w:t>
      </w:r>
    </w:p>
    <w:p>
      <w:pPr/>
      <w:r>
        <w:rPr>
          <w:rFonts w:ascii="Calibri" w:hAnsi="Calibri" w:eastAsia="Microsoft YaHei"/>
        </w:rPr>
        <w:t>风险因子变动与 Greeks 给出 explained P&amp;L；把前一日收盘持仓冻结，并在次日市场数据下用同一教学估值引擎 full revaluation，得到本例的静态重估 P&amp;L。这里假设没有 intraday trades、fees、cash flows、fixings 或口径变化。两者差额称为 residual 或 unexplained P&amp;L。</w:t>
      </w:r>
    </w:p>
    <w:p>
      <w:pPr/>
      <w:r>
        <w:rPr>
          <w:rFonts w:ascii="Calibri" w:hAnsi="Calibri" w:eastAsia="Microsoft YaHei"/>
        </w:rPr>
        <w:t>案例初始每份 option PV 为 8.00 CU，次日 full-revaluation PV 为 6.61 CU，所以期权 P&amp;L 为 1,000×(6.61−8.00)=−1,390 CU；short 500 shares 在 spot 从 100 跌到 96 时赚 +2,000 CU，组合静态重估 P&amp;L 为 +610 CU。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P&amp;L（CU）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+ stock hedge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初始一阶方向风险抵销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Gamma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+320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spot convexity 二阶近似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Vega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+360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隐含波动率上升 3 vol points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Theta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−20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经过 1 天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Explained P&amp;L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+660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上述主要 Greeks 合计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Residual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−50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Full revaluation − Explained</w:t>
            </w:r>
          </w:p>
        </w:tc>
      </w:tr>
      <w:tr>
        <w:tc>
          <w:tcPr>
            <w:tcW w:type="dxa" w:w="28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Full-revaluation P&amp;L</w:t>
            </w:r>
          </w:p>
        </w:tc>
        <w:tc>
          <w:tcPr>
            <w:tcW w:type="dxa" w:w="18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+610</w:t>
            </w:r>
          </w:p>
        </w:tc>
        <w:tc>
          <w:tcPr>
            <w:tcW w:type="dxa" w:w="4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冻结持仓、更新市场后的重估结果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Residual = +610 − (+660) = −50 CU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Residual 不等于“模型一定错了”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Taylor expansion 遗漏三阶及更高阶项，或使用昨日 Greeks 解释较大市场变化。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Vanna、Volga、cross-gamma 等交叉或高阶效应未纳入解释。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volatility surface 并非平行移动，实际各节点变化与单一 Δσ 假设不同。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intraday trades、cash flows、fixings、fees、carry、FX conversion 或 market data cut 不一致。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模型参数、估值模型或数据映射发生变化。</w:t>
      </w:r>
    </w:p>
    <w:p>
      <w:pPr/>
      <w:r>
        <w:rPr>
          <w:rFonts w:ascii="Calibri" w:hAnsi="Calibri" w:eastAsia="Microsoft YaHei"/>
        </w:rPr>
        <w:t>Residual 需要按绝对金额、相对 full-revaluation P&amp;L、相对风险规模和持续性共同判断。一次很小的 residual 可能只是高阶项；持续集中在某产品或节点的 residual，则可能揭示控制缺口。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与 FRTB 的联系和边界</w:t>
      </w:r>
    </w:p>
    <w:p>
      <w:pPr/>
      <w:r>
        <w:rPr>
          <w:rFonts w:ascii="Calibri" w:hAnsi="Calibri" w:eastAsia="Microsoft YaHei"/>
        </w:rPr>
        <w:t>日常 Greeks-based P&amp;L explain 与 FRTB Internal Models Approach（IMA）的 P&amp;L Attribution test 都关注风险因子与损益解释，但它们不是同一计算。FRTB PLA 使用监管定义的 risk-theoretical P&amp;L 与 hypothetical P&amp;L，并有规定统计检验；FRTB SA/SBM 则不以日常 P&amp;L explain 作为直接资本输入。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300"/>
        <w:gridCol w:w="4200"/>
        <w:gridCol w:w="38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口径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高层含义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与本例关系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APL</w:t>
            </w:r>
          </w:p>
        </w:tc>
        <w:tc>
          <w:tcPr>
            <w:tcW w:type="dxa" w:w="4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实际会计/风险口径的日损益，可能含日内交易及规定调整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本例未构造 APL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HPL</w:t>
            </w:r>
          </w:p>
        </w:tc>
        <w:tc>
          <w:tcPr>
            <w:tcW w:type="dxa" w:w="4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冻结前日持仓、使用 desk 实际估值过程形成的假设损益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本例的静态重估只有直觉相似性，并非正式 HPL</w:t>
            </w:r>
          </w:p>
        </w:tc>
      </w:tr>
      <w:tr>
        <w:tc>
          <w:tcPr>
            <w:tcW w:type="dxa" w:w="1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RTPL</w:t>
            </w:r>
          </w:p>
        </w:tc>
        <w:tc>
          <w:tcPr>
            <w:tcW w:type="dxa" w:w="42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仅使用 desk 内部模型可建模风险因子形成的理论损益</w:t>
            </w:r>
          </w:p>
        </w:tc>
        <w:tc>
          <w:tcPr>
            <w:tcW w:type="dxa" w:w="38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本例的 Greeks explain 不是正式 RTPL</w:t>
            </w:r>
          </w:p>
        </w:tc>
      </w:tr>
    </w:tbl>
    <w:p>
      <w:pPr>
        <w:spacing w:after="40" w:before="0"/>
      </w:pP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Residual 是“尚未被当前解释框架覆盖的差额”，不能不经调查就等同于模型错误，也不能因金额小就永远忽略。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P&amp;L attribution 将损益按风险来源拆解；静态 full revaluation 与 explained 的差额是 residual；日常 explain、IMA PLA 与 SA/SBM 有联系但不是同一制度。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Explained P&amp;L = +660、Full-revaluation P&amp;L = +610，Residual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列举两个可能产生 residual、但不必然表示模型错误的原因。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FRTB SA/SBM 是否把日常 Greeks-based P&amp;L explain 直接作为输入？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9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VaR、Expected Shortfall 与 Stress Test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两个组合的 VaR 都是 4 百万，其中一个却可能存在 15 百万尾部损失。为什么？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区分 VaR 与 ES；理解 Stress Test 的作用；说清 FRTB SA 与监管 ES 的边界。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VaR：看一个损失分位点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VaRα(L) = inf{l : P(L ≤ l) ≥ α}</w:t>
      </w:r>
    </w:p>
    <w:p>
      <w:pPr/>
      <w:r>
        <w:rPr>
          <w:rFonts w:ascii="Calibri" w:hAnsi="Calibri" w:eastAsia="Microsoft YaHei"/>
        </w:rPr>
        <w:t>VaRα 回答：在给定持有期和置信水平下，损失分布的 α 分位点是多少。它不是最大可能损失，也不告诉你越过分位点后平均会损失多少。模型必须同时说明 horizon、confidence level、data window、valuation method 与 P&amp;L definition。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ES：看分位点以外的平均尾部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ESα(L) = (1 / (1 − α)) ∫[α,1] VaRu(L) du</w:t>
      </w:r>
    </w:p>
    <w:p>
      <w:pPr/>
      <w:r>
        <w:rPr>
          <w:rFonts w:ascii="Calibri" w:hAnsi="Calibri" w:eastAsia="Microsoft YaHei"/>
        </w:rPr>
        <w:t>Expected Shortfall（ES）关注 VaR 阈值之外的平均尾部损失，因此比 VaR 更直接反映尾部严重程度。对离散小样本，教学中可以把它理解为“最差的 1−α 比例情景的平均损失”，但真实实施要遵循精确的分位数和插值规则。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数值例子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案例当前状态  </w:t>
      </w:r>
      <w:r>
        <w:rPr>
          <w:rFonts w:ascii="Calibri" w:hAnsi="Calibri" w:eastAsia="Microsoft YaHei"/>
          <w:color w:val="1F2933"/>
        </w:rPr>
        <w:t>从本章起，Alpha Desk 已把名义规模成倍扩大，并加入 expiry options 与 index hedge。组合 B 是扩大后组合经过统一缩放的十个教学历史重估损失，不是前章 8,000 CU 核心 sub-portfolio 的原金额；组合 A 是具有相同 80% VaR、但尾部较轻的控制组合。单位均为百万 CU。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00"/>
        <w:gridCol w:w="43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从小到大排列的十个损失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VaR80%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ES80%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A：轻尾控制组合</w:t>
            </w:r>
          </w:p>
        </w:tc>
        <w:tc>
          <w:tcPr>
            <w:tcW w:type="dxa" w:w="4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0, 0, 1, 1, 2, 2, 3, 4, 5, 6</w:t>
            </w:r>
          </w:p>
        </w:tc>
        <w:tc>
          <w:tcPr>
            <w:tcW w:type="dxa" w:w="14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4</w:t>
            </w:r>
          </w:p>
        </w:tc>
        <w:tc>
          <w:tcPr>
            <w:tcW w:type="dxa" w:w="171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5.5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B：Alpha Desk</w:t>
            </w:r>
          </w:p>
        </w:tc>
        <w:tc>
          <w:tcPr>
            <w:tcW w:type="dxa" w:w="4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0, 0, 1, 1, 2, 2, 3, 4, 8, 15</w:t>
            </w:r>
          </w:p>
        </w:tc>
        <w:tc>
          <w:tcPr>
            <w:tcW w:type="dxa" w:w="14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4</w:t>
            </w:r>
          </w:p>
        </w:tc>
        <w:tc>
          <w:tcPr>
            <w:tcW w:type="dxa" w:w="171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11.5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eastAsia="Microsoft YaHei"/>
        </w:rPr>
        <w:t>采用本例的 nearest-rank 教学约定，两个组合第 80 百分位都停在第 8 个观测 4，但尾部平均值不同：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VaR80%(A) = VaR80%(B) = 4；ES80%(A) = 5.5；ES80%(B) = 11.5</w:t>
      </w:r>
    </w:p>
    <w:p>
      <w:pPr>
        <w:spacing w:before="100" w:after="160" w:line="300" w:lineRule="auto"/>
        <w:ind w:left="173" w:right="115"/>
        <w:shd w:fill="E9F5F4"/>
        <w:pBdr>
          <w:left w:val="single" w:sz="12" w:space="8" w:color="176B70"/>
        </w:pBdr>
      </w:pPr>
      <w:r>
        <w:rPr>
          <w:rFonts w:ascii="Calibri" w:hAnsi="Calibri" w:eastAsia="Microsoft YaHei"/>
          <w:b/>
          <w:color w:val="176B70"/>
        </w:rPr>
        <w:t xml:space="preserve">读数直觉  </w:t>
      </w:r>
      <w:r>
        <w:rPr>
          <w:rFonts w:ascii="Calibri" w:hAnsi="Calibri" w:eastAsia="Microsoft YaHei"/>
          <w:color w:val="1F2933"/>
        </w:rPr>
        <w:t>VaR80% 对两个组合都只停在第 8 个观测 4；ES80% 继续观察最差的两个结果，因此能区分 A 的 5.5 与 B 的 11.5。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Stress Test：把极端故事写清楚</w:t>
      </w:r>
    </w:p>
    <w:p>
      <w:pPr/>
      <w:r>
        <w:rPr>
          <w:rFonts w:ascii="Calibri" w:hAnsi="Calibri" w:eastAsia="Microsoft YaHei"/>
        </w:rPr>
        <w:t>Stress Test 不一定为情景附上概率。它可以基于历史危机、假设冲击或反向压力测试，并常使用 full revaluation。对贯穿案例，可以设置 Alpha spot −20%、implied volatility +15 vol points，并让新增的不同 expiry options 与指数 hedge 出现 basis widening，再观察 Greeks 近似与全量重估之间的差异。由于本书没有规定完整 surface 与相关资产定价模型，此处只设计情景而不虚构精确 stress P&amp;L；正式流程必须由估值引擎给出结果。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主要局限 / 补充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VaR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常规分布下某个分位点损失多大？</w:t>
            </w:r>
          </w:p>
        </w:tc>
        <w:tc>
          <w:tcPr>
            <w:tcW w:type="dxa" w:w="4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不描述阈值以外的平均严重程度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ES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越过 VaR 后平均尾部损失多大？</w:t>
            </w:r>
          </w:p>
        </w:tc>
        <w:tc>
          <w:tcPr>
            <w:tcW w:type="dxa" w:w="4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仍依赖数据、模型和流动性假设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Stress Test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指定极端故事发生时会怎样？</w:t>
            </w:r>
          </w:p>
        </w:tc>
        <w:tc>
          <w:tcPr>
            <w:tcW w:type="dxa" w:w="43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情景覆盖取决于设计，不一定有概率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9.5 FRTB 边界</w:t>
      </w:r>
    </w:p>
    <w:p>
      <w:pPr/>
      <w:r>
        <w:rPr>
          <w:rFonts w:ascii="Calibri" w:hAnsi="Calibri" w:eastAsia="Microsoft YaHei"/>
        </w:rPr>
        <w:t>FRTB Internal Models Approach 使用监管 Expected Shortfall，并涉及 liquidity horizons、non-modellable risk factors 和 PLA/backtesting 等要求。FRTB Standardised Approach 的 SBM 则使用 sensitivities、risk weights 和 correlations，不把 ES 或 VaR 作为直接输入。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VaR 不是最大可能损失；ES 不是 FRTB SA/SBM 的输入；Stress Test 也不应被一个概率指标替代。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VaR 看分位点，ES 看分位点以外的平均尾部，Stress Test 看具体极端故事；三者互补；监管 ES 主要属于 FRTB IMA。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对损失序列 0,0,1,1,2,2,3,4,8,15，按本例约定 VaR80% 与 ES80% 各是多少？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VaR 不能称为最大可能损失？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FRTB IMA 与 SA 中，哪一个使用监管 ES？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10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FRTB SA：把 Greeks 转成监管敏感度语言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银行已经有 Greeks，监管为什么还要规定 risk class、risk factor、bucket、risk weight 和 aggregation？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区分 SA 与 SBM；掌握概念链条；完成 Greeks 与七类风险类别的映射。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完整 Standardised Approach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K_SA = K_SBM + K_DRC + K_RRAO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SBM（Sensitivities-based Method）：计算 Delta、Vega 与 Curvature risk。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DRC（Default Risk Charge）：覆盖 jump-to-default risk，避免只用信用利差冲击低估违约跳跃。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RRAO（Residual Risk Add-On）：覆盖 exotic underlyings 或其他标准风险因子难以充分表示的 residual risks。</w:t>
      </w:r>
    </w:p>
    <w:p>
      <w:pPr/>
      <w:r>
        <w:rPr>
          <w:rFonts w:ascii="Calibri" w:hAnsi="Calibri" w:eastAsia="Microsoft YaHei"/>
        </w:rPr>
        <w:t>因此 SA 与 SBM 不是同义词。SBM 是 SA 的核心组成部分，但完整 SA 还必须加 DRC 与 RRAO。若再转为 market-risk RWA，可使用 RWA_market = 12.5 × K_SA；这一换算不改变前面的风险逻辑。</w:t>
      </w:r>
    </w:p>
    <w:p>
      <w:pPr>
        <w:spacing w:before="100" w:after="160" w:line="300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DRC 不只属于信用利差头寸  </w:t>
      </w:r>
      <w:r>
        <w:rPr>
          <w:rFonts w:ascii="Calibri" w:hAnsi="Calibri" w:eastAsia="Microsoft YaHei"/>
          <w:color w:val="1F2933"/>
        </w:rPr>
        <w:t>股票与股票衍生品也可能产生 jump-to-default exposure。Alpha long call 可能在发行人违约时损失当前价值，short stock hedge 可能产生违约收益；这些需按 DRC 规则另算并仅在允许范围内净额。因此本书的 Equity Delta/Vega/Curvature 计算只是 SBM 示例，不是完整 SA capital。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SBM 的七类 risk classes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450"/>
        <w:gridCol w:w="3300"/>
        <w:gridCol w:w="46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缩写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Risk class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典型风险因子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GIRR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General Interest Rate Risk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无风险利率曲线、通胀、cross-currency basis 等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CSR non-sec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Credit Spread Risk: non-securitisations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发行人 / 曲线 / tenor 信用利差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CSR sec non-CTP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CSR: securitisations non-CTP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非相关性交易组合证券化利差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CSR sec CTP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CSR: securitisations CTP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相关性交易组合利差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Equity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Equity Risk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股票 spot、equity repo、implied volatility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Commodity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Commodity Risk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商品价格曲线与 implied volatility</w:t>
            </w:r>
          </w:p>
        </w:tc>
      </w:tr>
      <w:tr>
        <w:tc>
          <w:tcPr>
            <w:tcW w:type="dxa" w:w="14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FX</w:t>
            </w:r>
          </w:p>
        </w:tc>
        <w:tc>
          <w:tcPr>
            <w:tcW w:type="dxa" w:w="33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Foreign Exchange Risk</w:t>
            </w:r>
          </w:p>
        </w:tc>
        <w:tc>
          <w:tcPr>
            <w:tcW w:type="dxa" w:w="461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汇率与 FX implied volatility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核心概念链：先分成两条路径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共同起点：Trade → Pricing model → Prescribed risk factor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Delta/Vega：Sensitivity → Bucket → RW → WS → within-/cross-bucket aggregation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Curvature：Up/down shocks → Full revaluation → CVR⁺/⁻ → curvature-specific aggregation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850"/>
        <w:gridCol w:w="3180"/>
        <w:gridCol w:w="433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环节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学习者问题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Risk factor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什么变量被监管冲击？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规定的 spot、curve node、spread node 或 volatility node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Delta/Vega sensitivity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价值对该因子有多敏感？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按监管定义计算并对同一因子净额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Delta/Vega bucket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这个因子属于哪一组？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按币种、行业、信用质量、商品类别等归组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Delta/Vega risk weight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监管采用多大风险尺度？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形成 WS_k = RW_k × s_k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Delta/Vega aggregation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不同 WS 如何承认有限对冲？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先 within-bucket，再 cross-bucket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Curvature branch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有限冲击的非线性损失是多少？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up/down full revaluation 后形成 CVR，再按专用公式聚合</w:t>
            </w:r>
          </w:p>
        </w:tc>
      </w:tr>
      <w:tr>
        <w:tc>
          <w:tcPr>
            <w:tcW w:type="dxa" w:w="1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Capital</w:t>
            </w:r>
          </w:p>
        </w:tc>
        <w:tc>
          <w:tcPr>
            <w:tcW w:type="dxa" w:w="31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最终 charge 是多少？</w:t>
            </w:r>
          </w:p>
        </w:tc>
        <w:tc>
          <w:tcPr>
            <w:tcW w:type="dxa" w:w="4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对三种 correlation scenarios 完整重算并取最大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交易台 Greek 不一定等于监管 sensitivity</w:t>
      </w:r>
    </w:p>
    <w:p>
      <w:pPr/>
      <w:r>
        <w:rPr>
          <w:rFonts w:ascii="Calibri" w:hAnsi="Calibri" w:eastAsia="Microsoft YaHei"/>
        </w:rPr>
        <w:t>FRTB Delta 是监管标准化 sensitivity。以 equity spot 为例，规定形式可写成：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s_k = [V(1.01 S_k) − V(S_k)] / 0.01 ≈ S_k · ∂V/∂S_k</w:t>
      </w:r>
    </w:p>
    <w:p>
      <w:pPr/>
      <w:r>
        <w:rPr>
          <w:rFonts w:ascii="Calibri" w:hAnsi="Calibri" w:eastAsia="Microsoft YaHei"/>
        </w:rPr>
        <w:t>因此它近似是 spot 乘以传统 unit Delta，结果是报告货币金额，而不是单纯“多少股”。贯穿案例中，1,000 份 call 的 Delta 等价约 500 股；在 S = 100 时，未考虑 hedge 的 equity delta sensitivity 约为 100 × 500 = 50,000 CU。若把 −500 股 hedge 一并纳入同一 risk factor，初始净 sensitivity 约为零。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s_k^GIRR = [V(r_k + 0.0001) − V(r_k)] / 0.0001 = PV01_k / 0.0001</w:t>
      </w:r>
    </w:p>
    <w:p>
      <w:pPr/>
      <w:r>
        <w:rPr>
          <w:rFonts w:ascii="Calibri" w:hAnsi="Calibri" w:eastAsia="Microsoft YaHei"/>
        </w:rPr>
        <w:t>上式假设 PV01_k 是利率上升 1 bp 的带符号价值变化。若桌面系统使用相反符号，必须先转换。也可以保留 CU/bp 的 PV01，并把 RW 同步换成 bp；关键是 sensitivity 与 risk weight 的单位必须匹配。CSR 的 CS01 采用同样的单位纪律。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10.5 FRTB Vega 的单位转换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sᵛ_ik = ν_ik · σ_ik，where ν_ik = ∂V_i / ∂σ_ik</w:t>
      </w:r>
    </w:p>
    <w:p>
      <w:pPr/>
      <w:r>
        <w:rPr>
          <w:rFonts w:ascii="Calibri" w:hAnsi="Calibri" w:eastAsia="Microsoft YaHei"/>
        </w:rPr>
        <w:t>交易台若报告 0.12 CU/vol point，则相当于 12 CU per 1.00 σ。1,000 份期权的 raw derivative ν 为 12,000 CU per 1.00 σ；若当前 implied volatility σ = 25% = 0.25，则 option-level FRTB vega sensitivity 为 12,000 × 0.25 = 3,000 CU，再按监管节点映射。不能把 0.12 未经换算直接代入。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10.6 Greeks 与 FRTB 风险类别映射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00"/>
        <w:gridCol w:w="2280"/>
        <w:gridCol w:w="2480"/>
        <w:gridCol w:w="31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传统指标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主要内部用途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典型 FRTB SA/SBM 去向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关键区别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Delta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spot/price 一阶方向风险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Equity/FX/Commodity Delta 等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监管 sensitivity 常为相对价格变动后的货币金额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Rho / DV01 / CS01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利率或信用曲线一阶风险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GIRR Delta / CSR Delta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按规定 curve/tenor risk factors 映射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Vega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implied volatility 风险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各适用 risk class 的 Vega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FRTB 使用 ν×σ 并按规定节点处理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Gamma / convexity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局部二阶价格风险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与 Curvature 有联系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Curvature 用规定 shock 全量重估，不直接输入 Gamma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Theta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时间流逝 / carry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Theta charge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不等于“风险消失”；体现在估值与 P&amp;L 管理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Vanna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spot–vol cross-risk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Vanna charge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可能影响 full revaluation / stress residual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Volga / Vomma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volatility convexity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Volga charge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不等同 FRTB curvature</w:t>
            </w:r>
          </w:p>
        </w:tc>
      </w:tr>
      <w:tr>
        <w:tc>
          <w:tcPr>
            <w:tcW w:type="dxa" w:w="15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Charm</w:t>
            </w:r>
          </w:p>
        </w:tc>
        <w:tc>
          <w:tcPr>
            <w:tcW w:type="dxa" w:w="22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Delta 随时间漂移</w:t>
            </w:r>
          </w:p>
        </w:tc>
        <w:tc>
          <w:tcPr>
            <w:tcW w:type="dxa" w:w="248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Charm charge</w:t>
            </w:r>
          </w:p>
        </w:tc>
        <w:tc>
          <w:tcPr>
            <w:tcW w:type="dxa" w:w="3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日常动态对冲仍重要</w:t>
            </w:r>
          </w:p>
        </w:tc>
      </w:tr>
    </w:tbl>
    <w:p>
      <w:pPr>
        <w:spacing w:after="40" w:before="0"/>
      </w:pP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Curvature 的适用范围  </w:t>
      </w:r>
      <w:r>
        <w:rPr>
          <w:rFonts w:ascii="Calibri" w:hAnsi="Calibri" w:eastAsia="Microsoft YaHei"/>
          <w:color w:val="1F2933"/>
        </w:rPr>
        <w:t>所有适用 SBM 工具都进入 Delta；Vega/Curvature 主要适用于含 optionality、embedded prepayment 或其他规定非线性的工具。银行可选择把所有 Delta 工具纳入 Curvature，但必须跨期一致并对全部 SBM 工具一致采用。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SA 不等于 SBM；FRTB Delta/Vega 是监管定义的 sensitivity，不一定等于交易台屏幕上的裸 Greek。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完整 SA = SBM + DRC + RRAO；SBM 跨七类 risk classes 计算 Delta/Vega/Curvature；交易先映射规定 risk factors，再进入权重和聚合。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完整 FRTB SA 由哪三个部分组成？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一份普通股票 call 在 SBM 中通常涉及哪三项风险？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0.12 CU/vol point 的交易台 Vega 不能未经单位换算直接作为 FRTB vega sensitivity？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11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从 Sensitivity 到 SBM Capital：权重与相关性聚合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两个方向相反的风险为什么不能全部抵销？为什么 low correlation 有时反而产生更高资本？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计算 s_k 与 WS_k；区分 K_b 与 S_b；完成桶内、跨桶和三相关性场景聚合。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第一步：同一 risk factor 先净额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s_k = Σ_i s_ik</w:t>
      </w:r>
    </w:p>
    <w:p>
      <w:pPr/>
      <w:r>
        <w:rPr>
          <w:rFonts w:ascii="Calibri" w:hAnsi="Calibri" w:eastAsia="Microsoft YaHei"/>
        </w:rPr>
        <w:t>s_ik 是工具 i 对风险因子 k 的敏感度。只有完全相同的 risk factor 才在这一步直接相加净额。例如同一股票 spot 的 call Delta 与股票 hedge 可以净额；不同股票、不同 curve tenor 或不同 volatility node 不在此处完全净额。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第二步：乘 Risk Weight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WS_k = RW_k × s_k</w:t>
      </w:r>
    </w:p>
    <w:p>
      <w:pPr/>
      <w:r>
        <w:rPr>
          <w:rFonts w:ascii="Calibri" w:hAnsi="Calibri" w:eastAsia="Microsoft YaHei"/>
        </w:rPr>
        <w:t>Risk weight 是监管规定的风险尺度。Weighted sensitivity 可以理解为“敏感度经过监管 shock 尺度调整后的暴露”。WS 不是对明日实际损失的预测，而是后续监管聚合的输入。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案例台账：把 s_ik 一直推到 WS</w:t>
      </w:r>
    </w:p>
    <w:p>
      <w:pPr/>
      <w:r>
        <w:rPr>
          <w:rFonts w:ascii="Calibri" w:hAnsi="Calibri" w:eastAsia="Microsoft YaHei"/>
        </w:rPr>
        <w:t>Alpha Desk 此时已加入不同股票和指数头寸。为便于手算，下表把真实报告金额按统一比例缩放为“百万 CU”的监管教学 dataset；RW 也是教学参数，不是特定 bucket 的现行监管校准。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20"/>
        <w:gridCol w:w="2320"/>
        <w:gridCol w:w="900"/>
        <w:gridCol w:w="1000"/>
        <w:gridCol w:w="900"/>
        <w:gridCol w:w="900"/>
        <w:gridCol w:w="1620"/>
      </w:tblGrid>
      <w:tr>
        <w:trPr>
          <w:tblHeader w:val="true"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Trade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精确 risk factor 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s_ik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Net s_k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Bucket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RW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WS_k</w:t>
            </w:r>
          </w:p>
        </w:tc>
      </w:tr>
      <w:tr>
        <w:tc>
          <w:tcPr>
            <w:tcW w:type="dxa" w:w="17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Alpha call book</w:t>
            </w:r>
          </w:p>
        </w:tc>
        <w:tc>
          <w:tcPr>
            <w:tcW w:type="dxa" w:w="23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Alpha Tech spot k₁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+90</w:t>
            </w:r>
          </w:p>
        </w:tc>
        <w:tc>
          <w:tcPr>
            <w:tcW w:type="dxa" w:w="10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</w:r>
          </w:p>
        </w:tc>
      </w:tr>
      <w:tr>
        <w:tc>
          <w:tcPr>
            <w:tcW w:type="dxa" w:w="17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Alpha stock hedge</w:t>
            </w:r>
          </w:p>
        </w:tc>
        <w:tc>
          <w:tcPr>
            <w:tcW w:type="dxa" w:w="23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Alpha Tech spot k₁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−50</w:t>
            </w:r>
          </w:p>
        </w:tc>
        <w:tc>
          <w:tcPr>
            <w:tcW w:type="dxa" w:w="10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+40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50%</w:t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+20</w:t>
            </w:r>
          </w:p>
        </w:tc>
      </w:tr>
      <w:tr>
        <w:tc>
          <w:tcPr>
            <w:tcW w:type="dxa" w:w="17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Beta option book</w:t>
            </w:r>
          </w:p>
        </w:tc>
        <w:tc>
          <w:tcPr>
            <w:tcW w:type="dxa" w:w="23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Beta Tech spot k₂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−50</w:t>
            </w:r>
          </w:p>
        </w:tc>
        <w:tc>
          <w:tcPr>
            <w:tcW w:type="dxa" w:w="10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−50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30%</w:t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−15</w:t>
            </w:r>
          </w:p>
        </w:tc>
      </w:tr>
      <w:tr>
        <w:tc>
          <w:tcPr>
            <w:tcW w:type="dxa" w:w="17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Broad index ETF</w:t>
            </w:r>
          </w:p>
        </w:tc>
        <w:tc>
          <w:tcPr>
            <w:tcW w:type="dxa" w:w="23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Broad Index spot k₃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+100</w:t>
            </w:r>
          </w:p>
        </w:tc>
        <w:tc>
          <w:tcPr>
            <w:tcW w:type="dxa" w:w="10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+100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color w:val="1F2933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20%</w:t>
            </w:r>
          </w:p>
        </w:tc>
        <w:tc>
          <w:tcPr>
            <w:tcW w:type="dxa" w:w="162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6"/>
              </w:rPr>
              <w:t>+20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eastAsia="Microsoft YaHei"/>
        </w:rPr>
        <w:t>前两行属于同一精确 risk factor k₁，所以先净额为 +40；k₂ 虽与 k₁ 同属 Bucket A，却不能提前相减，只能在下一步通过 ρ 获得有限对冲。k₃ 属于另一个 bucket，最后通过 γ 聚合。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同一 Desk 的 5Y×5Y payer swaption：GIRR 旁例</w:t>
      </w:r>
    </w:p>
    <w:p>
      <w:pPr/>
      <w:r>
        <w:rPr>
          <w:rFonts w:ascii="Calibri" w:hAnsi="Calibri" w:eastAsia="Microsoft YaHei"/>
        </w:rPr>
        <w:t>Swaption 不进入上面的 Equity Bucket A/B 手算，而是进入 GIRR。下表使用 CU/bp 的桌面 PV01 与“bp 表示的教学 RW”直接相乘，和先除以 0.0001 再乘 decimal RW 完全等价；参数只用于展示单位与 mapping。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00"/>
        <w:gridCol w:w="1920"/>
        <w:gridCol w:w="2150"/>
        <w:gridCol w:w="850"/>
        <w:gridCol w:w="1100"/>
        <w:gridCol w:w="164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内部风险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Prescribed GIRR factor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监管 sensitivity / mapping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Bucket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教学 RW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WS / 下一步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2Y PV01 = +0.80 CU/bp</w:t>
            </w:r>
          </w:p>
        </w:tc>
        <w:tc>
          <w:tcPr>
            <w:tcW w:type="dxa" w:w="1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 curve 2Y</w:t>
            </w:r>
          </w:p>
        </w:tc>
        <w:tc>
          <w:tcPr>
            <w:tcW w:type="dxa" w:w="2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s=+0.80/0.0001=+8,000</w:t>
            </w:r>
          </w:p>
        </w:tc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</w:t>
            </w:r>
          </w:p>
        </w:tc>
        <w:tc>
          <w:tcPr>
            <w:tcW w:type="dxa" w:w="1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100 bp</w:t>
            </w:r>
          </w:p>
        </w:tc>
        <w:tc>
          <w:tcPr>
            <w:tcW w:type="dxa" w:w="1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+80 CU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5Y PV01 = −1.20 CU/bp</w:t>
            </w:r>
          </w:p>
        </w:tc>
        <w:tc>
          <w:tcPr>
            <w:tcW w:type="dxa" w:w="1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 curve 5Y</w:t>
            </w:r>
          </w:p>
        </w:tc>
        <w:tc>
          <w:tcPr>
            <w:tcW w:type="dxa" w:w="2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s=−12,000</w:t>
            </w:r>
          </w:p>
        </w:tc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</w:t>
            </w:r>
          </w:p>
        </w:tc>
        <w:tc>
          <w:tcPr>
            <w:tcW w:type="dxa" w:w="1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80 bp</w:t>
            </w:r>
          </w:p>
        </w:tc>
        <w:tc>
          <w:tcPr>
            <w:tcW w:type="dxa" w:w="1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−96 CU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10Y PV01 = +0.30 CU/bp</w:t>
            </w:r>
          </w:p>
        </w:tc>
        <w:tc>
          <w:tcPr>
            <w:tcW w:type="dxa" w:w="1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 curve 10Y</w:t>
            </w:r>
          </w:p>
        </w:tc>
        <w:tc>
          <w:tcPr>
            <w:tcW w:type="dxa" w:w="2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s=+3,000</w:t>
            </w:r>
          </w:p>
        </w:tc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</w:t>
            </w:r>
          </w:p>
        </w:tc>
        <w:tc>
          <w:tcPr>
            <w:tcW w:type="dxa" w:w="1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70 bp</w:t>
            </w:r>
          </w:p>
        </w:tc>
        <w:tc>
          <w:tcPr>
            <w:tcW w:type="dxa" w:w="1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+21 CU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raw Vega × σ = +240 CU</w:t>
            </w:r>
          </w:p>
        </w:tc>
        <w:tc>
          <w:tcPr>
            <w:tcW w:type="dxa" w:w="19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5Y expiry × 5Y underlying tenor</w:t>
            </w:r>
          </w:p>
        </w:tc>
        <w:tc>
          <w:tcPr>
            <w:tcW w:type="dxa" w:w="21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映射 GIRR Vega node</w:t>
            </w:r>
          </w:p>
        </w:tc>
        <w:tc>
          <w:tcPr>
            <w:tcW w:type="dxa" w:w="8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USD</w:t>
            </w:r>
          </w:p>
        </w:tc>
        <w:tc>
          <w:tcPr>
            <w:tcW w:type="dxa" w:w="11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Vega RW</w:t>
            </w:r>
          </w:p>
        </w:tc>
        <w:tc>
          <w:tcPr>
            <w:tcW w:type="dxa" w:w="16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与 Delta 分开聚合</w:t>
            </w:r>
          </w:p>
        </w:tc>
      </w:tr>
    </w:tbl>
    <w:p>
      <w:pPr>
        <w:spacing w:after="40" w:before="0"/>
      </w:pP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完整组合在每个 Low/Medium/High scenario 内，分别计算这一 GIRR slice 与 Equity 等其他 risk classes，再把各类 Delta/Vega/Curvature charges 相加；不能把 swaption WS 与 equity WS 直接放进同一 bucket。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第三步：within-bucket aggregation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 = √max(0, Σ_k WS_k² + Σ_k Σ_{l≠k} ρ_kl WS_k WS_l)</w:t>
      </w:r>
    </w:p>
    <w:p>
      <w:pPr/>
      <w:r>
        <w:rPr>
          <w:rFonts w:ascii="Calibri" w:hAnsi="Calibri" w:eastAsia="Microsoft YaHei"/>
        </w:rPr>
        <w:t>自身平方项度量每个 WS 的规模，相关项 ρ_kl 决定同桶不同风险因子之间承认多少对冲或分散。双重求和按有序对计算，因此两个因子的交叉项等价于 2ρWS₁WS₂。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教学例：Bucket A</w:t>
      </w:r>
    </w:p>
    <w:p>
      <w:pPr/>
      <w:r>
        <w:rPr>
          <w:rFonts w:ascii="Calibri" w:hAnsi="Calibri" w:eastAsia="Microsoft YaHei"/>
        </w:rPr>
        <w:t>设 WS₁ = +20、WS₂ = −15，桶内相关系数 ρ = 25%。金额单位均为百万 CU；这些是教学参数，不代表特定资产类别的现行监管校准。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K_A² = 20² + (−15)² + 2×0.25×20×(−15) = 475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K_A = √475 = 21.79；S_A = 20 − 15 = 5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K_b 与 S_b 不同  </w:t>
      </w:r>
      <w:r>
        <w:rPr>
          <w:rFonts w:ascii="Calibri" w:hAnsi="Calibri" w:eastAsia="Microsoft YaHei"/>
          <w:color w:val="1F2933"/>
        </w:rPr>
        <w:t>K_b 是非负 bucket charge；S_b = ΣWS_k 是带符号净暴露。Bucket A 虽然净方向只有 +5，但自身风险量 K_A 仍为 21.79。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第四步：cross-bucket aggregation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S_b = Σ_{k∈b} WS_k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K_RC = √(Σ_b K_b² + Σ_b Σ_{c≠b} γ_bc S_b S_c)</w:t>
      </w:r>
    </w:p>
    <w:p>
      <w:pPr/>
      <w:r>
        <w:rPr>
          <w:rFonts w:ascii="Calibri" w:hAnsi="Calibri" w:eastAsia="Microsoft YaHei"/>
        </w:rPr>
        <w:t>再设 Bucket B 只有 WS₃ = +20，因此 K_B = 20、S_B = 20；跨桶相关系数 γ = 15%。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K_RC² = 475 + 400 + 2×0.15×5×20 = 905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K_RC = √905 = 30.083 ≈ 30.08</w:t>
      </w:r>
    </w:p>
    <w:p>
      <w:pPr/>
      <w:r>
        <w:rPr>
          <w:rFonts w:ascii="Calibri" w:hAnsi="Calibri" w:eastAsia="Microsoft YaHei"/>
        </w:rPr>
        <w:t>这里 K_RC 可以是一项 risk class 的 Delta charge 或 Vega charge。Delta、Vega 使用相同基本聚合逻辑，但必须分别计算，不能先混在一起净额。</w:t>
      </w:r>
    </w:p>
    <w:p>
      <w:pPr>
        <w:spacing w:before="100" w:after="160" w:line="300" w:lineRule="auto"/>
        <w:ind w:left="173" w:right="115"/>
        <w:shd w:fill="FDEEEE"/>
        <w:pBdr>
          <w:left w:val="single" w:sz="12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特殊 clipping 规则  </w:t>
      </w:r>
      <w:r>
        <w:rPr>
          <w:rFonts w:ascii="Calibri" w:hAnsi="Calibri" w:eastAsia="Microsoft YaHei"/>
          <w:color w:val="1F2933"/>
        </w:rPr>
        <w:t>若使用原始 S_b 后，跨桶公式根号内为负，才把 S_b 改为 max[min(ΣWS_k, K_b), −K_b] 后重算。该 clipping 不是每次无条件应用。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11.5 Low / Medium / High correlation scenarios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ρᴴ = min(1, 1.25ρ)；ρᴸ = max(2ρ − 1, 0.75ρ)</w:t>
      </w:r>
    </w:p>
    <w:p>
      <w:pPr/>
      <w:r>
        <w:rPr>
          <w:rFonts w:ascii="Calibri" w:hAnsi="Calibri" w:eastAsia="Microsoft YaHei"/>
        </w:rPr>
        <w:t>γ 使用相同变换。对上述教学组合完整重算：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00"/>
        <w:gridCol w:w="1850"/>
        <w:gridCol w:w="1850"/>
        <w:gridCol w:w="1750"/>
        <w:gridCol w:w="22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Scenario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ρ（桶内）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γ（跨桶）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K_A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K_RC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Low</w:t>
            </w:r>
          </w:p>
        </w:tc>
        <w:tc>
          <w:tcPr>
            <w:tcW w:type="dxa" w:w="18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18.75%</w:t>
            </w:r>
          </w:p>
        </w:tc>
        <w:tc>
          <w:tcPr>
            <w:tcW w:type="dxa" w:w="18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11.25%</w:t>
            </w:r>
          </w:p>
        </w:tc>
        <w:tc>
          <w:tcPr>
            <w:tcW w:type="dxa" w:w="17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22.64</w:t>
            </w:r>
          </w:p>
        </w:tc>
        <w:tc>
          <w:tcPr>
            <w:tcW w:type="dxa" w:w="221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30.58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Medium</w:t>
            </w:r>
          </w:p>
        </w:tc>
        <w:tc>
          <w:tcPr>
            <w:tcW w:type="dxa" w:w="18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25.00%</w:t>
            </w:r>
          </w:p>
        </w:tc>
        <w:tc>
          <w:tcPr>
            <w:tcW w:type="dxa" w:w="18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15.00%</w:t>
            </w:r>
          </w:p>
        </w:tc>
        <w:tc>
          <w:tcPr>
            <w:tcW w:type="dxa" w:w="17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21.79</w:t>
            </w:r>
          </w:p>
        </w:tc>
        <w:tc>
          <w:tcPr>
            <w:tcW w:type="dxa" w:w="221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30.08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High</w:t>
            </w:r>
          </w:p>
        </w:tc>
        <w:tc>
          <w:tcPr>
            <w:tcW w:type="dxa" w:w="18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31.25%</w:t>
            </w:r>
          </w:p>
        </w:tc>
        <w:tc>
          <w:tcPr>
            <w:tcW w:type="dxa" w:w="18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18.75%</w:t>
            </w:r>
          </w:p>
        </w:tc>
        <w:tc>
          <w:tcPr>
            <w:tcW w:type="dxa" w:w="17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20.92</w:t>
            </w:r>
          </w:p>
        </w:tc>
        <w:tc>
          <w:tcPr>
            <w:tcW w:type="dxa" w:w="221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29.58</w:t>
            </w:r>
          </w:p>
        </w:tc>
      </w:tr>
    </w:tbl>
    <w:p>
      <w:pPr>
        <w:spacing w:after="40" w:before="0"/>
      </w:pPr>
    </w:p>
    <w:p>
      <w:pPr/>
      <w:r>
        <w:rPr>
          <w:rFonts w:ascii="Calibri" w:hAnsi="Calibri" w:eastAsia="Microsoft YaHei"/>
        </w:rPr>
        <w:t>这项 risk-class slice 的 Low/Medium/High 结果分别为 30.58、30.08、29.58，三个数都必须保留到组合总聚合。只有在一个极度简化、仅含这一 slice 的组合中，最终最大值才会是 30.58。正式组合不能让每个 slice 先各取最大再相加。</w:t>
      </w:r>
    </w:p>
    <w:p>
      <w:pPr/>
      <w:r>
        <w:rPr>
          <w:rFonts w:ascii="Calibri" w:hAnsi="Calibri" w:eastAsia="Microsoft YaHei"/>
        </w:rPr>
        <w:t>High correlation 并不必然产生最高资本。这个组合包含 long–short hedge：相关性越低，对冲越不可靠，资本反而越高。因此三种情景必须从 sensitivities 开始完整重算，而不是在最终结果上简单乘一个比例。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11.6 从 risk-class charges 到 SBM</w:t>
      </w:r>
    </w:p>
    <w:p>
      <w:pPr>
        <w:pStyle w:val="Equation"/>
        <w:spacing w:before="80" w:after="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K_SBM^(q) = Σ_risk classes [K_Delta^(q) + K_Vega^(q) + K_Curvature^(q)]</w:t>
      </w:r>
    </w:p>
    <w:p>
      <w:pPr>
        <w:pStyle w:val="SourceNote"/>
        <w:jc w:val="center"/>
      </w:pPr>
      <w:r>
        <w:rPr>
          <w:rFonts w:ascii="Calibri" w:hAnsi="Calibri" w:eastAsia="Microsoft YaHei"/>
          <w:color w:val="5B6573"/>
          <w:sz w:val="17"/>
        </w:rPr>
        <w:t>q ∈ {Low, Medium, High}；不同 risk classes 之间不承认分散，采用简单相加。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K_SBM = max(K_SBM^Low, K_SBM^Medium, K_SBM^High)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K_b 与 S_b 不能互换；同桶不同因子只按 ρ 获得有限对冲；High correlation 不一定给出最大 capital。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同因子净额得到 s_k；乘 RW 得 WS_k；先按 ρ 做桶内 K_b，再按 γ 做跨桶 K_RC；三种 correlation scenarios 完整重算后取最大。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Bucket A 中 WS₁ = 20、WS₂ = −15 时，S_A 与 K_A 分别是多少？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为什么本例 Low correlation 的 K_RC 高于 High correlation？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Delta charge 与 Vega charge 能否在进入 risk class capital 前互相抵销？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ReaderKicker"/>
      </w:pPr>
      <w:r>
        <w:rPr>
          <w:rFonts w:ascii="Calibri" w:hAnsi="Calibri" w:eastAsia="Microsoft YaHei"/>
          <w:b/>
          <w:color w:val="176B70"/>
          <w:sz w:val="20"/>
        </w:rPr>
        <w:t>第 12 章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Curvature：从局部 Gamma 到有限冲击全量重估</w:t>
      </w:r>
    </w:p>
    <w:p>
      <w:pPr>
        <w:pStyle w:val="ChapterLead"/>
      </w:pPr>
      <w:r>
        <w:rPr>
          <w:rFonts w:ascii="Calibri" w:hAnsi="Calibri" w:eastAsia="Microsoft YaHei"/>
          <w:i/>
          <w:color w:val="1F4D78"/>
          <w:sz w:val="23"/>
        </w:rPr>
        <w:t>FRTB curvature 是否就是“Gamma × shock²”？如果不是，为什么二者又经常被放在一起解释？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读完本章，你应能  </w:t>
      </w:r>
      <w:r>
        <w:rPr>
          <w:rFonts w:ascii="Calibri" w:hAnsi="Calibri" w:eastAsia="Microsoft YaHei"/>
          <w:color w:val="1F2933"/>
        </w:rPr>
        <w:t>计算 CVR up/down；解释 Gamma 与 curvature 的联系和差异；完成从定价到 SA capital 的全流程。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Curvature 先问一个反事实</w:t>
      </w:r>
    </w:p>
    <w:p>
      <w:pPr>
        <w:spacing w:before="100" w:after="160" w:line="300" w:lineRule="auto"/>
        <w:ind w:left="173" w:right="115"/>
        <w:shd w:fill="F3F7FB"/>
        <w:pBdr>
          <w:left w:val="single" w:sz="12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案例当前状态  </w:t>
      </w:r>
      <w:r>
        <w:rPr>
          <w:rFonts w:ascii="Calibri" w:hAnsi="Calibri" w:eastAsia="Microsoft YaHei"/>
          <w:color w:val="1F2933"/>
        </w:rPr>
        <w:t>原始 long call 的正 Gamma 往往产生负 CVR（非线性收益）。为了演示正的 curvature loss，Alpha Desk 现在加入一笔客户 short-convexity option；下面 PV=10 的例子专指该新增头寸。</w:t>
      </w:r>
    </w:p>
    <w:p>
      <w:pPr/>
      <w:r>
        <w:rPr>
          <w:rFonts w:ascii="Calibri" w:hAnsi="Calibri" w:eastAsia="Microsoft YaHei"/>
        </w:rPr>
        <w:t>Delta 已经解释了风险因子发生线性变化时的 P&amp;L。Curvature 追问：在监管规定的较大 up/down shock 下，full revaluation 的结果相对 Delta 线性预测，还多出多少非线性损失？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CVR_k⁺ = −Σ_i [V_i^(k,+) − V_i⁰ − RW_k^curv · s_ik]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CVR_k⁻ = −Σ_i [V_i^(k,−) − V_i⁰ + RW_k^curv · s_ik]</w:t>
      </w:r>
    </w:p>
    <w:p>
      <w:pPr/>
      <w:r>
        <w:rPr>
          <w:rFonts w:ascii="Calibri" w:hAnsi="Calibri" w:eastAsia="Microsoft YaHei"/>
        </w:rPr>
        <w:t>V_i⁰ 是当前价值；V_i^(k,+/−) 是只对 curvature risk factor k 做规定正向/负向 shock 后的全量重估价值；±RW·s 是已经由 Delta 捕捉的线性部分。正的 CVR 表示扣除 Delta 后仍有增量损失。求和中的 i 只包括对该 curvature factor 适用 curvature 要求的工具。线性 stock hedge 进入 Delta，但默认不会被塞进 option 的 curvature Delta subtraction；若银行选择把所有 Delta 工具纳入 Curvature，则须满足规则的一致性要求。</w:t>
      </w:r>
    </w:p>
    <w:p>
      <w:pPr/>
      <w:r>
        <w:rPr>
          <w:rFonts w:ascii="Calibri" w:hAnsi="Calibri" w:eastAsia="Microsoft YaHei"/>
        </w:rPr>
        <w:t>在 Equity 与 FX 中，s_ik 是与该 spot curvature factor 对应的 delta sensitivity。对 GIRR，同一货币下所有相关 risk-free curves 及其全部期限点同时平行冲击，s_ik 是这些相关 delta sensitivities 的合计；inflation 与 cross-currency basis 不计 GIRR curvature。CSR 与 Commodity 也按其规定的相关曲线维度聚合期限 sensitivities 并做相应平行冲击。RW^curv、s_ik 与 shock 坐标必须使用匹配的绝对或相对单位。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一个可手算的例子</w:t>
      </w:r>
    </w:p>
    <w:p>
      <w:pPr/>
      <w:r>
        <w:rPr>
          <w:rFonts w:ascii="Calibri" w:hAnsi="Calibri" w:eastAsia="Microsoft YaHei"/>
        </w:rPr>
        <w:t>设新增 short-convexity position 当前 PV=10，监管冲击下的 Delta 线性变化量为 RW^curv·s=5；因此 up/down 的线性预测 PV 分别为 15 和 5。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00"/>
        <w:gridCol w:w="2350"/>
        <w:gridCol w:w="235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Delta 线性预测 PV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Full revaluation PV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相对线性预测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当前</w:t>
            </w:r>
          </w:p>
        </w:tc>
        <w:tc>
          <w:tcPr>
            <w:tcW w:type="dxa" w:w="23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</w:t>
            </w:r>
          </w:p>
        </w:tc>
        <w:tc>
          <w:tcPr>
            <w:tcW w:type="dxa" w:w="23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</w:t>
            </w:r>
          </w:p>
        </w:tc>
        <w:tc>
          <w:tcPr>
            <w:tcW w:type="dxa" w:w="2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—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Up shock</w:t>
            </w:r>
          </w:p>
        </w:tc>
        <w:tc>
          <w:tcPr>
            <w:tcW w:type="dxa" w:w="23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15</w:t>
            </w:r>
          </w:p>
        </w:tc>
        <w:tc>
          <w:tcPr>
            <w:tcW w:type="dxa" w:w="23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14</w:t>
            </w:r>
          </w:p>
        </w:tc>
        <w:tc>
          <w:tcPr>
            <w:tcW w:type="dxa" w:w="2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少 1，即增量损失 1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Down shock</w:t>
            </w:r>
          </w:p>
        </w:tc>
        <w:tc>
          <w:tcPr>
            <w:tcW w:type="dxa" w:w="23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5</w:t>
            </w:r>
          </w:p>
        </w:tc>
        <w:tc>
          <w:tcPr>
            <w:tcW w:type="dxa" w:w="2350"/>
          </w:tcPr>
          <w:p>
            <w:pPr>
              <w:pStyle w:val="TableBody"/>
              <w:spacing w:after="0"/>
              <w:jc w:val="right"/>
            </w:pPr>
            <w:r>
              <w:rPr>
                <w:rFonts w:ascii="Calibri" w:hAnsi="Calibri" w:eastAsia="Microsoft YaHei"/>
                <w:color w:val="1F2933"/>
                <w:sz w:val="18"/>
              </w:rPr>
              <w:t>4</w:t>
            </w:r>
          </w:p>
        </w:tc>
        <w:tc>
          <w:tcPr>
            <w:tcW w:type="dxa" w:w="27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少 1，即增量损失 1</w:t>
            </w:r>
          </w:p>
        </w:tc>
      </w:tr>
    </w:tbl>
    <w:p>
      <w:pPr>
        <w:spacing w:after="40" w:before="0"/>
      </w:pP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CVR⁺ = −[(14 − 10) − 5] = 1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CVR⁻ = −[(4 − 10) + 5] = 1</w:t>
      </w:r>
    </w:p>
    <w:p>
      <w:pPr/>
      <w:r>
        <w:rPr>
          <w:rFonts w:ascii="Calibri" w:hAnsi="Calibri" w:eastAsia="Microsoft YaHei"/>
        </w:rPr>
        <w:t>两个方向必须分别聚合，不能先平均，也不能只选择主观上更可能发生的方向。对 bucket 层面的 up/down charges 分别计算后取较大值。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K_b^curv = max(K_b⁺, K_b⁻)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与 Gamma 的局部联系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V(x ± h) − V(x) ∓ hV′(x) ≈ ½Γh² ± (1/6)V⁽³⁾h³ + …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CVR⁺/⁻ ≈ −½Γh²（仅在小冲击、单因子、平滑且二阶项占主导时）</w:t>
      </w:r>
    </w:p>
    <w:p>
      <w:pPr/>
      <w:r>
        <w:rPr>
          <w:rFonts w:ascii="Calibri" w:hAnsi="Calibri" w:eastAsia="Microsoft YaHei"/>
        </w:rPr>
        <w:t>这就是联系：Gamma 描述的二阶风险会进入 full revaluation residual。但符号需要结合 CVR 的“损失为正”定义理解。标准 long option 的正 Gamma 往往使 full revaluation 优于 Delta 线性预测，对应负 CVR（非线性收益）；short Gamma 则更可能产生正 CVR。上面的手算例刻意设置为两个方向都有 1 的增量损失，因此代表局部 short-convexity 型结果。该近似还要求 h、Gamma 和 Delta 线性项使用同一个风险因子坐标与单位；若 h 是相对 spot shock，就不能把无量纲 RW 直接与裸 ∂²V/∂S² 相乘而漏掉 S 的尺度。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12.4 六个关键区别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550"/>
        <w:gridCol w:w="3540"/>
        <w:gridCol w:w="427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传统 Gamma / convexity</w:t>
            </w:r>
          </w:p>
        </w:tc>
        <w:tc>
          <w:tcPr>
            <w:tcW w:type="dxa" w:w="4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FRTB Curvature</w:t>
            </w:r>
          </w:p>
        </w:tc>
      </w:tr>
      <w:tr>
        <w:tc>
          <w:tcPr>
            <w:tcW w:type="dxa" w:w="15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性质</w:t>
            </w:r>
          </w:p>
        </w:tc>
        <w:tc>
          <w:tcPr>
            <w:tcW w:type="dxa" w:w="35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当前点附近的局部二阶导数</w:t>
            </w:r>
          </w:p>
        </w:tc>
        <w:tc>
          <w:tcPr>
            <w:tcW w:type="dxa" w:w="42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规定有限 shock 下的 full-revaluation residual</w:t>
            </w:r>
          </w:p>
        </w:tc>
      </w:tr>
      <w:tr>
        <w:tc>
          <w:tcPr>
            <w:tcW w:type="dxa" w:w="15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输入</w:t>
            </w:r>
          </w:p>
        </w:tc>
        <w:tc>
          <w:tcPr>
            <w:tcW w:type="dxa" w:w="35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Gamma 数值与假设 shock</w:t>
            </w:r>
          </w:p>
        </w:tc>
        <w:tc>
          <w:tcPr>
            <w:tcW w:type="dxa" w:w="42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up/down 全量重估价值与 Delta sensitivity</w:t>
            </w:r>
          </w:p>
        </w:tc>
      </w:tr>
      <w:tr>
        <w:tc>
          <w:tcPr>
            <w:tcW w:type="dxa" w:w="15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高阶效应</w:t>
            </w:r>
          </w:p>
        </w:tc>
        <w:tc>
          <w:tcPr>
            <w:tcW w:type="dxa" w:w="35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二阶 Taylor 近似</w:t>
            </w:r>
          </w:p>
        </w:tc>
        <w:tc>
          <w:tcPr>
            <w:tcW w:type="dxa" w:w="42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包含三阶及更高阶、方向不对称与模型非线性</w:t>
            </w:r>
          </w:p>
        </w:tc>
      </w:tr>
      <w:tr>
        <w:tc>
          <w:tcPr>
            <w:tcW w:type="dxa" w:w="15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单位</w:t>
            </w:r>
          </w:p>
        </w:tc>
        <w:tc>
          <w:tcPr>
            <w:tcW w:type="dxa" w:w="35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二阶敏感度单位</w:t>
            </w:r>
          </w:p>
        </w:tc>
        <w:tc>
          <w:tcPr>
            <w:tcW w:type="dxa" w:w="42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直接为报告货币金额的 CVR</w:t>
            </w:r>
          </w:p>
        </w:tc>
      </w:tr>
      <w:tr>
        <w:tc>
          <w:tcPr>
            <w:tcW w:type="dxa" w:w="15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曲线产品</w:t>
            </w:r>
          </w:p>
        </w:tc>
        <w:tc>
          <w:tcPr>
            <w:tcW w:type="dxa" w:w="35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可观察 key-rate convexity/cross-gamma</w:t>
            </w:r>
          </w:p>
        </w:tc>
        <w:tc>
          <w:tcPr>
            <w:tcW w:type="dxa" w:w="42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GIRR/CSR/Commodity 等按规则做相关曲线冲击</w:t>
            </w:r>
          </w:p>
        </w:tc>
      </w:tr>
      <w:tr>
        <w:tc>
          <w:tcPr>
            <w:tcW w:type="dxa" w:w="155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波动率凸性</w:t>
            </w:r>
          </w:p>
        </w:tc>
        <w:tc>
          <w:tcPr>
            <w:tcW w:type="dxa" w:w="35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Volga 是 σ 方向二阶导数</w:t>
            </w:r>
          </w:p>
        </w:tc>
        <w:tc>
          <w:tcPr>
            <w:tcW w:type="dxa" w:w="427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Curvature 冲击 delta risk factors；Volga 不等于 Curvature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12.5 Curvature 的四步聚合算法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ψ(x,y) = 0 if x&lt;0 and y&lt;0；otherwise ψ(x,y) = 1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1：up/down 分别做 within-bucket aggregation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K_b⁺/⁻ = √max(0, Σ_k max(CVR_k⁺/⁻,0)² + Σ_kΣ_{l≠k} ρ_kl^curv·CVR_k⁺/⁻·CVR_l⁺/⁻·ψ(CVR_k⁺/⁻,CVR_l⁺/⁻))</w:t>
      </w:r>
    </w:p>
    <w:p>
      <w:pPr/>
      <w:r>
        <w:rPr>
          <w:rFonts w:ascii="Calibri" w:hAnsi="Calibri" w:eastAsia="Microsoft YaHei"/>
        </w:rPr>
        <w:t>第一项只让正的增量损失以自身平方进入；两个都为负的 CVR 不通过相关项反而增加资本。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2：每个 bucket 选择不利方向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K_b = max(K_b⁺, K_b⁻)</w:t>
      </w:r>
    </w:p>
    <w:p>
      <w:pPr/>
      <w:r>
        <w:rPr>
          <w:rFonts w:ascii="Calibri" w:hAnsi="Calibri" w:eastAsia="Microsoft YaHei"/>
        </w:rPr>
        <w:t>选择产生较大 K_b 的 up 或 down 方向，并把该方向的带符号 CVR 合计保留为 S_b。若 K_b⁺=K_b⁻，则比较两方向的 CVR 合计：只有 ΣCVR_k⁺&gt;ΣCVR_k⁻ 时选 up，否则选 down。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S_b = Σ_k CVR_k⁺（若选 up）；S_b = Σ_k CVR_k⁻（若选 down）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3：cross-bucket aggregation</w:t>
      </w:r>
    </w:p>
    <w:p>
      <w:pPr>
        <w:pStyle w:val="Equation"/>
        <w:spacing w:before="80" w:after="140"/>
        <w:ind w:left="403" w:right="403"/>
        <w:jc w:val="center"/>
        <w:shd w:fill="F2F4F7"/>
        <w:keepLines/>
        <w:pBdr>
          <w:left w:val="single" w:sz="8" w:space="8" w:color="2E74B5"/>
        </w:pBdr>
      </w:pPr>
      <w:r>
        <w:rPr>
          <w:rFonts w:ascii="Cambria Math" w:hAnsi="Cambria Math" w:eastAsia="Microsoft YaHei"/>
          <w:color w:val="0B2545"/>
          <w:sz w:val="21"/>
        </w:rPr>
        <w:t>K_curv,RC = √max(0, Σ_b K_b² + Σ_bΣ_{c≠b} γ_bc^curv·S_b·S_c·ψ(S_b,S_c))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步骤 4：在每个 correlation scenario 下重新执行</w:t>
      </w:r>
    </w:p>
    <w:p>
      <w:pPr/>
      <w:r>
        <w:rPr>
          <w:rFonts w:ascii="Calibri" w:hAnsi="Calibri" w:eastAsia="Microsoft YaHei"/>
        </w:rPr>
        <w:t>先由对应 Delta 的基础相关系数得到 curvature 基础相关系数，within- 与 cross-bucket 通常取平方；CSR 等因 curvature risk-factor 维度不同而有特别处理，不能用一句“全部直接平方”代替规则。然后对 curvature correlations 应用 Low/High 变换。每个 scenario 都要重新计算 K_b⁺/K_b⁻、重新选择方向并做跨桶聚合，因此同一 bucket 的选定方向可能随情景改变。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12.6 从衍生品定价到 FRTB capital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0" w:space="0" w:color="FFFFFF"/>
          <w:start w:val="nil" w:sz="0" w:space="0" w:color="FFFFFF"/>
          <w:bottom w:val="nil" w:sz="0" w:space="0" w:color="FFFFFF"/>
          <w:end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800"/>
        <w:gridCol w:w="480"/>
        <w:gridCol w:w="2800"/>
        <w:gridCol w:w="480"/>
        <w:gridCol w:w="2800"/>
      </w:tblGrid>
      <w:tr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交易条款 + 市场数据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Trade &amp; Market Data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定价模型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Pricing Model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当前价值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V⁰ / PV</w:t>
            </w:r>
          </w:p>
        </w:tc>
      </w:tr>
      <w:tr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规定风险因子映射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Prescribed Risk Factors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Delta / Vega 路径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3F7FB"/>
            <w:tcBorders>
              <w:top w:val="single" w:sz="8" w:space="0" w:color="2E74B5"/>
              <w:start w:val="single" w:sz="8" w:space="0" w:color="2E74B5"/>
              <w:bottom w:val="single" w:sz="8" w:space="0" w:color="2E74B5"/>
              <w:end w:val="single" w:sz="8" w:space="0" w:color="2E74B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sₖ → RWₖ → WSₖ</w:t>
            </w:r>
          </w:p>
        </w:tc>
      </w:tr>
      <w:tr>
        <w:tc>
          <w:tcPr>
            <w:tcW w:type="dxa" w:w="2800"/>
            <w:shd w:fill="FFF6DA"/>
            <w:tcBorders>
              <w:top w:val="single" w:sz="8" w:space="0" w:color="8A6414"/>
              <w:start w:val="single" w:sz="8" w:space="0" w:color="8A6414"/>
              <w:bottom w:val="single" w:sz="8" w:space="0" w:color="8A6414"/>
              <w:end w:val="single" w:sz="8" w:space="0" w:color="8A641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规定 up/down shocks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Curvature Risk Factors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FF6DA"/>
            <w:tcBorders>
              <w:top w:val="single" w:sz="8" w:space="0" w:color="8A6414"/>
              <w:start w:val="single" w:sz="8" w:space="0" w:color="8A6414"/>
              <w:bottom w:val="single" w:sz="8" w:space="0" w:color="8A6414"/>
              <w:end w:val="single" w:sz="8" w:space="0" w:color="8A641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Curvature 路径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FF6DA"/>
            <w:tcBorders>
              <w:top w:val="single" w:sz="8" w:space="0" w:color="8A6414"/>
              <w:start w:val="single" w:sz="8" w:space="0" w:color="8A6414"/>
              <w:bottom w:val="single" w:sz="8" w:space="0" w:color="8A6414"/>
              <w:end w:val="single" w:sz="8" w:space="0" w:color="8A641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Full Revaluation → CVRₖ⁺/⁻</w:t>
            </w:r>
          </w:p>
        </w:tc>
      </w:tr>
      <w:tr>
        <w:tc>
          <w:tcPr>
            <w:tcW w:type="dxa" w:w="2800"/>
            <w:shd w:fill="F2F4F7"/>
            <w:tcBorders>
              <w:top w:val="single" w:sz="8" w:space="0" w:color="3A6F8F"/>
              <w:start w:val="single" w:sz="8" w:space="0" w:color="3A6F8F"/>
              <w:bottom w:val="single" w:sz="8" w:space="0" w:color="3A6F8F"/>
              <w:end w:val="single" w:sz="8" w:space="0" w:color="3A6F8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两条路径分别聚合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2F4F7"/>
            <w:tcBorders>
              <w:top w:val="single" w:sz="8" w:space="0" w:color="3A6F8F"/>
              <w:start w:val="single" w:sz="8" w:space="0" w:color="3A6F8F"/>
              <w:bottom w:val="single" w:sz="8" w:space="0" w:color="3A6F8F"/>
              <w:end w:val="single" w:sz="8" w:space="0" w:color="3A6F8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Within-bucket ρ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Cross-bucket γ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2F4F7"/>
            <w:tcBorders>
              <w:top w:val="single" w:sz="8" w:space="0" w:color="3A6F8F"/>
              <w:start w:val="single" w:sz="8" w:space="0" w:color="3A6F8F"/>
              <w:bottom w:val="single" w:sz="8" w:space="0" w:color="3A6F8F"/>
              <w:end w:val="single" w:sz="8" w:space="0" w:color="3A6F8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Risk-class Charges</w:t>
            </w:r>
          </w:p>
        </w:tc>
      </w:tr>
      <w:tr>
        <w:tc>
          <w:tcPr>
            <w:tcW w:type="dxa" w:w="2800"/>
            <w:shd w:fill="F2F4F7"/>
            <w:tcBorders>
              <w:top w:val="single" w:sz="8" w:space="0" w:color="3A6F8F"/>
              <w:start w:val="single" w:sz="8" w:space="0" w:color="3A6F8F"/>
              <w:bottom w:val="single" w:sz="8" w:space="0" w:color="3A6F8F"/>
              <w:end w:val="single" w:sz="8" w:space="0" w:color="3A6F8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Low / Medium / High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完整重算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2F4F7"/>
            <w:tcBorders>
              <w:top w:val="single" w:sz="8" w:space="0" w:color="3A6F8F"/>
              <w:start w:val="single" w:sz="8" w:space="0" w:color="3A6F8F"/>
              <w:bottom w:val="single" w:sz="8" w:space="0" w:color="3A6F8F"/>
              <w:end w:val="single" w:sz="8" w:space="0" w:color="3A6F8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各情景内跨类别相加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F2F4F7"/>
            <w:tcBorders>
              <w:top w:val="single" w:sz="8" w:space="0" w:color="3A6F8F"/>
              <w:start w:val="single" w:sz="8" w:space="0" w:color="3A6F8F"/>
              <w:bottom w:val="single" w:sz="8" w:space="0" w:color="3A6F8F"/>
              <w:end w:val="single" w:sz="8" w:space="0" w:color="3A6F8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K_SBM = max(L, M, H)</w:t>
            </w:r>
          </w:p>
        </w:tc>
      </w:tr>
      <w:tr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K_SBM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+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K_DRC + K_RRAO</w:t>
            </w:r>
          </w:p>
        </w:tc>
        <w:tc>
          <w:tcPr>
            <w:tcW w:type="dxa" w:w="480"/>
            <w:shd w:fill="FFFFFF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A6F8F"/>
                <w:sz w:val="28"/>
              </w:rPr>
              <w:t>→</w:t>
            </w:r>
          </w:p>
        </w:tc>
        <w:tc>
          <w:tcPr>
            <w:tcW w:type="dxa" w:w="2800"/>
            <w:shd w:fill="E9F5F4"/>
            <w:tcBorders>
              <w:top w:val="single" w:sz="8" w:space="0" w:color="176B70"/>
              <w:start w:val="single" w:sz="8" w:space="0" w:color="176B70"/>
              <w:bottom w:val="single" w:sz="8" w:space="0" w:color="176B70"/>
              <w:end w:val="single" w:sz="8" w:space="0" w:color="176B7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Body"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K_SA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标准法资本要求</w:t>
            </w:r>
          </w:p>
        </w:tc>
      </w:tr>
    </w:tbl>
    <w:p>
      <w:pPr>
        <w:pStyle w:val="SourceNote"/>
        <w:jc w:val="center"/>
      </w:pPr>
      <w:r>
        <w:rPr>
          <w:rFonts w:ascii="Calibri" w:hAnsi="Calibri" w:eastAsia="Microsoft YaHei"/>
          <w:i/>
          <w:color w:val="5B6573"/>
          <w:sz w:val="17"/>
        </w:rPr>
        <w:t>图 1  从衍生品定价到 FRTB SA capital：Delta/Vega 与 Curvature 双路径</w:t>
      </w:r>
    </w:p>
    <w:p>
      <w:pPr/>
      <w:r>
        <w:rPr>
          <w:rFonts w:ascii="Calibri" w:hAnsi="Calibri" w:eastAsia="Microsoft YaHei"/>
        </w:rPr>
        <w:t>流程图刻意拆成两条路径：Delta/Vega 才经过 s_k→RW_k→WS_k；Curvature 则从 up/down full revaluation 得到 CVR_k⁺/⁻，再用专用公式聚合。两条路径在 risk-class charges 与三种 correlation scenarios 层面汇合。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12.7 端到端公式骨架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定价：V_i = pricing model(trade terms, market data)。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Delta/Vega 敏感度：按监管定义得到 s_ik，并对同一 risk factor 求 s_k = Σ_i s_ik。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Delta/Vega 权重：WS_k = RW_k × s_k。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Delta/Vega 聚合：由 WS、ρ 得到 K_b，保留 S_b = ΣWS_k，再由 γ 得到 risk-class charge。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Curvature risk position：对 up/down shock full revaluation，扣除 Delta 线性部分，得到 CVR_k⁺/⁻。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Curvature 聚合：up/down 分别按 ρ^curv 聚合，bucket 选不利方向，再按 γ^curv 跨桶聚合。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相关性情景：Low/Medium/High 各自完整重算，得到 K_SBM = max(L, M, H)。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完整 SA：K_SA = K_SBM + K_DRC + K_RRAO；如需 RWA，再乘 12.5。</w:t>
      </w:r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本章最容易混淆  </w:t>
      </w:r>
      <w:r>
        <w:rPr>
          <w:rFonts w:ascii="Calibri" w:hAnsi="Calibri" w:eastAsia="Microsoft YaHei"/>
          <w:color w:val="1F2933"/>
        </w:rPr>
        <w:t>Curvature 不是直接把 Gamma 代入资本公式，也不是 Volga；它是规定有限 shock 的全量重估残差，并带有独立聚合规则。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一分钟回顾  </w:t>
      </w:r>
      <w:r>
        <w:rPr>
          <w:rFonts w:ascii="Calibri" w:hAnsi="Calibri" w:eastAsia="Microsoft YaHei"/>
          <w:color w:val="1F2933"/>
        </w:rPr>
        <w:t>Gamma 提供局部二阶直觉；Curvature 用 up/down full revaluation 捕捉有限冲击下的非线性；完成 SBM 后还要加 DRC 与 RRAO 才是完整 SA。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自测题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当前 PV = 10，up 的 Delta 线性预测为 15、full revaluation 为 14，CVR⁺ 是多少？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为什么 −½Gamma·h² 只能作为 curvature 的局部近似？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从 K_SBM 到完整 K_SA 还需要加哪两项？</w:t>
      </w: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建议先写出答案或口头说明理由，再到附录核对。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A｜12 章自测题答案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题号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参考答案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 是 risk factor；Delta 是 V 对 S 的 sensitivity。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P&amp;L ≈ 0.6×(−2)=−1.2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大冲击时 Greeks 本身会变化，且高阶项、路径依赖或不光滑 payoff 可能重要。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2.1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 Delta = 1,000×0.50−400=+100 shares-equivalent。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2.2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总 DV01 会掩盖不同 curve nodes 的 steepener/flattener 等 shape risk。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2.3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Rho/DV01 通常映射到 GIRR Delta。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单份 P&amp;L ≈ 0.50×(−4)+½×0.04×16=−1.68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Short 1,000 份的 Gamma P&amp;L = −320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Delta-neutral 只消除当前一阶方向风险，组合仍有 Gamma、Vega、Theta 等风险。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4.1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0.12×2.5=0.30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4.2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12×0.025=0.30 CU，与上一题一致。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4.3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1M 与 1Y volatility nodes 是不同 risk factors，不会必然同步。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两天 Theta P&amp;L = 1,000×(−0.02)×2=−40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Long option 通常用持续流失的时间价值换取 Gamma convexity 与波动率敞口。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Explained P&amp;L = 0+320+360−20=+660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6.1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Delta 约增加 0.04×2=0.08。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6.2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正 Volga 表示局部上 Vega 随 σ 增加。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6.3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Volga 是 σ 方向二阶敏感度；FRTB curvature 冲击规定的 delta risk factors。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7.1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1M 与 1Y 波动率节点不同，不能完整净额。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7.2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Swaption Vega 常按 option expiry × underlying tenor 展示。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7.3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不能；同 bucket 不同 risk factors 只能通过规定 ρ 获得有限对冲。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8.1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Residual = +610−(+660)=−50 CU。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8.2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例如：高阶项遗漏、surface 非平行移动、market-data cut 不一致。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8.3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不直接使用；日常 explain 与 SA/SBM 的输入和聚合规则不同。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9.1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对 Alpha Desk 的 B 序列：VaR80%=4，ES80%=(8+15)/2=11.5。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9.2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VaR 是损失分布的分位点；分位点之外仍可能出现更大损失。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9.3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监管 ES 属于 FRTB IMA；SA/SBM 不以 ES 为输入。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K_SA=K_SBM+K_DRC+K_RRAO。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普通股票 call 通常涉及 Equity Delta、Vega 和 Curvature；完整 SA 还需评估 DRC/RRAO。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10.3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0.12/vol point=12/per 1.00 σ；12×1,000×0.25=3,000 CU，之后再映射监管节点。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11.1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S_A=20−15=5；K_A=√475=21.79。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11.2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对 long–short hedge，较低相关性削弱抵销，所以本例 capital 更高。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11.3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不能；Delta 与 Vega 分别聚合，在情景内作为独立 charges 相加。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12.1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CVR⁺=−[(14−10)−5]=1。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12.2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−½Gamma·h² 忽略有限 shock 下的高阶、方向不对称和聚合规则，而且 h、Gamma 与 Delta 项必须使用相同坐标和单位。</w:t>
            </w:r>
          </w:p>
        </w:tc>
      </w:tr>
      <w:tr>
        <w:tc>
          <w:tcPr>
            <w:tcW w:type="dxa" w:w="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12.3</w:t>
            </w:r>
          </w:p>
        </w:tc>
        <w:tc>
          <w:tcPr>
            <w:tcW w:type="dxa" w:w="846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还需要 K_DRC 与 K_RRAO。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B｜符号、单位与常用换算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700"/>
        <w:gridCol w:w="3620"/>
        <w:gridCol w:w="404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符号 / 术语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常见单位 / 注意点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V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衍生品当前价值 / PV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报告货币 CU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spot 或标的价格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CU/单位标的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σ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implied volatility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decimal；25% = 0.25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 vol point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波动率的 1 个百分点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1% = 0.01 decimal volatility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1 bp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利率的 1 个基点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0.01% = 0.0001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∂V/∂S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常见为标的单位 / 期权；FRTB 定义可能是 CU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Gamma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∂²V/∂S²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Delta / spot unit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Vega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∂V/∂σ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务必注明 per vol point 或 per 1.00 σ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Theta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∂V/∂t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CU/day；注意 calendar time 与 time-to-maturity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DV01 / PV01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利率变动 1 bp 的价值变化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CU/bp；若 RW 用 decimal rate，则先除以 0.0001；符号须说明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CS01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信用利差变动 1 bp 的价值变化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CU/bp；与 CSR sensitivity/RW 统一单位和符号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s_k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对监管 risk factor k 的净 sensitivity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报告货币；具体尺度取决于监管 sensitivity 定义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RW_k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regulatory risk weight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按规则给定；单位须与 sensitivity 定义匹配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WS_k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weighted sensitivity = RW_k×s_k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报告货币金额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K_b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within-bucket charge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非负报告货币金额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S_b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bucket net weighted sensitivity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带符号报告货币金额</w:t>
            </w:r>
          </w:p>
        </w:tc>
      </w:tr>
      <w:tr>
        <w:tc>
          <w:tcPr>
            <w:tcW w:type="dxa" w:w="17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CVR⁺/CVR⁻</w:t>
            </w:r>
          </w:p>
        </w:tc>
        <w:tc>
          <w:tcPr>
            <w:tcW w:type="dxa" w:w="362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up/down curvature risk position</w:t>
            </w:r>
          </w:p>
        </w:tc>
        <w:tc>
          <w:tcPr>
            <w:tcW w:type="dxa" w:w="40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7"/>
              </w:rPr>
              <w:t>报告货币金额；正值表示增量损失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C｜Greeks—FRTB 快速映射表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start w:val="single" w:sz="5" w:space="0" w:color="D7DEE7"/>
          <w:bottom w:val="single" w:sz="5" w:space="0" w:color="D7DEE7"/>
          <w:end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1900"/>
        <w:gridCol w:w="2440"/>
        <w:gridCol w:w="2690"/>
        <w:gridCol w:w="23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Risk source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内部指标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FRTB SA 表达</w:t>
            </w:r>
          </w:p>
        </w:tc>
        <w:tc>
          <w:tcPr>
            <w:tcW w:type="dxa" w:w="2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Header"/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不应混淆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 spot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Delta, Gamma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Equity Delta；适用时 Curvature；另评估 Equity DRC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regulatory Delta ≠ 裸 share Delta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FX spot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FX Delta, Gamma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FX Delta；适用时 Curvature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reporting currency 与 FX convention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Commodity price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Delta, Gamma, curve delta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Commodity Delta；适用时 Curvature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不同 location/grade/tenor 不是同因子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Interest-rate curves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DV01/PV01, key-rate delta, convexity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GIRR Delta；适用时 Curvature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Rho 无独立 capital category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Credit spread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CS01/spread delta, spread convexity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CSR Delta；适用时 Curvature；另评估 DRC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spread widening ≠ default jump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Implied volatility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Vega, Volga, Vanna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各适用 risk class 的 Vega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Volga 不等于 Curvature</w:t>
            </w:r>
          </w:p>
        </w:tc>
      </w:tr>
      <w:tr>
        <w:tc>
          <w:tcPr>
            <w:tcW w:type="dxa" w:w="190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Time passage</w:t>
            </w:r>
          </w:p>
        </w:tc>
        <w:tc>
          <w:tcPr>
            <w:tcW w:type="dxa" w:w="244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Theta, Charm</w:t>
            </w:r>
          </w:p>
        </w:tc>
        <w:tc>
          <w:tcPr>
            <w:tcW w:type="dxa" w:w="269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无独立 Theta/Charm charge</w:t>
            </w:r>
          </w:p>
        </w:tc>
        <w:tc>
          <w:tcPr>
            <w:tcW w:type="dxa" w:w="2330"/>
          </w:tcPr>
          <w:p>
            <w:pPr>
              <w:pStyle w:val="TableBody"/>
              <w:spacing w:after="0"/>
              <w:jc w:val="left"/>
            </w:pPr>
            <w:r>
              <w:rPr>
                <w:rFonts w:ascii="Calibri" w:hAnsi="Calibri" w:eastAsia="Microsoft YaHei"/>
                <w:color w:val="1F2933"/>
                <w:sz w:val="16"/>
              </w:rPr>
              <w:t>日常 P&amp;L/hedging 仍重要</w:t>
            </w:r>
          </w:p>
        </w:tc>
      </w:tr>
    </w:tbl>
    <w:p>
      <w:pPr>
        <w:spacing w:after="40" w:before="0"/>
      </w:pPr>
    </w:p>
    <w:p>
      <w:pPr>
        <w:pStyle w:val="SourceNote"/>
        <w:spacing w:before="80" w:after="80"/>
      </w:pPr>
      <w:r>
        <w:rPr>
          <w:rFonts w:ascii="Calibri" w:hAnsi="Calibri" w:eastAsia="Microsoft YaHei"/>
          <w:i/>
          <w:color w:val="5B6573"/>
          <w:sz w:val="17"/>
        </w:rPr>
        <w:t>Curvature 主要适用于含 optionality/embedded prepayment 或其他规定非线性的工具；银行如选择纳入全部 Delta 工具，须持续、一致地采用。DRC 属于 SA，但不属于 SBM。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D｜端到端计算检查清单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锁定范围：交易账簿、估值日期、报告货币、交易数量、contract multiplier、FX conversion。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确认估值：市场数据 cut、pricing model、校准参数、当前 PV 与 full-revaluation capability。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识别内部 risk factors：spot、curves、credit spreads、volatility surfaces 及 cross-risk。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计算并核对 Greeks：单位、shock size、符号、bump-and-revalue 与 analytic sensitivity 一致性。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构建 P&amp;L explain：Delta/Gamma/Vega/Theta/other；与静态 full-revaluation P&amp;L 对照，再与 actual P&amp;L 做口径 reconciliation。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映射 FRTB risk classes 与 prescribed risk factors；记录插值、映射和 netting key。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按监管定义计算 Delta/Vega sensitivities；Vega 特别核对 ν、σ 与 vol-point 换算。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对同一 risk factor 汇总 s_k；不得把同 bucket 的不同 risk factors 提前完全净额。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应用 RW 得到 WS；核对参数版本、币种、tenor、bucket 与 jurisdiction implementation。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分别进行 Delta/Vega 的 within-bucket ρ 与 cross-bucket γ 聚合；区分 K_b 与 S_b。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识别适用 Curvature 的工具；对 curvature risk factors 做规定 up/down shocks 和 full revaluation，扣除 Delta 线性部分并按专用公式聚合。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在 Low/Medium/High correlation scenarios 下完整重算全部 risk classes 的 Delta/Vega/Curvature。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每个情景内跨 risk classes 简单相加，三情景取最大得到 K_SBM。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另算 K_DRC 与 K_RRAO；K_SA = K_SBM + K_DRC + K_RRAO。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执行独立复核：reconciliation、sensitivities completeness、参数治理、异常值和审计轨迹。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E｜综合练习：从交易到资本</w:t>
      </w:r>
    </w:p>
    <w:p>
      <w:pPr/>
      <w:r>
        <w:rPr>
          <w:rFonts w:ascii="Calibri" w:hAnsi="Calibri" w:eastAsia="Microsoft YaHei"/>
        </w:rPr>
        <w:t>请以贯穿案例及已引入的 5Y×5Y payer swaption 为起点，再增加一笔 corporate bond position。无需查具体监管风险权重，先用 RW、ρ、γ 作为符号或由教师提供的教学参数，完成以下任务。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列出每笔交易的主要 market risk factors，并区分 spot/curve/spread/volatility nodes。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写出内部 Greeks 风险矩阵：equity Delta/Gamma/Vega；swaption key-rate DV01 与 Vega cube；bond CS01、DV01 与 jump-to-default。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设计一个日常 P&amp;L explain，并说明 residual 超过阈值时如何排查。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说明 VaR、ES 与至少两个 stress scenarios 各自补充了什么视角。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把三笔交易映射到 FRTB risk classes，以及 Delta/Vega/Curvature、DRC/RRAO 的适用位置。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画出 prescribed risk factors、buckets 与 netting keys；说明哪些敏感度可以完整净额、哪些只能相关性聚合。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用 WS_k = RW_k s_k 形成 weighted sensitivities，并展示一个 within-bucket 与 cross-bucket 的手算。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为至少一个期权性 risk factor 构造 up/down full revaluation，计算 CVR⁺ 与 CVR⁻。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说明 Low/Medium/High scenarios 为什么必须完整重算，以及哪个情景可能最不利。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</w:rPr>
        <w:t>写出 K_SA = K_SBM + K_DRC + K_RRAO，并为每项附上风险解释，而不仅是最终数字。</w:t>
      </w:r>
    </w:p>
    <w:p>
      <w:pPr>
        <w:spacing w:before="100" w:after="160" w:line="300" w:lineRule="auto"/>
        <w:ind w:left="173" w:right="115"/>
        <w:shd w:fill="EDF7F0"/>
        <w:pBdr>
          <w:left w:val="single" w:sz="12" w:space="8" w:color="256A42"/>
        </w:pBdr>
      </w:pPr>
      <w:r>
        <w:rPr>
          <w:rFonts w:ascii="Calibri" w:hAnsi="Calibri" w:eastAsia="Microsoft YaHei"/>
          <w:b/>
          <w:color w:val="256A42"/>
        </w:rPr>
        <w:t xml:space="preserve">完成标准  </w:t>
      </w:r>
      <w:r>
        <w:rPr>
          <w:rFonts w:ascii="Calibri" w:hAnsi="Calibri" w:eastAsia="Microsoft YaHei"/>
          <w:color w:val="1F2933"/>
        </w:rPr>
        <w:t>一份合格答案必须同时回答：风险因子是什么、敏感度单位是什么、在哪一层允许净额、相关性在哪里使用、非线性如何进入 full revaluation、SBM 与完整 SA 如何衔接。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参考解题框架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股票 call：Equity spot、equity implied-volatility maturity node；内部 Delta/Gamma/Vega，SBM 中通常有 Equity Delta/Vega/Curvature，并另评估 Equity DRC。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Payer swaption：各币种/曲线/tenor 的 PV01 与 expiry×underlying-tenor Vega；通常映射 GIRR Delta/Vega/Curvature。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Corporate bond：GIRR Delta、CSR Delta 与 jump-to-default；普通线性债券通常不自动进入 Vega/Curvature，但进入 DRC。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同一精确 risk factor 先净额；同 bucket 不同 factors 通过 ρ；不同 buckets 通过 γ；Delta/Vega 与 Curvature 走不同的 risk-position 路径。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</w:rPr>
        <w:t>三种 correlation scenarios 内先合计全部 risk classes 的 Delta/Vega/Curvature，再取组合最大值形成 SBM；最后加 DRC 和适用的 RRAO。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F｜监管边界与官方参考</w:t>
      </w:r>
    </w:p>
    <w:p>
      <w:pPr/>
      <w:r>
        <w:rPr>
          <w:rFonts w:ascii="Calibri" w:hAnsi="Calibri" w:eastAsia="Microsoft YaHei"/>
        </w:rPr>
        <w:t>本书为了建立概念链，省略了各 risk class 的大量具体 buckets、risk weights、correlation parameters、tenor vertices、特殊条款与司法辖区实施差异。实际计算不能仅依靠本读本。监管表述已按 2026 年 8 月可访问的 Basel Framework current version 复核；下列章节应作为官方起点：</w:t>
      </w:r>
    </w:p>
    <w:p>
      <w:pPr>
        <w:numPr>
          <w:ilvl w:val="0"/>
          <w:numId w:val="10"/>
        </w:numPr>
        <w:spacing w:after="80"/>
      </w:pPr>
      <w:hyperlink r:id="rId12">
        <w:r>
          <w:rPr>
            <w:rFonts w:ascii="Calibri" w:hAnsi="Calibri" w:eastAsia="Microsoft YaHei"/>
            <w:color w:val="2E74B5"/>
            <w:u w:val="single"/>
          </w:rPr>
          <w:t>MAR10 — Market risk terminology</w:t>
        </w:r>
      </w:hyperlink>
    </w:p>
    <w:p>
      <w:pPr>
        <w:numPr>
          <w:ilvl w:val="0"/>
          <w:numId w:val="10"/>
        </w:numPr>
        <w:spacing w:after="80"/>
      </w:pPr>
      <w:hyperlink r:id="rId13">
        <w:r>
          <w:rPr>
            <w:rFonts w:ascii="Calibri" w:hAnsi="Calibri" w:eastAsia="Microsoft YaHei"/>
            <w:color w:val="2E74B5"/>
            <w:u w:val="single"/>
          </w:rPr>
          <w:t>MAR20 — Standardised approach: general provisions and structure</w:t>
        </w:r>
      </w:hyperlink>
    </w:p>
    <w:p>
      <w:pPr>
        <w:numPr>
          <w:ilvl w:val="0"/>
          <w:numId w:val="10"/>
        </w:numPr>
        <w:spacing w:after="80"/>
      </w:pPr>
      <w:hyperlink r:id="rId14">
        <w:r>
          <w:rPr>
            <w:rFonts w:ascii="Calibri" w:hAnsi="Calibri" w:eastAsia="Microsoft YaHei"/>
            <w:color w:val="2E74B5"/>
            <w:u w:val="single"/>
          </w:rPr>
          <w:t>MAR21 — Standardised approach: sensitivities-based method</w:t>
        </w:r>
      </w:hyperlink>
    </w:p>
    <w:p>
      <w:pPr>
        <w:numPr>
          <w:ilvl w:val="0"/>
          <w:numId w:val="10"/>
        </w:numPr>
        <w:spacing w:after="80"/>
      </w:pPr>
      <w:hyperlink r:id="rId15">
        <w:r>
          <w:rPr>
            <w:rFonts w:ascii="Calibri" w:hAnsi="Calibri" w:eastAsia="Microsoft YaHei"/>
            <w:color w:val="2E74B5"/>
            <w:u w:val="single"/>
          </w:rPr>
          <w:t>MAR22 — Standardised approach: default risk capital requirement</w:t>
        </w:r>
      </w:hyperlink>
    </w:p>
    <w:p>
      <w:pPr>
        <w:numPr>
          <w:ilvl w:val="0"/>
          <w:numId w:val="10"/>
        </w:numPr>
        <w:spacing w:after="80"/>
      </w:pPr>
      <w:hyperlink r:id="rId16">
        <w:r>
          <w:rPr>
            <w:rFonts w:ascii="Calibri" w:hAnsi="Calibri" w:eastAsia="Microsoft YaHei"/>
            <w:color w:val="2E74B5"/>
            <w:u w:val="single"/>
          </w:rPr>
          <w:t>MAR23 — Standardised approach: residual risk add-on</w:t>
        </w:r>
      </w:hyperlink>
    </w:p>
    <w:p>
      <w:pPr>
        <w:numPr>
          <w:ilvl w:val="0"/>
          <w:numId w:val="10"/>
        </w:numPr>
        <w:spacing w:after="80"/>
      </w:pPr>
      <w:hyperlink r:id="rId17">
        <w:r>
          <w:rPr>
            <w:rFonts w:ascii="Calibri" w:hAnsi="Calibri" w:eastAsia="Microsoft YaHei"/>
            <w:color w:val="2E74B5"/>
            <w:u w:val="single"/>
          </w:rPr>
          <w:t>MAR31 — Internal models approach: model requirements</w:t>
        </w:r>
      </w:hyperlink>
    </w:p>
    <w:p>
      <w:pPr>
        <w:numPr>
          <w:ilvl w:val="0"/>
          <w:numId w:val="10"/>
        </w:numPr>
        <w:spacing w:after="80"/>
      </w:pPr>
      <w:hyperlink r:id="rId18">
        <w:r>
          <w:rPr>
            <w:rFonts w:ascii="Calibri" w:hAnsi="Calibri" w:eastAsia="Microsoft YaHei"/>
            <w:color w:val="2E74B5"/>
            <w:u w:val="single"/>
          </w:rPr>
          <w:t>MAR32 — Internal models approach: backtesting and P&amp;L attribution test requirements</w:t>
        </w:r>
      </w:hyperlink>
    </w:p>
    <w:p>
      <w:pPr>
        <w:numPr>
          <w:ilvl w:val="0"/>
          <w:numId w:val="10"/>
        </w:numPr>
        <w:spacing w:after="80"/>
      </w:pPr>
      <w:hyperlink r:id="rId19">
        <w:r>
          <w:rPr>
            <w:rFonts w:ascii="Calibri" w:hAnsi="Calibri" w:eastAsia="Microsoft YaHei"/>
            <w:color w:val="2E74B5"/>
            <w:u w:val="single"/>
          </w:rPr>
          <w:t>MAR33 — Internal models approach: capital requirements</w:t>
        </w:r>
      </w:hyperlink>
    </w:p>
    <w:p>
      <w:pPr>
        <w:numPr>
          <w:ilvl w:val="0"/>
          <w:numId w:val="10"/>
        </w:numPr>
        <w:spacing w:after="80"/>
      </w:pPr>
      <w:hyperlink r:id="rId20">
        <w:r>
          <w:rPr>
            <w:rFonts w:ascii="Calibri" w:hAnsi="Calibri" w:eastAsia="Microsoft YaHei"/>
            <w:color w:val="2E74B5"/>
            <w:u w:val="single"/>
          </w:rPr>
          <w:t>BCBS, Minimum capital requirements for market risk, January 2019</w:t>
        </w:r>
      </w:hyperlink>
    </w:p>
    <w:p>
      <w:pPr>
        <w:numPr>
          <w:ilvl w:val="0"/>
          <w:numId w:val="10"/>
        </w:numPr>
        <w:spacing w:after="80"/>
      </w:pPr>
      <w:hyperlink r:id="rId21">
        <w:r>
          <w:rPr>
            <w:rFonts w:ascii="Calibri" w:hAnsi="Calibri" w:eastAsia="Microsoft YaHei"/>
            <w:color w:val="2E74B5"/>
            <w:u w:val="single"/>
          </w:rPr>
          <w:t>Explanatory note on the revised minimum capital requirements for market risk</w:t>
        </w:r>
      </w:hyperlink>
    </w:p>
    <w:p>
      <w:pPr>
        <w:spacing w:before="100" w:after="160" w:line="300" w:lineRule="auto"/>
        <w:ind w:left="173" w:right="115"/>
        <w:shd w:fill="FFF6DA"/>
        <w:pBdr>
          <w:left w:val="single" w:sz="12" w:space="8" w:color="8A6414"/>
        </w:pBdr>
      </w:pPr>
      <w:r>
        <w:rPr>
          <w:rFonts w:ascii="Calibri" w:hAnsi="Calibri" w:eastAsia="Microsoft YaHei"/>
          <w:b/>
          <w:color w:val="8A6414"/>
        </w:rPr>
        <w:t xml:space="preserve">最后提醒  </w:t>
      </w:r>
      <w:r>
        <w:rPr>
          <w:rFonts w:ascii="Calibri" w:hAnsi="Calibri" w:eastAsia="Microsoft YaHei"/>
          <w:color w:val="1F2933"/>
        </w:rPr>
        <w:t>Basel Framework 会更新，且各司法辖区实施时间、参数选择和监管裁量可能不同。用于报送或资本决策前，务必核对当期生效文本并保留可审计的参数版本。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>
        <w:t>1</w:t>
      </w:fldChar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 w:eastAsia="Microsoft YaHei"/>
        <w:color w:val="5B6573"/>
        <w:sz w:val="17"/>
      </w:rPr>
      <w:t>学习者版｜版本 2026.08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/>
    </w:pPr>
    <w:r>
      <w:rPr>
        <w:rFonts w:ascii="Calibri" w:hAnsi="Calibri" w:eastAsia="Microsoft YaHei"/>
        <w:b/>
        <w:color w:val="5B6573"/>
        <w:sz w:val="17"/>
      </w:rPr>
      <w:t>衍生品风险控制｜学习者阅读材料</w:t>
    </w:r>
    <w:r>
      <w:rPr>
        <w:rFonts w:ascii="Calibri" w:hAnsi="Calibri" w:eastAsia="Microsoft YaHei"/>
        <w:color w:val="5B6573"/>
        <w:sz w:val="17"/>
      </w:rPr>
      <w:tab/>
      <w:t>Greeks → FRTB 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Microsoft YaHei"/>
      <w:b w:val="0"/>
      <w:color w:val="1F2933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zh-CN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zh-CN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zh-CN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zh-CN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zh-CN"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zh-CN"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zh-CN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zh-CN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zh-CN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zh-CN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zh-CN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zh-CN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ctureTitle">
    <w:name w:val="Lecture Title"/>
    <w:pPr>
      <w:keepNext/>
      <w:spacing w:before="0" w:after="120" w:line="288" w:lineRule="auto"/>
    </w:pPr>
    <w:rPr>
      <w:rFonts w:ascii="Calibri" w:hAnsi="Calibri" w:eastAsia="Microsoft YaHei"/>
      <w:b/>
      <w:color w:val="0B2545"/>
      <w:sz w:val="60"/>
      <w:lang w:val="zh-CN" w:eastAsia="zh-CN"/>
    </w:rPr>
  </w:style>
  <w:style w:type="paragraph" w:customStyle="1" w:styleId="LectureSubtitle">
    <w:name w:val="Lecture Subtitle"/>
    <w:pPr>
      <w:keepNext/>
      <w:spacing w:before="0" w:after="120" w:line="288" w:lineRule="auto"/>
    </w:pPr>
    <w:rPr>
      <w:rFonts w:ascii="Calibri" w:hAnsi="Calibri" w:eastAsia="Microsoft YaHei"/>
      <w:b w:val="0"/>
      <w:color w:val="1F4D78"/>
      <w:sz w:val="30"/>
      <w:lang w:val="zh-CN" w:eastAsia="zh-CN"/>
    </w:rPr>
  </w:style>
  <w:style w:type="paragraph" w:customStyle="1" w:styleId="Kicker">
    <w:name w:val="Kicker"/>
    <w:pPr>
      <w:keepNext/>
      <w:spacing w:before="0" w:after="120" w:line="288" w:lineRule="auto"/>
    </w:pPr>
    <w:rPr>
      <w:rFonts w:ascii="Calibri" w:hAnsi="Calibri" w:eastAsia="Microsoft YaHei"/>
      <w:b/>
      <w:color w:val="176B70"/>
      <w:sz w:val="20"/>
      <w:lang w:val="zh-CN" w:eastAsia="zh-CN"/>
    </w:rPr>
  </w:style>
  <w:style w:type="paragraph" w:customStyle="1" w:styleId="TableBody">
    <w:name w:val="Table Body"/>
    <w:pPr>
      <w:spacing w:before="0" w:after="120" w:line="276" w:lineRule="auto"/>
    </w:pPr>
    <w:rPr>
      <w:rFonts w:ascii="Calibri" w:hAnsi="Calibri" w:eastAsia="Microsoft YaHei"/>
      <w:b w:val="0"/>
      <w:color w:val="1F2933"/>
      <w:sz w:val="18"/>
      <w:lang w:val="zh-CN" w:eastAsia="zh-CN"/>
    </w:rPr>
  </w:style>
  <w:style w:type="paragraph" w:customStyle="1" w:styleId="TableHeader">
    <w:name w:val="Table Header"/>
    <w:pPr>
      <w:spacing w:before="0" w:after="120" w:line="276" w:lineRule="auto"/>
    </w:pPr>
    <w:rPr>
      <w:rFonts w:ascii="Calibri" w:hAnsi="Calibri" w:eastAsia="Microsoft YaHei"/>
      <w:b/>
      <w:color w:val="0B2545"/>
      <w:sz w:val="18"/>
      <w:lang w:val="zh-CN" w:eastAsia="zh-CN"/>
    </w:rPr>
  </w:style>
  <w:style w:type="paragraph" w:customStyle="1" w:styleId="Equation">
    <w:name w:val="Equation"/>
    <w:pPr>
      <w:spacing w:before="0" w:after="120" w:line="276" w:lineRule="auto"/>
    </w:pPr>
    <w:rPr>
      <w:rFonts w:ascii="Cambria Math" w:hAnsi="Cambria Math" w:eastAsia="Microsoft YaHei"/>
      <w:b w:val="0"/>
      <w:color w:val="0B2545"/>
      <w:sz w:val="21"/>
      <w:lang w:val="zh-CN" w:eastAsia="zh-CN"/>
    </w:rPr>
  </w:style>
  <w:style w:type="paragraph" w:customStyle="1" w:styleId="SourceNote">
    <w:name w:val="Source Note"/>
    <w:pPr>
      <w:spacing w:before="0" w:after="120" w:line="288" w:lineRule="auto"/>
    </w:pPr>
    <w:rPr>
      <w:rFonts w:ascii="Calibri" w:hAnsi="Calibri" w:eastAsia="Microsoft YaHei"/>
      <w:b w:val="0"/>
      <w:color w:val="5B6573"/>
      <w:sz w:val="17"/>
      <w:lang w:val="zh-CN" w:eastAsia="zh-CN"/>
    </w:rPr>
  </w:style>
  <w:style w:type="paragraph" w:customStyle="1" w:styleId="SmallMeta">
    <w:name w:val="Small Meta"/>
    <w:pPr>
      <w:spacing w:before="0" w:after="120" w:line="288" w:lineRule="auto"/>
    </w:pPr>
    <w:rPr>
      <w:rFonts w:ascii="Calibri" w:hAnsi="Calibri" w:eastAsia="Microsoft YaHei"/>
      <w:b w:val="0"/>
      <w:color w:val="5B6573"/>
      <w:sz w:val="19"/>
      <w:lang w:val="zh-CN" w:eastAsia="zh-CN"/>
    </w:rPr>
  </w:style>
  <w:style w:type="paragraph" w:customStyle="1" w:styleId="ReaderTitle">
    <w:name w:val="Reader Title"/>
    <w:pPr>
      <w:keepNext/>
      <w:spacing w:before="0" w:after="160" w:line="252" w:lineRule="auto"/>
    </w:pPr>
    <w:rPr>
      <w:rFonts w:ascii="Calibri" w:hAnsi="Calibri" w:eastAsia="Microsoft YaHei"/>
      <w:b/>
      <w:color w:val="0B2545"/>
      <w:sz w:val="60"/>
      <w:lang w:val="zh-CN" w:eastAsia="zh-CN"/>
    </w:rPr>
  </w:style>
  <w:style w:type="paragraph" w:customStyle="1" w:styleId="ReaderSubtitle">
    <w:name w:val="Reader Subtitle"/>
    <w:pPr>
      <w:keepNext w:val="0"/>
      <w:spacing w:before="0" w:after="160" w:line="276" w:lineRule="auto"/>
    </w:pPr>
    <w:rPr>
      <w:rFonts w:ascii="Calibri" w:hAnsi="Calibri" w:eastAsia="Microsoft YaHei"/>
      <w:b w:val="0"/>
      <w:color w:val="1F4D78"/>
      <w:sz w:val="30"/>
      <w:lang w:val="zh-CN" w:eastAsia="zh-CN"/>
    </w:rPr>
  </w:style>
  <w:style w:type="paragraph" w:customStyle="1" w:styleId="ReaderKicker">
    <w:name w:val="Reader Kicker"/>
    <w:pPr>
      <w:keepNext/>
      <w:spacing w:before="0" w:after="160" w:line="276" w:lineRule="auto"/>
    </w:pPr>
    <w:rPr>
      <w:rFonts w:ascii="Calibri" w:hAnsi="Calibri" w:eastAsia="Microsoft YaHei"/>
      <w:b/>
      <w:color w:val="176B70"/>
      <w:sz w:val="20"/>
      <w:lang w:val="zh-CN" w:eastAsia="zh-CN"/>
    </w:rPr>
  </w:style>
  <w:style w:type="paragraph" w:customStyle="1" w:styleId="ChapterLead">
    <w:name w:val="Chapter Lead"/>
    <w:pPr>
      <w:keepNext w:val="0"/>
      <w:spacing w:before="0" w:after="160" w:line="312" w:lineRule="auto"/>
    </w:pPr>
    <w:rPr>
      <w:rFonts w:ascii="Calibri" w:hAnsi="Calibri" w:eastAsia="Microsoft YaHei"/>
      <w:b w:val="0"/>
      <w:color w:val="1F4D78"/>
      <w:sz w:val="23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bis.org/basel_framework/chapter/MAR/10.htm" TargetMode="External"/><Relationship Id="rId13" Type="http://schemas.openxmlformats.org/officeDocument/2006/relationships/hyperlink" Target="https://www.bis.org/basel_framework/chapter/MAR/20.htm" TargetMode="External"/><Relationship Id="rId14" Type="http://schemas.openxmlformats.org/officeDocument/2006/relationships/hyperlink" Target="https://www.bis.org/basel_framework/chapter/MAR/21.htm" TargetMode="External"/><Relationship Id="rId15" Type="http://schemas.openxmlformats.org/officeDocument/2006/relationships/hyperlink" Target="https://www.bis.org/basel_framework/chapter/MAR/22.htm" TargetMode="External"/><Relationship Id="rId16" Type="http://schemas.openxmlformats.org/officeDocument/2006/relationships/hyperlink" Target="https://www.bis.org/basel_framework/chapter/MAR/23.htm" TargetMode="External"/><Relationship Id="rId17" Type="http://schemas.openxmlformats.org/officeDocument/2006/relationships/hyperlink" Target="https://www.bis.org/basel_framework/chapter/MAR/31.htm" TargetMode="External"/><Relationship Id="rId18" Type="http://schemas.openxmlformats.org/officeDocument/2006/relationships/hyperlink" Target="https://www.bis.org/basel_framework/chapter/MAR/32.htm" TargetMode="External"/><Relationship Id="rId19" Type="http://schemas.openxmlformats.org/officeDocument/2006/relationships/hyperlink" Target="https://www.bis.org/basel_framework/chapter/MAR/33.htm" TargetMode="External"/><Relationship Id="rId20" Type="http://schemas.openxmlformats.org/officeDocument/2006/relationships/hyperlink" Target="https://www.bis.org/bcbs/publ/d457.pdf" TargetMode="External"/><Relationship Id="rId21" Type="http://schemas.openxmlformats.org/officeDocument/2006/relationships/hyperlink" Target="https://www.bis.org/bcbs/publ/d457_no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衍生品风险控制：从 Greeks 到 FRTB SA｜学习者阅读材料</dc:title>
  <dc:subject>面向学习者的衍生品风险、P&amp;L Attribution、VaR/ES/Stress 与 FRTB SA 系统读本</dc:subject>
  <dc:creator>OpenAI Codex</dc:creator>
  <cp:keywords>Greeks, FRTB SA, SBM, P&amp;L Attribution, VaR, ES, Stress Test, 学习材料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