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pStyle w:val="Kicker"/>
        <w:jc w:val="center"/>
      </w:pPr>
      <w:r>
        <w:rPr>
          <w:rFonts w:ascii="Calibri" w:hAnsi="Calibri" w:eastAsia="Microsoft YaHei"/>
          <w:b/>
          <w:color w:val="176B70"/>
          <w:sz w:val="20"/>
        </w:rPr>
        <w:t>系统学习与教学讲义 | SYSTEMATIC LEARNING &amp; TEACHING NOTES</w:t>
      </w:r>
    </w:p>
    <w:p>
      <w:pPr>
        <w:pStyle w:val="LectureTitle"/>
        <w:spacing w:after="160"/>
        <w:jc w:val="center"/>
      </w:pPr>
      <w:r>
        <w:rPr>
          <w:rFonts w:ascii="Calibri" w:hAnsi="Calibri" w:eastAsia="Microsoft YaHei"/>
          <w:b/>
          <w:color w:val="0B2545"/>
          <w:sz w:val="60"/>
        </w:rPr>
        <w:t>衍生品风险控制中的 Greeks 与 FRTB SA</w:t>
      </w:r>
    </w:p>
    <w:p>
      <w:pPr>
        <w:pStyle w:val="LectureSubtitle"/>
        <w:spacing w:after="360"/>
        <w:jc w:val="center"/>
      </w:pPr>
      <w:r>
        <w:rPr>
          <w:rFonts w:ascii="Calibri" w:hAnsi="Calibri" w:eastAsia="Microsoft YaHei"/>
          <w:color w:val="1F4D78"/>
          <w:sz w:val="30"/>
        </w:rPr>
        <w:t>从局部敏感度、P&amp;L Attribution、VaR/ES/Stress 到 Sensitivities-based Method</w:t>
      </w:r>
    </w:p>
    <w:p>
      <w:pPr>
        <w:spacing w:after="680"/>
        <w:jc w:val="center"/>
      </w:pPr>
      <w:r>
        <w:rPr>
          <w:rFonts w:ascii="Calibri" w:hAnsi="Calibri" w:eastAsia="Microsoft YaHei"/>
          <w:b/>
          <w:color w:val="176B70"/>
          <w:sz w:val="21"/>
        </w:rPr>
        <w:t>Delta  ·  Gamma  ·  Vega  ·  Curvature  ·  Bucket  ·  Risk Weight  ·  Capital</w:t>
      </w:r>
    </w:p>
    <w:p>
      <w:pPr>
        <w:pStyle w:val="SmallMeta"/>
        <w:jc w:val="center"/>
      </w:pPr>
      <w:r>
        <w:rPr>
          <w:rFonts w:ascii="Calibri" w:hAnsi="Calibri" w:eastAsia="Microsoft YaHei"/>
          <w:color w:val="5B6573"/>
          <w:sz w:val="19"/>
        </w:rPr>
        <w:t>中文主讲，保留关键英文术语与公式</w:t>
      </w:r>
    </w:p>
    <w:p>
      <w:pPr>
        <w:pStyle w:val="SmallMeta"/>
        <w:jc w:val="center"/>
      </w:pPr>
      <w:r>
        <w:rPr>
          <w:rFonts w:ascii="Calibri" w:hAnsi="Calibri" w:eastAsia="Microsoft YaHei"/>
          <w:color w:val="5B6573"/>
          <w:sz w:val="19"/>
        </w:rPr>
        <w:t>适用：衍生品交易、市场风险、模型验证、资本计量及内部培训</w:t>
      </w:r>
    </w:p>
    <w:p>
      <w:pPr>
        <w:pStyle w:val="SmallMeta"/>
        <w:jc w:val="center"/>
      </w:pPr>
      <w:r>
        <w:rPr>
          <w:rFonts w:ascii="Calibri" w:hAnsi="Calibri" w:eastAsia="Microsoft YaHei"/>
          <w:color w:val="5B6573"/>
          <w:sz w:val="19"/>
        </w:rPr>
        <w:t>版本：2026 年 8 月</w:t>
      </w:r>
    </w:p>
    <w:p>
      <w:pPr>
        <w:spacing w:after="560"/>
      </w:pP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核心主线  </w:t>
      </w:r>
      <w:r>
        <w:rPr>
          <w:rFonts w:ascii="Calibri" w:hAnsi="Calibri" w:eastAsia="Microsoft YaHei"/>
          <w:color w:val="1F2933"/>
        </w:rPr>
        <w:t>定价模型回答“现在值多少钱”；Greeks 回答“风险因子动一点会怎样”；FRTB SA 则把规定风险因子的敏感度、监管权重和相关性规则转换为资本要求。</w:t>
      </w: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教学声明  </w:t>
      </w:r>
      <w:r>
        <w:rPr>
          <w:rFonts w:ascii="Calibri" w:hAnsi="Calibri" w:eastAsia="Microsoft YaHei"/>
          <w:color w:val="1F2933"/>
        </w:rPr>
        <w:t>本讲义用于学习与授课，不构成法律、监管或投资意见。Basel 标准是国际最低标准；实际报送应以所在法域的实施文本、有效日期、参数和监管解释为准。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使用说明与总体学习目标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三个贯穿全文的问题  </w:t>
      </w:r>
      <w:r>
        <w:rPr>
          <w:rFonts w:ascii="Calibri" w:hAnsi="Calibri" w:eastAsia="Microsoft YaHei"/>
          <w:color w:val="1F2933"/>
        </w:rPr>
        <w:t>① 什么在动（risk factor）？② 价格对它有多敏感（sensitivity）？③ 风险系统或监管如何把敏感度变成 P&amp;L、限额或 capital？</w:t>
      </w:r>
    </w:p>
    <w:p>
      <w:r>
        <w:rPr>
          <w:rFonts w:ascii="Calibri" w:hAnsi="Calibri" w:eastAsia="Microsoft YaHei"/>
        </w:rPr>
        <w:t>本讲义把同一套定价与风险因子体系分成两条并行路径。管理风险路径使用 Greeks 解释 P&amp;L、设置限额并支持 VaR/ES 与 stress；监管标准法路径使用 prescribed risk factors、sensitivities、buckets、risk weights 和 correlations 形成 SBM capital。VaR/ES 或日常 P&amp;L explain 不是 FRTB SBM 的串行输入。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建立 PV、risk factor、shock、sensitivity、P&amp;L 与 capital 的层级框架。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解释并计算 Delta、Gamma、Vega、Theta、Rho、Vanna、Volga/Vomma 与 Charm。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用 Taylor expansion 完成基础 P&amp;L Attribution，并诊断 residual。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区分 Greeks、VaR、Expected Shortfall（ES）与 Stress Test 的问题意识和局限。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掌握 FRTB SA 中 risk class → risk factor → bucket → RW → WS → K_b → cross-bucket charge 的完整链条。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解释传统 Gamma/convexity 与 FRTB curvature risk 的联系、差异与局部近似。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区分 SBM、Default Risk Charge（DRC）、Residual Risk Add-on（RRAO）与完整 SA capital。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能够把 equity option 或 swaption 从定价节点追踪到监管资本结果。</w:t>
      </w:r>
    </w:p>
    <w:p>
      <w:pPr>
        <w:pStyle w:val="Heading2"/>
      </w:pPr>
      <w:r>
        <w:t>建议学习路径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600"/>
        <w:gridCol w:w="1500"/>
        <w:gridCol w:w="3860"/>
        <w:gridCol w:w="24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建议时长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学习重点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适用方式</w:t>
            </w:r>
          </w:p>
        </w:tc>
      </w:tr>
      <w:tr>
        <w:tc>
          <w:tcPr>
            <w:tcW w:type="dxa" w:w="1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模块 A：Greeks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90 分钟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局部敏感度、单位、Delta–Gamma–Vega–Theta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自学 / 第一次课</w:t>
            </w:r>
          </w:p>
        </w:tc>
      </w:tr>
      <w:tr>
        <w:tc>
          <w:tcPr>
            <w:tcW w:type="dxa" w:w="1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模块 B：P&amp;L 与尾部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60 分钟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P&amp;L Attribution、VaR/ES、Stress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案例讨论</w:t>
            </w:r>
          </w:p>
        </w:tc>
      </w:tr>
      <w:tr>
        <w:tc>
          <w:tcPr>
            <w:tcW w:type="dxa" w:w="1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模块 C：FRTB SA/SBM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120 分钟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概念链、Delta/Vega 聚合、Curvature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第二次课</w:t>
            </w:r>
          </w:p>
        </w:tc>
      </w:tr>
      <w:tr>
        <w:tc>
          <w:tcPr>
            <w:tcW w:type="dxa" w:w="1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模块 D：计算工作坊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60–90 分钟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Bucket 聚合、Curvature、端到端治理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练习 / 内训</w:t>
            </w:r>
          </w:p>
        </w:tc>
      </w:tr>
    </w:tbl>
    <w:p>
      <w:pPr>
        <w:spacing w:after="40" w:before="0"/>
      </w:pP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版式说明：公式与例题均可在 Word 中直接编辑；标注“教学假设”的参数不代表监管校准值。</w:t>
      </w:r>
    </w:p>
    <w:p>
      <w:pPr>
        <w:pStyle w:val="Heading2"/>
      </w:pPr>
      <w:r>
        <w:t>内容导览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1. 从定价函数到风险语言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Risk factor、shock、sensitivity 与 Taylor expansion 如何连接？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2. 核心 Greeks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Delta、Gamma、Vega、Theta、Rho 分别管理什么？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3. 高阶 Greeks 与组合风险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Vanna、Volga、Charm、风险矩阵和 Swaption 如何理解？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4. P&amp;L Attribution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今天为什么赚或亏？Residual 应如何诊断？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5. VaR / ES / Stress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局部、统计和极端情景风险如何互补？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6. FRTB SA/SBM 架构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SA、SBM、DRC、RRAO 以及七类风险是什么？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7. Delta/Vega 聚合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Risk factor → bucket → RW → WS → K_b → K 如何计算？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8. Curvature Risk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为什么 curvature 不是 Gamma 的改名？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9. 端到端流程与治理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如何从定价模型追踪到 SA capital？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10. 授课设计与练习</w:t>
            </w:r>
          </w:p>
        </w:tc>
        <w:tc>
          <w:tcPr>
            <w:tcW w:type="dxa" w:w="6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如何把全套框架讲清楚并检验理解？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1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从定价函数到风险语言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区分 market risk factor、shock、sensitivity、Greek 与 P&amp;L。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用一阶与二阶 Taylor expansion 解释局部风险近似。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识别解析 Greeks 与 bump-and-revalue 的适用条件和单位风险。</w:t>
      </w:r>
    </w:p>
    <w:p>
      <w:pPr>
        <w:pStyle w:val="Heading2"/>
      </w:pPr>
      <w:r>
        <w:t>1.1 定价函数是风险管理的起点</w:t>
      </w:r>
    </w:p>
    <w:p>
      <w:r>
        <w:rPr>
          <w:rFonts w:ascii="Calibri" w:hAnsi="Calibri" w:eastAsia="Microsoft YaHei"/>
        </w:rPr>
        <w:t>设衍生品价值由标的价格 S、隐含波动率 σ、利率曲线 r、时间 t 以及其他因子 x 决定。定价模型把交易条款和市场数据映射为当前价值；风险管理则研究这些输入发生变化时，价值会如何响应。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 = V(S, σ, r, t, x₁, …, xₙ)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500"/>
        <w:gridCol w:w="2520"/>
        <w:gridCol w:w="2700"/>
        <w:gridCol w:w="26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例子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常见误区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Risk factor</w:t>
            </w:r>
          </w:p>
        </w:tc>
        <w:tc>
          <w:tcPr>
            <w:tcW w:type="dxa" w:w="2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会影响价值的市场变量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5Y EUR swap rate、某股票 spot、3M×5Y vol node</w:t>
            </w:r>
          </w:p>
        </w:tc>
        <w:tc>
          <w:tcPr>
            <w:tcW w:type="dxa" w:w="2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把它与 sensitivity 混为一谈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Shock</w:t>
            </w:r>
          </w:p>
        </w:tc>
        <w:tc>
          <w:tcPr>
            <w:tcW w:type="dxa" w:w="2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实际或假设的因子变化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+1 bp、−2%、+3 vol points</w:t>
            </w:r>
          </w:p>
        </w:tc>
        <w:tc>
          <w:tcPr>
            <w:tcW w:type="dxa" w:w="2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不注明 absolute/relative 单位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Sensitivity</w:t>
            </w:r>
          </w:p>
        </w:tc>
        <w:tc>
          <w:tcPr>
            <w:tcW w:type="dxa" w:w="2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价值对因子变化的响应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CNY/bp、CNY/vol point</w:t>
            </w:r>
          </w:p>
        </w:tc>
        <w:tc>
          <w:tcPr>
            <w:tcW w:type="dxa" w:w="2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只报数值、不报方向和单位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P&amp;L</w:t>
            </w:r>
          </w:p>
        </w:tc>
        <w:tc>
          <w:tcPr>
            <w:tcW w:type="dxa" w:w="2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Sensitivity 与因子变化共同产生的价值变化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Delta P&amp;L、Vega P&amp;L</w:t>
            </w:r>
          </w:p>
        </w:tc>
        <w:tc>
          <w:tcPr>
            <w:tcW w:type="dxa" w:w="2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把近似 P&amp;L 当成全重估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Capital</w:t>
            </w:r>
          </w:p>
        </w:tc>
        <w:tc>
          <w:tcPr>
            <w:tcW w:type="dxa" w:w="2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在规定方法下持有的监管资本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SBM、DRC、RRAO</w:t>
            </w:r>
          </w:p>
        </w:tc>
        <w:tc>
          <w:tcPr>
            <w:tcW w:type="dxa" w:w="2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把风险指标直接等同于资本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1.2 Taylor expansion：Greeks 的共同母语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ΔV ≈ Δ·ΔS + ½Γ(ΔS)² + Vega·Δσ + Rho·Δr + Theta·Δt + …</w:t>
      </w:r>
    </w:p>
    <w:p>
      <w:r>
        <w:rPr>
          <w:rFonts w:ascii="Calibri" w:hAnsi="Calibri" w:eastAsia="Microsoft YaHei"/>
        </w:rPr>
        <w:t>直觉上，一阶项描述当前位置的“坡度”，二阶项描述“坡度如何变化”。当市场变化很小且价值函数平滑时，局部展开通常有效；当冲击较大、payoff 不光滑、波动率曲面重塑或多个因子同时大幅变化时，需要 full revaluation 或更多高阶项。</w:t>
      </w: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反复强调 Gamma 项前的 ½。再让学员用“坡度—弯曲度”的地形图直觉解释为什么仅有 Delta 会低估大幅变动下的风险。</w:t>
      </w:r>
    </w:p>
    <w:p>
      <w:pPr>
        <w:pStyle w:val="Heading2"/>
      </w:pPr>
      <w:r>
        <w:t>1.3 解析法与 bump-and-revalue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sₖ ≈ [V(xₖ + h) − V(xₖ − h)] / (2h)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Γₖ ≈ [V(xₖ + h) − 2V(xₖ) + V(xₖ − h)] / h²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解析法（analytic Greeks）速度快，但依赖模型可微和实现正确。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Bump-and-revalue 接近实际风险系统：只改变一个输入、重新定价、观察价值差异。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Bump 太大带来非线性污染，太小则可能被数值噪声吞没；应做 bump-size stability test。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所有风险报表必须显式记录单位、符号、absolute/relative shock 与市场数据版本。</w:t>
      </w: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单位例子  </w:t>
      </w:r>
      <w:r>
        <w:rPr>
          <w:rFonts w:ascii="Calibri" w:hAnsi="Calibri" w:eastAsia="Microsoft YaHei"/>
          <w:color w:val="1F2933"/>
        </w:rPr>
        <w:t>若 ∂V/∂σ = 20，且 σ 以小数表示，则 1 volatility point = 0.01，对应 Vega P&amp;L = 20 × 0.01 = 0.20。把“每 1 单位波动率”和“每 1 vol point”混用会造成 100 倍错误。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Greeks 是定价函数对风险因子的局部导数，不是市场变量本身；Shock 决定变化尺度，Sensitivity 决定响应强度；单位、符号和 bump convention 是计算正确性的第一道门槛。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2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核心 Greeks：Delta、Gamma、Vega、Theta、Rho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掌握五个核心 Greeks 的定义、直觉、单位、符号与典型对冲工具。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理解 Long/Short Gamma 与 Gamma–Theta trade-off。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将股票期权的 Rho 扩展到利率衍生品的 DV01、key-rate delta 与 curve risk。</w:t>
      </w:r>
    </w:p>
    <w:p>
      <w:pPr>
        <w:pStyle w:val="Heading2"/>
      </w:pPr>
      <w:r>
        <w:t>2.1 一张表建立全景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050"/>
        <w:gridCol w:w="1570"/>
        <w:gridCol w:w="2880"/>
        <w:gridCol w:w="1830"/>
        <w:gridCol w:w="203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Greek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核心问题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典型单位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主要管理动作</w:t>
            </w:r>
          </w:p>
        </w:tc>
      </w:tr>
      <w:tr>
        <w:tc>
          <w:tcPr>
            <w:tcW w:type="dxa" w:w="10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Delta</w:t>
            </w:r>
          </w:p>
        </w:tc>
        <w:tc>
          <w:tcPr>
            <w:tcW w:type="dxa" w:w="15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∂V/∂S</w:t>
            </w:r>
          </w:p>
        </w:tc>
        <w:tc>
          <w:tcPr>
            <w:tcW w:type="dxa" w:w="28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标的动 1 单位，价值近似变多少？</w:t>
            </w:r>
          </w:p>
        </w:tc>
        <w:tc>
          <w:tcPr>
            <w:tcW w:type="dxa" w:w="18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货币/价格单位</w:t>
            </w:r>
          </w:p>
        </w:tc>
        <w:tc>
          <w:tcPr>
            <w:tcW w:type="dxa" w:w="20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现货、期货、swap 对冲</w:t>
            </w:r>
          </w:p>
        </w:tc>
      </w:tr>
      <w:tr>
        <w:tc>
          <w:tcPr>
            <w:tcW w:type="dxa" w:w="10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Gamma</w:t>
            </w:r>
          </w:p>
        </w:tc>
        <w:tc>
          <w:tcPr>
            <w:tcW w:type="dxa" w:w="15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∂²V/∂S² = ∂Δ/∂S</w:t>
            </w:r>
          </w:p>
        </w:tc>
        <w:tc>
          <w:tcPr>
            <w:tcW w:type="dxa" w:w="28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标的变化后 Delta 会变多少？</w:t>
            </w:r>
          </w:p>
        </w:tc>
        <w:tc>
          <w:tcPr>
            <w:tcW w:type="dxa" w:w="18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货币/价格²</w:t>
            </w:r>
          </w:p>
        </w:tc>
        <w:tc>
          <w:tcPr>
            <w:tcW w:type="dxa" w:w="20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期权结构、动态对冲</w:t>
            </w:r>
          </w:p>
        </w:tc>
      </w:tr>
      <w:tr>
        <w:tc>
          <w:tcPr>
            <w:tcW w:type="dxa" w:w="10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Vega</w:t>
            </w:r>
          </w:p>
        </w:tc>
        <w:tc>
          <w:tcPr>
            <w:tcW w:type="dxa" w:w="15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∂V/∂σ</w:t>
            </w:r>
          </w:p>
        </w:tc>
        <w:tc>
          <w:tcPr>
            <w:tcW w:type="dxa" w:w="28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隐含波动率变化会怎样？</w:t>
            </w:r>
          </w:p>
        </w:tc>
        <w:tc>
          <w:tcPr>
            <w:tcW w:type="dxa" w:w="18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货币/vol point</w:t>
            </w:r>
          </w:p>
        </w:tc>
        <w:tc>
          <w:tcPr>
            <w:tcW w:type="dxa" w:w="20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同标的不同期限/执行价期权</w:t>
            </w:r>
          </w:p>
        </w:tc>
      </w:tr>
      <w:tr>
        <w:tc>
          <w:tcPr>
            <w:tcW w:type="dxa" w:w="10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Theta</w:t>
            </w:r>
          </w:p>
        </w:tc>
        <w:tc>
          <w:tcPr>
            <w:tcW w:type="dxa" w:w="15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∂V/∂t（按约定）</w:t>
            </w:r>
          </w:p>
        </w:tc>
        <w:tc>
          <w:tcPr>
            <w:tcW w:type="dxa" w:w="28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时间流逝会怎样？</w:t>
            </w:r>
          </w:p>
        </w:tc>
        <w:tc>
          <w:tcPr>
            <w:tcW w:type="dxa" w:w="18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货币/天</w:t>
            </w:r>
          </w:p>
        </w:tc>
        <w:tc>
          <w:tcPr>
            <w:tcW w:type="dxa" w:w="20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持仓期限、gamma carry</w:t>
            </w:r>
          </w:p>
        </w:tc>
      </w:tr>
      <w:tr>
        <w:tc>
          <w:tcPr>
            <w:tcW w:type="dxa" w:w="10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Rho</w:t>
            </w:r>
          </w:p>
        </w:tc>
        <w:tc>
          <w:tcPr>
            <w:tcW w:type="dxa" w:w="15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∂V/∂r</w:t>
            </w:r>
          </w:p>
        </w:tc>
        <w:tc>
          <w:tcPr>
            <w:tcW w:type="dxa" w:w="28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利率变化会怎样？</w:t>
            </w:r>
          </w:p>
        </w:tc>
        <w:tc>
          <w:tcPr>
            <w:tcW w:type="dxa" w:w="18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货币/bp 或单位利率</w:t>
            </w:r>
          </w:p>
        </w:tc>
        <w:tc>
          <w:tcPr>
            <w:tcW w:type="dxa" w:w="20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债券、IRS、曲线节点对冲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2.2 Delta：方向性风险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Delta = ∂V/∂S      与      ΔV_Delta ≈ Delta × ΔS</w:t>
      </w:r>
    </w:p>
    <w:p>
      <w:r>
        <w:rPr>
          <w:rFonts w:ascii="Calibri" w:hAnsi="Calibri" w:eastAsia="Microsoft YaHei"/>
        </w:rPr>
        <w:t>若一张 call 的 Delta 为 0.60，持有 1,000 张（忽略合约乘数）相当于 long 600 单位标的。卖出约 600 单位标的可使当前点附近的净 Delta 约为零；但标的一旦变化，Gamma 会使 Delta 再次偏离零。</w:t>
      </w:r>
    </w:p>
    <w:p>
      <w:pPr>
        <w:spacing w:before="100" w:after="160" w:line="288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关键直觉  </w:t>
      </w:r>
      <w:r>
        <w:rPr>
          <w:rFonts w:ascii="Calibri" w:hAnsi="Calibri" w:eastAsia="Microsoft YaHei"/>
          <w:color w:val="1F2933"/>
        </w:rPr>
        <w:t>Delta-neutral 只消除了当前位置附近的一阶方向风险，不代表 risk-free。组合仍可能暴露于 Gamma、Vega、Theta、basis、jump 与 liquidity risk。</w:t>
      </w:r>
    </w:p>
    <w:p>
      <w:pPr>
        <w:pStyle w:val="Heading2"/>
      </w:pPr>
      <w:r>
        <w:t>2.3 Gamma：非线性与动态对冲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Gamma = ∂²V/∂S² = ∂Delta/∂S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若 Delta = 0.50，Gamma = 0.08，ΔS = 5，则 ΔV ≈ 0.50×5 + ½×0.08×5² = 3.50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060"/>
        <w:gridCol w:w="1400"/>
        <w:gridCol w:w="1900"/>
        <w:gridCol w:w="1900"/>
        <w:gridCol w:w="2100"/>
      </w:tblGrid>
      <w:tr>
        <w:trPr>
          <w:tblHeader w:val="true"/>
        </w:trPr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持仓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典型符号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市场上行时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市场下行时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风险直觉</w:t>
            </w:r>
          </w:p>
        </w:tc>
      </w:tr>
      <w:tr>
        <w:tc>
          <w:tcPr>
            <w:tcW w:type="dxa" w:w="2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Long vanilla option</w:t>
            </w:r>
          </w:p>
        </w:tc>
        <w:tc>
          <w:tcPr>
            <w:tcW w:type="dxa" w:w="1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Gamma &gt; 0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 更正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 更负/更小</w:t>
            </w:r>
          </w:p>
        </w:tc>
        <w:tc>
          <w:tcPr>
            <w:tcW w:type="dxa" w:w="2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凸性有利，但通常支付 Theta</w:t>
            </w:r>
          </w:p>
        </w:tc>
      </w:tr>
      <w:tr>
        <w:tc>
          <w:tcPr>
            <w:tcW w:type="dxa" w:w="2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Short vanilla option</w:t>
            </w:r>
          </w:p>
        </w:tc>
        <w:tc>
          <w:tcPr>
            <w:tcW w:type="dxa" w:w="1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Gamma &lt; 0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被迫买入对冲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被迫卖出对冲</w:t>
            </w:r>
          </w:p>
        </w:tc>
        <w:tc>
          <w:tcPr>
            <w:tcW w:type="dxa" w:w="2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可能形成“涨了买、跌了卖”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边界条件  </w:t>
      </w:r>
      <w:r>
        <w:rPr>
          <w:rFonts w:ascii="Calibri" w:hAnsi="Calibri" w:eastAsia="Microsoft YaHei"/>
          <w:color w:val="1F2933"/>
        </w:rPr>
        <w:t>“买入期权 = long Gamma/long Vega”是普通香草期权在常规条件下的良好直觉，不应无条件推广到 path-dependent、barrier、digital 或含复杂模型机制的 exotic。</w:t>
      </w:r>
    </w:p>
    <w:p>
      <w:pPr>
        <w:pStyle w:val="Heading2"/>
      </w:pPr>
      <w:r>
        <w:t>2.4 Vega：波动率风险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Vega = ∂V/∂σ</w:t>
      </w:r>
    </w:p>
    <w:p>
      <w:r>
        <w:rPr>
          <w:rFonts w:ascii="Calibri" w:hAnsi="Calibri" w:eastAsia="Microsoft YaHei"/>
        </w:rPr>
        <w:t>一个 Delta-neutral 组合仍可能有巨大 Vega。波动率上升通常有利于 long-vega 头寸，但“总 Vega”会掩盖 expiry、tenor、strike、smile/skew 和 surface-basis 风险，因此应报告节点化的 volatility risk matrix。</w:t>
      </w:r>
    </w:p>
    <w:p>
      <w:pPr>
        <w:spacing w:before="100" w:after="160" w:line="288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单位警示  </w:t>
      </w:r>
      <w:r>
        <w:rPr>
          <w:rFonts w:ascii="Calibri" w:hAnsi="Calibri" w:eastAsia="Microsoft YaHei"/>
          <w:color w:val="1F2933"/>
        </w:rPr>
        <w:t>交易台常把 Vega 报为“每 1 vol point 的货币变化”；模型导数可能按 σ 变化 1.00 报告。二者相差 100 倍，进入 FRTB vega 计算前尤其必须统一。</w:t>
      </w:r>
    </w:p>
    <w:p>
      <w:pPr>
        <w:pStyle w:val="Heading2"/>
      </w:pPr>
      <w:r>
        <w:t>2.5 Theta 与 Gamma–Theta trade-off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Theta = ∂V/∂t；若使用剩余期限 τ，则市场惯例常写 Theta = −∂V/∂τ</w:t>
      </w:r>
    </w:p>
    <w:p>
      <w:r>
        <w:rPr>
          <w:rFonts w:ascii="Calibri" w:hAnsi="Calibri" w:eastAsia="Microsoft YaHei"/>
        </w:rPr>
        <w:t>Long option 常表现为 positive Gamma、negative Theta：每天支付时间价值以持有凸性；short option 则常收取 Theta，但承担负 Gamma 与尾部风险。Theta 的符号取决于使用 calendar time 还是 time-to-maturity，讲义与风险系统必须注明约定。</w:t>
      </w:r>
    </w:p>
    <w:p>
      <w:pPr>
        <w:pStyle w:val="Heading2"/>
      </w:pPr>
      <w:r>
        <w:t>2.6 Rho、DV01 与曲线风险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Rho = ∂V/∂r；      DV01_t ≈ V(r_t + 1bp) − V(r_t)</w:t>
      </w:r>
    </w:p>
    <w:p>
      <w:r>
        <w:rPr>
          <w:rFonts w:ascii="Calibri" w:hAnsi="Calibri" w:eastAsia="Microsoft YaHei"/>
        </w:rPr>
        <w:t>对短期限股票期权，Rho 可能次要；对 IRS、swaption、bond option、cap/floor 与 callable bond，单一 Rho 不够。风险应拆到曲线、期限节点、基差和币种。DV01 的符号在市场上有两种惯例：有的定义为利率上升 1 bp 的价值变化，有的定义为利率下降 1 bp 的盈利，必须在输入聚合前统一。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Tenor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Curve Delta / DV01（示意）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1Y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−20k CNY/bp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1Y 节点上移 1 bp，价值约下降 20k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5Y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+120k CNY/bp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5Y 节点上移 1 bp，价值约上升 120k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10Y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+300k CNY/bp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期限集中度较高，需要单独限额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30Y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−80k CNY/bp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与中端曲线存在对冲，但并非同一风险因子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2.7 综合数值例子：Delta–Gamma–Vega–Theta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800"/>
        <w:gridCol w:w="4280"/>
        <w:gridCol w:w="32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数值与单位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当日变化</w:t>
            </w:r>
          </w:p>
        </w:tc>
      </w:tr>
      <w:tr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</w:t>
            </w:r>
          </w:p>
        </w:tc>
        <w:tc>
          <w:tcPr>
            <w:tcW w:type="dxa" w:w="4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+50,000 CNY / 标的价格 1 CNY</w:t>
            </w:r>
          </w:p>
        </w:tc>
        <w:tc>
          <w:tcPr>
            <w:tcW w:type="dxa" w:w="3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ΔS = −2.00</w:t>
            </w:r>
          </w:p>
        </w:tc>
      </w:tr>
      <w:tr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Gamma</w:t>
            </w:r>
          </w:p>
        </w:tc>
        <w:tc>
          <w:tcPr>
            <w:tcW w:type="dxa" w:w="4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+8,000 CNY / CNY²</w:t>
            </w:r>
          </w:p>
        </w:tc>
        <w:tc>
          <w:tcPr>
            <w:tcW w:type="dxa" w:w="3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同上</w:t>
            </w:r>
          </w:p>
        </w:tc>
      </w:tr>
      <w:tr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</w:t>
            </w:r>
          </w:p>
        </w:tc>
        <w:tc>
          <w:tcPr>
            <w:tcW w:type="dxa" w:w="4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+32,000 CNY / vol point</w:t>
            </w:r>
          </w:p>
        </w:tc>
        <w:tc>
          <w:tcPr>
            <w:tcW w:type="dxa" w:w="3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Δσ = +2.5 vol points</w:t>
            </w:r>
          </w:p>
        </w:tc>
      </w:tr>
      <w:tr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Theta</w:t>
            </w:r>
          </w:p>
        </w:tc>
        <w:tc>
          <w:tcPr>
            <w:tcW w:type="dxa" w:w="4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−12,000 CNY / day</w:t>
            </w:r>
          </w:p>
        </w:tc>
        <w:tc>
          <w:tcPr>
            <w:tcW w:type="dxa" w:w="3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Δt = 1 day</w:t>
            </w:r>
          </w:p>
        </w:tc>
      </w:tr>
    </w:tbl>
    <w:p>
      <w:pPr>
        <w:spacing w:after="40" w:before="0"/>
      </w:pP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Delta P&amp;L = 50,000×(−2) = −100,000 CNY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Gamma P&amp;L = ½×8,000×(−2)² = +16,000 CNY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Vega P&amp;L = 32,000×2.5 = +80,000 CNY；Theta P&amp;L = −12,000 CNY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Approximate P&amp;L = −100,000 + 16,000 + 80,000 − 12,000 = −16,000 CNY</w:t>
      </w: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让学员先只用 Delta 得到 −100,000，再逐项加入 Gamma、Vega、Theta。这样可直观看到“方向亏损、凸性缓冲、波动率盈利和时间损耗”如何共同形成最终 P&amp;L。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Delta 管方向，Gamma 管方向风险如何变化，Vega 管波动率，Theta 管时间，Rho 管利率；Delta-neutral 不等于无风险；真实风险应按期限、曲线、执行价和波动率节点展开。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3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高阶 Greeks、风险矩阵与组合管理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理解 Vanna、Volga/Vomma、Charm 是“敏感度的敏感度”。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解释 exact risk-factor netting 与 related-factor hedging 的差异。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把 5Y×5Y swaption 的风险拆到 curve nodes 与 expiry × tenor volatility grid。</w:t>
      </w:r>
    </w:p>
    <w:p>
      <w:pPr>
        <w:pStyle w:val="Heading2"/>
      </w:pPr>
      <w:r>
        <w:t>3.1 二阶与交叉 Greeks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300"/>
        <w:gridCol w:w="1900"/>
        <w:gridCol w:w="2340"/>
        <w:gridCol w:w="2200"/>
        <w:gridCol w:w="162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定义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直觉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典型用途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与 FRTB 的关系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Vanna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∂²V/(∂S∂σ)</w:t>
            </w:r>
          </w:p>
        </w:tc>
        <w:tc>
          <w:tcPr>
            <w:tcW w:type="dxa" w:w="23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σ 变化后 Delta 如何变化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FX/equity smile、spot-vol 联动</w:t>
            </w:r>
          </w:p>
        </w:tc>
        <w:tc>
          <w:tcPr>
            <w:tcW w:type="dxa" w:w="1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无独立 SBM 类别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Volga / Vomma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∂²V/∂σ²</w:t>
            </w:r>
          </w:p>
        </w:tc>
        <w:tc>
          <w:tcPr>
            <w:tcW w:type="dxa" w:w="23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σ 变化后 Vega 如何变化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vol convexity、长期期权</w:t>
            </w:r>
          </w:p>
        </w:tc>
        <w:tc>
          <w:tcPr>
            <w:tcW w:type="dxa" w:w="1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不是 FRTB curvature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Charm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∂Delta/∂t</w:t>
            </w:r>
          </w:p>
        </w:tc>
        <w:tc>
          <w:tcPr>
            <w:tcW w:type="dxa" w:w="23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时间流逝后 Delta 如何变化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临近到期、周末/假期风险</w:t>
            </w:r>
          </w:p>
        </w:tc>
        <w:tc>
          <w:tcPr>
            <w:tcW w:type="dxa" w:w="1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无独立 SBM 类别</w:t>
            </w:r>
          </w:p>
        </w:tc>
      </w:tr>
    </w:tbl>
    <w:p>
      <w:pPr>
        <w:spacing w:after="40" w:before="0"/>
      </w:pP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Vanna = ∂²V/(∂S∂σ)；   Volga = ∂²V/∂σ²；   Charm = ∂Delta/∂t</w:t>
      </w: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映射边界  </w:t>
      </w:r>
      <w:r>
        <w:rPr>
          <w:rFonts w:ascii="Calibri" w:hAnsi="Calibri" w:eastAsia="Microsoft YaHei"/>
          <w:color w:val="1F2933"/>
        </w:rPr>
        <w:t>FRTB SA 没有 Vanna、Volga、Charm 的独立 capital line。它们可能通过模型重估、风险因子映射或 residual-risk 判断间接影响结果，但不能宣称被某一 SBM 类别一一完整覆盖。</w:t>
      </w:r>
    </w:p>
    <w:p>
      <w:pPr>
        <w:pStyle w:val="Heading2"/>
      </w:pPr>
      <w:r>
        <w:t>3.2 组合加总与风险矩阵</w:t>
      </w:r>
    </w:p>
    <w:p>
      <w:r>
        <w:rPr>
          <w:rFonts w:ascii="Calibri" w:hAnsi="Calibri" w:eastAsia="Microsoft YaHei"/>
        </w:rPr>
        <w:t>在定义、单位和 market-data snapshot 一致时，许多 Greeks 可以在交易间加总。但真正的 netting 只能发生在完全相同的风险因子上。两个相邻期限或两个相关股票可以获得对冲效应，却不是同一因子，不能在进入相关性聚合前直接相减。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260"/>
        <w:gridCol w:w="3400"/>
        <w:gridCol w:w="3700"/>
      </w:tblGrid>
      <w:tr>
        <w:trPr>
          <w:tblHeader w:val="true"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允许的处理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例子</w:t>
            </w:r>
          </w:p>
        </w:tc>
      </w:tr>
      <w:tr>
        <w:tc>
          <w:tcPr>
            <w:tcW w:type="dxa" w:w="2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Exact same risk factor</w:t>
            </w:r>
          </w:p>
        </w:tc>
        <w:tc>
          <w:tcPr>
            <w:tcW w:type="dxa" w:w="3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先做代数净额（net sensitivity）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同一 5Y EUR curve node 的 long/short DV01</w:t>
            </w:r>
          </w:p>
        </w:tc>
      </w:tr>
      <w:tr>
        <w:tc>
          <w:tcPr>
            <w:tcW w:type="dxa" w:w="2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Same bucket, different factors</w:t>
            </w:r>
          </w:p>
        </w:tc>
        <w:tc>
          <w:tcPr>
            <w:tcW w:type="dxa" w:w="3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用 prescribed within-bucket correlation 聚合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同一币种的 2Y 与 10Y GIRR nodes</w:t>
            </w:r>
          </w:p>
        </w:tc>
      </w:tr>
      <w:tr>
        <w:tc>
          <w:tcPr>
            <w:tcW w:type="dxa" w:w="2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Different buckets</w:t>
            </w:r>
          </w:p>
        </w:tc>
        <w:tc>
          <w:tcPr>
            <w:tcW w:type="dxa" w:w="3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用 cross-bucket correlation 聚合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不同币种 GIRR buckets 或不同行业 equity buckets</w:t>
            </w:r>
          </w:p>
        </w:tc>
      </w:tr>
      <w:tr>
        <w:tc>
          <w:tcPr>
            <w:tcW w:type="dxa" w:w="2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Different risk classes</w:t>
            </w:r>
          </w:p>
        </w:tc>
        <w:tc>
          <w:tcPr>
            <w:tcW w:type="dxa" w:w="3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SBM 最终简单加总，不给跨类分散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GIRR 与 Equity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3.3 5Y×5Y payer swaption 案例</w:t>
      </w:r>
    </w:p>
    <w:p>
      <w:r>
        <w:rPr>
          <w:rFonts w:ascii="Calibri" w:hAnsi="Calibri" w:eastAsia="Microsoft YaHei"/>
        </w:rPr>
        <w:t>5Y×5Y payer swaption 约表示 5 年后可进入一笔 5 年期 payer swap。其价值同时依赖收益率曲线、forward swap rate、隐含波动率曲面和时间，因此风险报表应至少包含下列维度：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Curve Delta / DV01：分到多个利率曲线与监管期限节点，而不是一个 Rho。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Gamma / local convexity：swap rate 大幅变化时，一阶对冲会漂移。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Vega：按 option expiry × underlying residual maturity 映射，并可能分散到相邻节点。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Theta/Charm：随着行权日临近，Delta、Vega 与 bucket mapping 都会演化。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Basis/Smile：不同曲线、normal/lognormal vol、strike 与 surface convention 可能形成 residual P&amp;L。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3000"/>
        <w:gridCol w:w="1800"/>
        <w:gridCol w:w="2760"/>
        <w:gridCol w:w="18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Expiry / Underlying tenor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1Y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5Y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10Y</w:t>
            </w:r>
          </w:p>
        </w:tc>
      </w:tr>
      <w:tr>
        <w:tc>
          <w:tcPr>
            <w:tcW w:type="dxa" w:w="3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1Y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node</w:t>
            </w:r>
          </w:p>
        </w:tc>
        <w:tc>
          <w:tcPr>
            <w:tcW w:type="dxa" w:w="276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node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node</w:t>
            </w:r>
          </w:p>
        </w:tc>
      </w:tr>
      <w:tr>
        <w:tc>
          <w:tcPr>
            <w:tcW w:type="dxa" w:w="3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5Y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node</w:t>
            </w:r>
          </w:p>
        </w:tc>
        <w:tc>
          <w:tcPr>
            <w:tcW w:type="dxa" w:w="276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5Y×5Y 主要节点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node</w:t>
            </w:r>
          </w:p>
        </w:tc>
      </w:tr>
      <w:tr>
        <w:tc>
          <w:tcPr>
            <w:tcW w:type="dxa" w:w="3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10Y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node</w:t>
            </w:r>
          </w:p>
        </w:tc>
        <w:tc>
          <w:tcPr>
            <w:tcW w:type="dxa" w:w="276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node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node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先展示一个“总 Vega = 0”的组合，再把它拆成 1Y、5Y、10Y expiry nodes。若节点上有巨大正负头寸，学员会立即理解为什么总数归零并不等于风险消失。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高阶 Greeks 描述局部敏感度本身如何变化；精确同因子净额与相关因子对冲是两种不同处理；利率期权应以曲线节点和 expiry × tenor 波动率矩阵管理。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4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P&amp;L Attribution：把风险语言变成损益解释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用 Greeks 近似解释 daily P&amp;L，并计算 residual。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识别高阶项、交易流、市场数据与模型变化等 residual 来源。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区分日常 P&amp;L Explain 与 FRTB IMA 的 Profit and Loss Attribution（PLA）test。</w:t>
      </w:r>
    </w:p>
    <w:p>
      <w:pPr>
        <w:pStyle w:val="Heading2"/>
      </w:pPr>
      <w:r>
        <w:t>4.1 基本框架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P&amp;L_explained ≈ Σₖ sₖΔxₖ + ½Σₖ Γₖₖ(Δxₖ)² + Σₖ&lt;ₗ ΓₖₗΔxₖΔxₗ + Theta·Δt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P&amp;L_actual = P&amp;L_explained + Residual</w:t>
      </w:r>
    </w:p>
    <w:p>
      <w:r>
        <w:rPr>
          <w:rFonts w:ascii="Calibri" w:hAnsi="Calibri" w:eastAsia="Microsoft YaHei"/>
        </w:rPr>
        <w:t>P&amp;L Attribution 回答的是“今天为什么赚或亏”。好的 explain 能把损益分解到可行动的风险来源；residual 则是诊断入口，而不是自动等同于模型错误。</w:t>
      </w:r>
    </w:p>
    <w:p>
      <w:pPr>
        <w:pStyle w:val="Heading2"/>
      </w:pPr>
      <w:r>
        <w:t>4.2 数值例子：从 Greeks 到 residual</w:t>
      </w:r>
    </w:p>
    <w:p>
      <w:r>
        <w:rPr>
          <w:rFonts w:ascii="Calibri" w:hAnsi="Calibri" w:eastAsia="Microsoft YaHei"/>
        </w:rPr>
        <w:t>沿用第 2 章组合，并加入 Rho、Vanna 和 Volga。利率下降 5 bp，Rho = −1,500 CNY/bp；Vanna = 400 CNY/(CNY·vol point)；Volga = 384 CNY/(vol point)²。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180"/>
        <w:gridCol w:w="4380"/>
        <w:gridCol w:w="2800"/>
      </w:tblGrid>
      <w:tr>
        <w:trPr>
          <w:tblHeader w:val="true"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解释项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计算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P&amp;L（CNY）</w:t>
            </w:r>
          </w:p>
        </w:tc>
      </w:tr>
      <w:tr>
        <w:tc>
          <w:tcPr>
            <w:tcW w:type="dxa" w:w="2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</w:t>
            </w:r>
          </w:p>
        </w:tc>
        <w:tc>
          <w:tcPr>
            <w:tcW w:type="dxa" w:w="4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50,000 × (−2)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−100,000</w:t>
            </w:r>
          </w:p>
        </w:tc>
      </w:tr>
      <w:tr>
        <w:tc>
          <w:tcPr>
            <w:tcW w:type="dxa" w:w="2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Gamma</w:t>
            </w:r>
          </w:p>
        </w:tc>
        <w:tc>
          <w:tcPr>
            <w:tcW w:type="dxa" w:w="4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½ × 8,000 × (−2)²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+16,000</w:t>
            </w:r>
          </w:p>
        </w:tc>
      </w:tr>
      <w:tr>
        <w:tc>
          <w:tcPr>
            <w:tcW w:type="dxa" w:w="2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</w:t>
            </w:r>
          </w:p>
        </w:tc>
        <w:tc>
          <w:tcPr>
            <w:tcW w:type="dxa" w:w="4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32,000 × 2.5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+80,000</w:t>
            </w:r>
          </w:p>
        </w:tc>
      </w:tr>
      <w:tr>
        <w:tc>
          <w:tcPr>
            <w:tcW w:type="dxa" w:w="2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Theta</w:t>
            </w:r>
          </w:p>
        </w:tc>
        <w:tc>
          <w:tcPr>
            <w:tcW w:type="dxa" w:w="4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−12,000 × 1 day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−12,000</w:t>
            </w:r>
          </w:p>
        </w:tc>
      </w:tr>
      <w:tr>
        <w:tc>
          <w:tcPr>
            <w:tcW w:type="dxa" w:w="2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Rho</w:t>
            </w:r>
          </w:p>
        </w:tc>
        <w:tc>
          <w:tcPr>
            <w:tcW w:type="dxa" w:w="4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−1,500 × (−5 bp)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+7,500</w:t>
            </w:r>
          </w:p>
        </w:tc>
      </w:tr>
      <w:tr>
        <w:tc>
          <w:tcPr>
            <w:tcW w:type="dxa" w:w="2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Vanna</w:t>
            </w:r>
          </w:p>
        </w:tc>
        <w:tc>
          <w:tcPr>
            <w:tcW w:type="dxa" w:w="4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400 × (−2) × 2.5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−2,000</w:t>
            </w:r>
          </w:p>
        </w:tc>
      </w:tr>
      <w:tr>
        <w:tc>
          <w:tcPr>
            <w:tcW w:type="dxa" w:w="2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Volga</w:t>
            </w:r>
          </w:p>
        </w:tc>
        <w:tc>
          <w:tcPr>
            <w:tcW w:type="dxa" w:w="4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½ × 384 × 2.5²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+1,200</w:t>
            </w:r>
          </w:p>
        </w:tc>
      </w:tr>
      <w:tr>
        <w:tc>
          <w:tcPr>
            <w:tcW w:type="dxa" w:w="2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Explained total</w:t>
            </w:r>
          </w:p>
        </w:tc>
        <w:tc>
          <w:tcPr>
            <w:tcW w:type="dxa" w:w="4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以上各项合计</w:t>
            </w:r>
          </w:p>
        </w:tc>
        <w:tc>
          <w:tcPr>
            <w:tcW w:type="dxa" w:w="2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−9,300</w:t>
            </w:r>
          </w:p>
        </w:tc>
      </w:tr>
    </w:tbl>
    <w:p>
      <w:pPr>
        <w:spacing w:after="40" w:before="0"/>
      </w:pP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若 full revaluation P&amp;L = −10,100，则 Residual = −10,100 − (−9,300) = −800 CNY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Residual ratio = |−800| / Σⱼ|P&amp;Lⱼ| ≈ 0.37%</w:t>
      </w: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账面 P&amp;L 不是同一口径  </w:t>
      </w:r>
      <w:r>
        <w:rPr>
          <w:rFonts w:ascii="Calibri" w:hAnsi="Calibri" w:eastAsia="Microsoft YaHei"/>
          <w:color w:val="1F2933"/>
        </w:rPr>
        <w:t>若当日还有日内交易 +18,000、费用 −1,500、资金成本 −4,000，则管理口径账面 P&amp;L = −10,100 + 18,000 − 1,500 − 4,000 = +2,400。市场风险 explain 与账面总损益必须先做 scope bridge。</w:t>
      </w:r>
    </w:p>
    <w:p>
      <w:pPr>
        <w:pStyle w:val="Heading2"/>
      </w:pPr>
      <w:r>
        <w:t>4.3 Residual 的诊断树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080"/>
        <w:gridCol w:w="3300"/>
        <w:gridCol w:w="3980"/>
      </w:tblGrid>
      <w:tr>
        <w:trPr>
          <w:tblHeader w:val="true"/>
        </w:trP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典型表现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建议检查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高阶 / 交叉项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大行情或 smile move 时残差扩大</w:t>
            </w:r>
          </w:p>
        </w:tc>
        <w:tc>
          <w:tcPr>
            <w:tcW w:type="dxa" w:w="39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加入 Vanna/Volga/cross-gamma；改用 full revaluation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波动率曲面重构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ATM 解释好、wing 残差大</w:t>
            </w:r>
          </w:p>
        </w:tc>
        <w:tc>
          <w:tcPr>
            <w:tcW w:type="dxa" w:w="39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检查 sticky strike/delta、插值和 surface snapshot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Fixing / cash flow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到期、定盘或付息日突然出现</w:t>
            </w:r>
          </w:p>
        </w:tc>
        <w:tc>
          <w:tcPr>
            <w:tcW w:type="dxa" w:w="39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桥接 carry、realised cash flow 和 lifecycle event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新交易 / 日内变更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账面 P&amp;L 与静态持仓 explain 不匹配</w:t>
            </w:r>
          </w:p>
        </w:tc>
        <w:tc>
          <w:tcPr>
            <w:tcW w:type="dxa" w:w="39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分离 new/amended/cancelled trades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市场数据 / 模型变化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广泛同向或模型切换日出现</w:t>
            </w:r>
          </w:p>
        </w:tc>
        <w:tc>
          <w:tcPr>
            <w:tcW w:type="dxa" w:w="39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版本、校准、reserve 与 model-change attribution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数值噪声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小 bump 时符号跳动</w:t>
            </w:r>
          </w:p>
        </w:tc>
        <w:tc>
          <w:tcPr>
            <w:tcW w:type="dxa" w:w="39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bump stability、容差、缓存和并行定价一致性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FRTB 术语边界  </w:t>
      </w:r>
      <w:r>
        <w:rPr>
          <w:rFonts w:ascii="Calibri" w:hAnsi="Calibri" w:eastAsia="Microsoft YaHei"/>
          <w:color w:val="1F2933"/>
        </w:rPr>
        <w:t>日常 Greek P&amp;L Explain 与 FRTB IMA 的 PLA test 相关但不是同一件事。监管 PLA 比较交易台的 risk-theoretical P&amp;L（RTPL）与 hypothetical P&amp;L（HPL），用于评估内部模型资格；它不是把 Greeks 逐项相加。</w:t>
      </w: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让学员对 −800 residual 给出至少三种可能原因，并要求他们先问清楚 P&amp;L scope、持仓时点和 market-data snapshot，再讨论模型好坏。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P&amp;L Attribution 解释已发生损益，不预测未来最大损失；Residual 是模型、数据、交易流和高阶风险的诊断信号；管理 P&amp;L Explain 与监管 PLA test 必须严格区分。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5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VaR、Expected Shortfall 与 Stress Test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比较 Greeks、VaR、ES 和 Stress Test 回答的不同问题。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理解 VaR 与 ES 的基本定义及常见误读。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说明 FRTB IMA 的 ES/PLA 与 FRTB SA/SBM 的关系边界。</w:t>
      </w:r>
    </w:p>
    <w:p>
      <w:pPr>
        <w:pStyle w:val="Heading2"/>
      </w:pPr>
      <w:r>
        <w:t>5.1 四种风险视角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250"/>
        <w:gridCol w:w="2300"/>
        <w:gridCol w:w="2380"/>
        <w:gridCol w:w="1740"/>
        <w:gridCol w:w="169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回答的问题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主要输入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优势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局限</w:t>
            </w:r>
          </w:p>
        </w:tc>
      </w:tr>
      <w:tr>
        <w:tc>
          <w:tcPr>
            <w:tcW w:type="dxa" w:w="12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Greeks</w:t>
            </w:r>
          </w:p>
        </w:tc>
        <w:tc>
          <w:tcPr>
            <w:tcW w:type="dxa" w:w="2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因子小幅变化会怎样？</w:t>
            </w:r>
          </w:p>
        </w:tc>
        <w:tc>
          <w:tcPr>
            <w:tcW w:type="dxa" w:w="2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定价导数 / finite differences</w:t>
            </w:r>
          </w:p>
        </w:tc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透明、可对冲、可限额</w:t>
            </w:r>
          </w:p>
        </w:tc>
        <w:tc>
          <w:tcPr>
            <w:tcW w:type="dxa" w:w="1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局部；大冲击时可能失真</w:t>
            </w:r>
          </w:p>
        </w:tc>
      </w:tr>
      <w:tr>
        <w:tc>
          <w:tcPr>
            <w:tcW w:type="dxa" w:w="12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VaR</w:t>
            </w:r>
          </w:p>
        </w:tc>
        <w:tc>
          <w:tcPr>
            <w:tcW w:type="dxa" w:w="2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给定分位数的损失门槛？</w:t>
            </w:r>
          </w:p>
        </w:tc>
        <w:tc>
          <w:tcPr>
            <w:tcW w:type="dxa" w:w="2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损益分布、持有期</w:t>
            </w:r>
          </w:p>
        </w:tc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组合化、易沟通</w:t>
            </w:r>
          </w:p>
        </w:tc>
        <w:tc>
          <w:tcPr>
            <w:tcW w:type="dxa" w:w="1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不是最大损失；尾部外信息有限</w:t>
            </w:r>
          </w:p>
        </w:tc>
      </w:tr>
      <w:tr>
        <w:tc>
          <w:tcPr>
            <w:tcW w:type="dxa" w:w="12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ES</w:t>
            </w:r>
          </w:p>
        </w:tc>
        <w:tc>
          <w:tcPr>
            <w:tcW w:type="dxa" w:w="2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超过分位数后平均损失？</w:t>
            </w:r>
          </w:p>
        </w:tc>
        <w:tc>
          <w:tcPr>
            <w:tcW w:type="dxa" w:w="2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损益分布、尾部</w:t>
            </w:r>
          </w:p>
        </w:tc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更关注尾部严重程度</w:t>
            </w:r>
          </w:p>
        </w:tc>
        <w:tc>
          <w:tcPr>
            <w:tcW w:type="dxa" w:w="1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模型/样本敏感；仍非最坏损失</w:t>
            </w:r>
          </w:p>
        </w:tc>
      </w:tr>
      <w:tr>
        <w:tc>
          <w:tcPr>
            <w:tcW w:type="dxa" w:w="12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Stress</w:t>
            </w:r>
          </w:p>
        </w:tc>
        <w:tc>
          <w:tcPr>
            <w:tcW w:type="dxa" w:w="2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指定极端情景会亏多少？</w:t>
            </w:r>
          </w:p>
        </w:tc>
        <w:tc>
          <w:tcPr>
            <w:tcW w:type="dxa" w:w="23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历史/假设冲击、全重估</w:t>
            </w:r>
          </w:p>
        </w:tc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可检验结构性和非线性风险</w:t>
            </w:r>
          </w:p>
        </w:tc>
        <w:tc>
          <w:tcPr>
            <w:tcW w:type="dxa" w:w="1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情景选择主观且无必然概率</w:t>
            </w:r>
          </w:p>
        </w:tc>
      </w:tr>
    </w:tbl>
    <w:p>
      <w:pPr>
        <w:spacing w:after="40" w:before="0"/>
      </w:pP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VaR_q(L) = inf{ℓ : P(L ≤ ℓ) ≥ q}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ES_q(L) = [1/(1−q)] ∫_q^1 VaR_u(L) du</w:t>
      </w:r>
    </w:p>
    <w:p>
      <w:r>
        <w:rPr>
          <w:rFonts w:ascii="Calibri" w:hAnsi="Calibri" w:eastAsia="Microsoft YaHei"/>
        </w:rPr>
        <w:t>若十个等概率损失为 0、0、1、1、2、2、3、4、8、15，则一种简单经验口径下 VaR_80% = 4，而最差 20%（8 与 15）的平均损失为 ES_80% = 11.5。例子说明 VaR 只给出门槛，ES 进一步描述门槛之后的平均严重程度。</w:t>
      </w:r>
    </w:p>
    <w:p>
      <w:pPr>
        <w:pStyle w:val="Heading2"/>
      </w:pPr>
      <w:r>
        <w:t>5.2 Greeks 如何支持 VaR/ES 与 Stress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Delta-normal VaR 使用一阶 sensitivities 近似组合损益，速度快但忽略非线性。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Delta-gamma approximation 加入二阶项，但对 discontinuity、large move 和 volatility surface risk 仍可能不足。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Historical simulation / Monte Carlo 可使用 full revaluation，代价是计算量和模型依赖。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Stress Test 通常直接施加极端因子冲击并全量重估，是识别 short-gamma、gap 与 basis risk 的关键补充。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两条路径，不是单线流程  </w:t>
      </w:r>
      <w:r>
        <w:rPr>
          <w:rFonts w:ascii="Calibri" w:hAnsi="Calibri" w:eastAsia="Microsoft YaHei"/>
          <w:color w:val="1F2933"/>
        </w:rPr>
        <w:t>管理路径：Greeks → limits / P&amp;L explain，并支持 VaR/ES/Stress。监管 SA 路径：prescribed risk factor → sensitivity/curvature → bucket/RW/correlation → SBM。FRTB SA/SBM 不把 VaR、ES 或日常 P&amp;L explain 作为计算输入。</w:t>
      </w: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FRTB 边界  </w:t>
      </w:r>
      <w:r>
        <w:rPr>
          <w:rFonts w:ascii="Calibri" w:hAnsi="Calibri" w:eastAsia="Microsoft YaHei"/>
          <w:color w:val="1F2933"/>
        </w:rPr>
        <w:t>FRTB Internal Models Approach 使用 Expected Shortfall，并通过 backtesting 与 PLA 等条件判断交易台资格；FRTB Standardised Approach 则使用标准化 sensitivities、curvature、DRC 和 RRAO。不要把 IMA 的 ES/PLA 写进 SBM 公式。</w:t>
      </w: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用同一 short option 头寸分别提问：小幅 spot 变化看哪个指标？99% 分位损失看哪个？波动率跳升并伴随流动性枯竭看哪个？引导学员回答 Greeks、VaR/ES 与 Stress 的互补关系。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Greeks 是局部风险语言，VaR/ES 是统计组合风险，Stress 是极端情景风险；VaR 和 ES 都不是绝对最坏损失；FRTB IMA 的 ES/PLA 与 FRTB SA/SBM 属于不同监管路径。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6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FRTB Standardised Approach 与 SBM 总体架构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说明完整 FRTB SA 由 SBM、DRC 与 RRAO 构成。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列出 SBM 七个 risk classes，并将典型产品映射到 Delta、Vega、Curvature。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使用 Greeks 与 FRTB 风险类别映射表识别一一对应、近似对应和无独立类别的风险。</w:t>
      </w:r>
    </w:p>
    <w:p>
      <w:pPr>
        <w:pStyle w:val="Heading2"/>
      </w:pPr>
      <w:r>
        <w:t>6.1 SA 不等于 SBM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K_SA = K_SBM + K_DRC + K_RRAO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250"/>
        <w:gridCol w:w="2640"/>
        <w:gridCol w:w="2810"/>
        <w:gridCol w:w="26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组成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主要捕捉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典型对象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本讲义覆盖</w:t>
            </w:r>
          </w:p>
        </w:tc>
      </w:tr>
      <w:tr>
        <w:tc>
          <w:tcPr>
            <w:tcW w:type="dxa" w:w="12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SBM</w:t>
            </w:r>
          </w:p>
        </w:tc>
        <w:tc>
          <w:tcPr>
            <w:tcW w:type="dxa" w:w="2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Delta、Vega、Curvature</w:t>
            </w:r>
          </w:p>
        </w:tc>
        <w:tc>
          <w:tcPr>
            <w:tcW w:type="dxa" w:w="28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广泛交易簿市场风险</w:t>
            </w:r>
          </w:p>
        </w:tc>
        <w:tc>
          <w:tcPr>
            <w:tcW w:type="dxa" w:w="26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重点：完整计算链</w:t>
            </w:r>
          </w:p>
        </w:tc>
      </w:tr>
      <w:tr>
        <w:tc>
          <w:tcPr>
            <w:tcW w:type="dxa" w:w="12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DRC</w:t>
            </w:r>
          </w:p>
        </w:tc>
        <w:tc>
          <w:tcPr>
            <w:tcW w:type="dxa" w:w="2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Jump-to-default</w:t>
            </w:r>
          </w:p>
        </w:tc>
        <w:tc>
          <w:tcPr>
            <w:tcW w:type="dxa" w:w="28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债券、信用衍生品、股票等</w:t>
            </w:r>
          </w:p>
        </w:tc>
        <w:tc>
          <w:tcPr>
            <w:tcW w:type="dxa" w:w="26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架构定位，不展开公式</w:t>
            </w:r>
          </w:p>
        </w:tc>
      </w:tr>
      <w:tr>
        <w:tc>
          <w:tcPr>
            <w:tcW w:type="dxa" w:w="12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RRAO</w:t>
            </w:r>
          </w:p>
        </w:tc>
        <w:tc>
          <w:tcPr>
            <w:tcW w:type="dxa" w:w="2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标准因子体系难以充分描述的 residual risks</w:t>
            </w:r>
          </w:p>
        </w:tc>
        <w:tc>
          <w:tcPr>
            <w:tcW w:type="dxa" w:w="28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exotic underlyings / payoff</w:t>
            </w:r>
          </w:p>
        </w:tc>
        <w:tc>
          <w:tcPr>
            <w:tcW w:type="dxa" w:w="26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架构定位与识别提示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最常见误区  </w:t>
      </w:r>
      <w:r>
        <w:rPr>
          <w:rFonts w:ascii="Calibri" w:hAnsi="Calibri" w:eastAsia="Microsoft YaHei"/>
          <w:color w:val="1F2933"/>
        </w:rPr>
        <w:t>把“FRTB SA”直接写成“Delta + Vega + Curvature”。准确说法是：这三项构成 SBM，而完整 SA 还包括 DRC 和 RRAO。</w:t>
      </w:r>
    </w:p>
    <w:p>
      <w:pPr>
        <w:pStyle w:val="Heading2"/>
      </w:pPr>
      <w:r>
        <w:t>6.2 SBM 的七个 risk classes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850"/>
        <w:gridCol w:w="2500"/>
        <w:gridCol w:w="2580"/>
        <w:gridCol w:w="343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序号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Risk class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中文理解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典型风险因子</w:t>
            </w:r>
          </w:p>
        </w:tc>
      </w:tr>
      <w:tr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1</w:t>
            </w:r>
          </w:p>
        </w:tc>
        <w:tc>
          <w:tcPr>
            <w:tcW w:type="dxa" w:w="2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GIRR</w:t>
            </w:r>
          </w:p>
        </w:tc>
        <w:tc>
          <w:tcPr>
            <w:tcW w:type="dxa" w:w="25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一般利率风险</w:t>
            </w:r>
          </w:p>
        </w:tc>
        <w:tc>
          <w:tcPr>
            <w:tcW w:type="dxa" w:w="34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risk-free curves、inflation、cross-currency basis</w:t>
            </w:r>
          </w:p>
        </w:tc>
      </w:tr>
      <w:tr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2</w:t>
            </w:r>
          </w:p>
        </w:tc>
        <w:tc>
          <w:tcPr>
            <w:tcW w:type="dxa" w:w="2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CSR non-securitisation</w:t>
            </w:r>
          </w:p>
        </w:tc>
        <w:tc>
          <w:tcPr>
            <w:tcW w:type="dxa" w:w="25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非证券化信用利差风险</w:t>
            </w:r>
          </w:p>
        </w:tc>
        <w:tc>
          <w:tcPr>
            <w:tcW w:type="dxa" w:w="34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issuer / index spread tenor nodes</w:t>
            </w:r>
          </w:p>
        </w:tc>
      </w:tr>
      <w:tr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3</w:t>
            </w:r>
          </w:p>
        </w:tc>
        <w:tc>
          <w:tcPr>
            <w:tcW w:type="dxa" w:w="2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CSR securitisation non-CTP</w:t>
            </w:r>
          </w:p>
        </w:tc>
        <w:tc>
          <w:tcPr>
            <w:tcW w:type="dxa" w:w="25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非 CTP 证券化信用利差</w:t>
            </w:r>
          </w:p>
        </w:tc>
        <w:tc>
          <w:tcPr>
            <w:tcW w:type="dxa" w:w="34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tranche / sector / credit-quality factors</w:t>
            </w:r>
          </w:p>
        </w:tc>
      </w:tr>
      <w:tr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4</w:t>
            </w:r>
          </w:p>
        </w:tc>
        <w:tc>
          <w:tcPr>
            <w:tcW w:type="dxa" w:w="2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CSR securitisation CTP</w:t>
            </w:r>
          </w:p>
        </w:tc>
        <w:tc>
          <w:tcPr>
            <w:tcW w:type="dxa" w:w="25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相关性交易组合信用利差</w:t>
            </w:r>
          </w:p>
        </w:tc>
        <w:tc>
          <w:tcPr>
            <w:tcW w:type="dxa" w:w="34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CTP names / indices</w:t>
            </w:r>
          </w:p>
        </w:tc>
      </w:tr>
      <w:tr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5</w:t>
            </w:r>
          </w:p>
        </w:tc>
        <w:tc>
          <w:tcPr>
            <w:tcW w:type="dxa" w:w="2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Equity</w:t>
            </w:r>
          </w:p>
        </w:tc>
        <w:tc>
          <w:tcPr>
            <w:tcW w:type="dxa" w:w="25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股票风险</w:t>
            </w:r>
          </w:p>
        </w:tc>
        <w:tc>
          <w:tcPr>
            <w:tcW w:type="dxa" w:w="34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issuer spot、equity repo、implied volatility</w:t>
            </w:r>
          </w:p>
        </w:tc>
      </w:tr>
      <w:tr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6</w:t>
            </w:r>
          </w:p>
        </w:tc>
        <w:tc>
          <w:tcPr>
            <w:tcW w:type="dxa" w:w="2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Commodity</w:t>
            </w:r>
          </w:p>
        </w:tc>
        <w:tc>
          <w:tcPr>
            <w:tcW w:type="dxa" w:w="25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商品风险</w:t>
            </w:r>
          </w:p>
        </w:tc>
        <w:tc>
          <w:tcPr>
            <w:tcW w:type="dxa" w:w="34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commodity type、location、tenor、volatility</w:t>
            </w:r>
          </w:p>
        </w:tc>
      </w:tr>
      <w:tr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7</w:t>
            </w:r>
          </w:p>
        </w:tc>
        <w:tc>
          <w:tcPr>
            <w:tcW w:type="dxa" w:w="2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FX</w:t>
            </w:r>
          </w:p>
        </w:tc>
        <w:tc>
          <w:tcPr>
            <w:tcW w:type="dxa" w:w="25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外汇风险</w:t>
            </w:r>
          </w:p>
        </w:tc>
        <w:tc>
          <w:tcPr>
            <w:tcW w:type="dxa" w:w="34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currency-pair spot、option maturity vol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6.3 Greeks 与 FRTB 风险类别映射表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900"/>
        <w:gridCol w:w="2140"/>
        <w:gridCol w:w="1960"/>
        <w:gridCol w:w="3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传统风险指标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数学 / 管理含义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FRTB SA 映射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联系与边界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Equity/FX/Commodity Delta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∂V/∂S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相应 risk class 的 Delta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需改为监管规定因子与有限差分口径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Rho / DV01 / Curve Delta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∂V/∂r_t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GIRR Delta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FRTB 没有独立 Rho 类别；按曲线与期限映射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CS01 / Spread Delta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∂V/∂cs_t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CSR Delta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须把 GIRR 与 CSR 影响分解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Vega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∂V/∂σ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Vega Risk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监管 sensitivity 通常为 vega × implied volatility，并映射到规定网格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Gamma / Convexity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∂²V/∂x²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与 Curvature 有局部联系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不是直接输入；Curvature 使用规定冲击全重估并扣除 Delta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Theta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∂V/∂t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无独立 SBM 类别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影响 daily P&amp;L 与未来 sensitivities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Vanna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∂²V/(∂S∂σ)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无独立 SBM 类别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Cross effect 不应宣称被 Curvature 完整覆盖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Volga / Vomma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∂²V/∂σ²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无独立 SBM 类别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Volatility curvature ≠ FRTB Curvature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Charm</w:t>
            </w:r>
          </w:p>
        </w:tc>
        <w:tc>
          <w:tcPr>
            <w:tcW w:type="dxa" w:w="21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∂Delta/∂t</w:t>
            </w:r>
          </w:p>
        </w:tc>
        <w:tc>
          <w:tcPr>
            <w:tcW w:type="dxa" w:w="1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无独立 SBM 类别</w:t>
            </w:r>
          </w:p>
        </w:tc>
        <w:tc>
          <w:tcPr>
            <w:tcW w:type="dxa" w:w="3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用于临近到期与未来 Delta profile 管理</w:t>
            </w:r>
          </w:p>
        </w:tc>
      </w:tr>
    </w:tbl>
    <w:p>
      <w:pPr>
        <w:spacing w:after="40" w:before="0"/>
      </w:pP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表 1  Greeks 与 FRTB SA 映射。映射强调概念联系，不表示交易台 Greek 可未经单位、因子和网格转换直接进入监管计算。</w:t>
      </w:r>
    </w:p>
    <w:p>
      <w:pPr>
        <w:pStyle w:val="Heading2"/>
      </w:pPr>
      <w:r>
        <w:t>6.4 产品映射示例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840"/>
        <w:gridCol w:w="2770"/>
        <w:gridCol w:w="1900"/>
        <w:gridCol w:w="2850"/>
      </w:tblGrid>
      <w:tr>
        <w:trPr>
          <w:tblHeader w:val="true"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产品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SBM 风险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其他 SA 组成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教学重点</w:t>
            </w:r>
          </w:p>
        </w:tc>
      </w:tr>
      <w:tr>
        <w:tc>
          <w:tcPr>
            <w:tcW w:type="dxa" w:w="18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Equity call</w:t>
            </w:r>
          </w:p>
        </w:tc>
        <w:tc>
          <w:tcPr>
            <w:tcW w:type="dxa" w:w="27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Equity Delta + Vega + Curvature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视头寸另有 DRC</w:t>
            </w:r>
          </w:p>
        </w:tc>
        <w:tc>
          <w:tcPr>
            <w:tcW w:type="dxa" w:w="2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spot Delta 与 regulator equity sensitivity 的单位转换</w:t>
            </w:r>
          </w:p>
        </w:tc>
      </w:tr>
      <w:tr>
        <w:tc>
          <w:tcPr>
            <w:tcW w:type="dxa" w:w="18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Corporate bond</w:t>
            </w:r>
          </w:p>
        </w:tc>
        <w:tc>
          <w:tcPr>
            <w:tcW w:type="dxa" w:w="27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GIRR Delta + CSR Delta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通常有 DRC</w:t>
            </w:r>
          </w:p>
        </w:tc>
        <w:tc>
          <w:tcPr>
            <w:tcW w:type="dxa" w:w="2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普通 convexity 不自动等于必须进入 Curvature</w:t>
            </w:r>
          </w:p>
        </w:tc>
      </w:tr>
      <w:tr>
        <w:tc>
          <w:tcPr>
            <w:tcW w:type="dxa" w:w="18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5Y×5Y swaption</w:t>
            </w:r>
          </w:p>
        </w:tc>
        <w:tc>
          <w:tcPr>
            <w:tcW w:type="dxa" w:w="27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GIRR Delta + Vega + Curvature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通常无 equity/CSR</w:t>
            </w:r>
          </w:p>
        </w:tc>
        <w:tc>
          <w:tcPr>
            <w:tcW w:type="dxa" w:w="2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曲线节点、expiry × tenor grid、平行曲线 curvature shock</w:t>
            </w:r>
          </w:p>
        </w:tc>
      </w:tr>
      <w:tr>
        <w:tc>
          <w:tcPr>
            <w:tcW w:type="dxa" w:w="18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Exotic option</w:t>
            </w:r>
          </w:p>
        </w:tc>
        <w:tc>
          <w:tcPr>
            <w:tcW w:type="dxa" w:w="27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相关类 Delta/Vega/Curvature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可能触发 RRAO</w:t>
            </w:r>
          </w:p>
        </w:tc>
        <w:tc>
          <w:tcPr>
            <w:tcW w:type="dxa" w:w="2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标准 risk factors 是否充分描述 underlying/payoff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让学员把产品卡片贴到 risk class / Delta / Vega / Curvature / DRC / RRAO 的二维矩阵中。重点追问“为什么属于这个风险类”和“是否含 optionality”，而不是只背答案。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完整 SA = SBM + DRC + RRAO；SBM 以七个 risk classes 分别计算 Delta、Vega、Curvature；传统 Greeks 与监管风险存在概念桥梁，但必须经过规定因子、单位和网格转换。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7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FRTB Delta/Vega：从 Risk Factor 到 Capital Aggregation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完整解释 risk factor、sensitivity、bucket、risk weight、weighted sensitivity、ρ 与 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独立完成同因子净额、within-bucket 和 cross-bucket 聚合。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理解 low/medium/high correlation scenarios 与总 SBM charge 的取最大机制。</w:t>
      </w:r>
    </w:p>
    <w:p>
      <w:pPr>
        <w:pStyle w:val="Heading2"/>
      </w:pPr>
      <w:r>
        <w:t>7.1 概念链：每一步都回答一个不同问题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Delta/Vega：Trade → Risk factor → sₖ → Bucket → RWₖ → WSₖ → K_b → Risk-class charge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Curvature：Trade → up/down full revaluation → CVRₖ⁺/⁻ → curvature-specific aggregation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40"/>
        <w:gridCol w:w="2920"/>
        <w:gridCol w:w="3180"/>
        <w:gridCol w:w="1520"/>
      </w:tblGrid>
      <w:tr>
        <w:trPr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概念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监管含义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要回答的问题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关键符号</w:t>
            </w:r>
          </w:p>
        </w:tc>
      </w:tr>
      <w:tr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Risk factor</w:t>
            </w:r>
          </w:p>
        </w:tc>
        <w:tc>
          <w:tcPr>
            <w:tcW w:type="dxa" w:w="2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规定的定价变量坐标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到底是哪一个市场变量？</w:t>
            </w:r>
          </w:p>
        </w:tc>
        <w:tc>
          <w:tcPr>
            <w:tcW w:type="dxa" w:w="1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xₖ</w:t>
            </w:r>
          </w:p>
        </w:tc>
      </w:tr>
      <w:tr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Sensitivity</w:t>
            </w:r>
          </w:p>
        </w:tc>
        <w:tc>
          <w:tcPr>
            <w:tcW w:type="dxa" w:w="2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价格对规定 bump 的货币响应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该因子变动时价值怎么变？</w:t>
            </w:r>
          </w:p>
        </w:tc>
        <w:tc>
          <w:tcPr>
            <w:tcW w:type="dxa" w:w="1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sᵢₖ、sₖ</w:t>
            </w:r>
          </w:p>
        </w:tc>
      </w:tr>
      <w:tr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Bucket</w:t>
            </w:r>
          </w:p>
        </w:tc>
        <w:tc>
          <w:tcPr>
            <w:tcW w:type="dxa" w:w="2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按共同特征归组的因子集合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哪些相关因子一起聚合？</w:t>
            </w:r>
          </w:p>
        </w:tc>
        <w:tc>
          <w:tcPr>
            <w:tcW w:type="dxa" w:w="1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</w:t>
            </w:r>
          </w:p>
        </w:tc>
      </w:tr>
      <w:tr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Risk weight</w:t>
            </w:r>
          </w:p>
        </w:tc>
        <w:tc>
          <w:tcPr>
            <w:tcW w:type="dxa" w:w="2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监管校准的风险尺度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要把 sensitivity 放大到多大冲击尺度？</w:t>
            </w:r>
          </w:p>
        </w:tc>
        <w:tc>
          <w:tcPr>
            <w:tcW w:type="dxa" w:w="1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RWₖ</w:t>
            </w:r>
          </w:p>
        </w:tc>
      </w:tr>
      <w:tr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Weighted sensitivity</w:t>
            </w:r>
          </w:p>
        </w:tc>
        <w:tc>
          <w:tcPr>
            <w:tcW w:type="dxa" w:w="2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净 sensitivity × RW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权重化后的方向性风险是多少？</w:t>
            </w:r>
          </w:p>
        </w:tc>
        <w:tc>
          <w:tcPr>
            <w:tcW w:type="dxa" w:w="1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WSₖ</w:t>
            </w:r>
          </w:p>
        </w:tc>
      </w:tr>
      <w:tr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Within-bucket</w:t>
            </w:r>
          </w:p>
        </w:tc>
        <w:tc>
          <w:tcPr>
            <w:tcW w:type="dxa" w:w="2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使用 ρ 聚合不同因子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同 bucket 允许多少对冲？</w:t>
            </w:r>
          </w:p>
        </w:tc>
        <w:tc>
          <w:tcPr>
            <w:tcW w:type="dxa" w:w="1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K_b、S_b</w:t>
            </w:r>
          </w:p>
        </w:tc>
      </w:tr>
      <w:tr>
        <w:tc>
          <w:tcPr>
            <w:tcW w:type="dxa" w:w="17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Cross-bucket</w:t>
            </w:r>
          </w:p>
        </w:tc>
        <w:tc>
          <w:tcPr>
            <w:tcW w:type="dxa" w:w="2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使用 γ 聚合 buckets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跨 bucket 允许多少分散？</w:t>
            </w:r>
          </w:p>
        </w:tc>
        <w:tc>
          <w:tcPr>
            <w:tcW w:type="dxa" w:w="15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K_RC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两次“相加”含义不同  </w:t>
      </w:r>
      <w:r>
        <w:rPr>
          <w:rFonts w:ascii="Calibri" w:hAnsi="Calibri" w:eastAsia="Microsoft YaHei"/>
          <w:color w:val="1F2933"/>
        </w:rPr>
        <w:t>sₖ = Σᵢsᵢₖ 是同一精确 risk factor 上的先净额；K_b 则是同一 bucket 内不同 risk factors 通过相关系数聚合。Same bucket 绝不等于 same risk factor。</w:t>
      </w:r>
    </w:p>
    <w:p>
      <w:pPr>
        <w:pStyle w:val="Heading2"/>
      </w:pPr>
      <w:r>
        <w:t>7.2 监管 sensitivity 与传统 Greek 的口径差异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Net sensitivity：sₖ = Σᵢ sᵢₖ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Equity spot：sₖ = [V(1.01·EQₖ) − V(EQₖ)] / 0.01 ≈ EQₖ·∂V/∂EQₖ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GIRR：sₖ,t = [V(r_t + 0.0001) − V(r_t)] / 0.0001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Vega：sᵛₖ = vegaₖ × σₖ</w:t>
      </w:r>
    </w:p>
    <w:p>
      <w:r>
        <w:rPr>
          <w:rFonts w:ascii="Calibri" w:hAnsi="Calibri" w:eastAsia="Microsoft YaHei"/>
        </w:rPr>
        <w:t>因此，交易台按“标的变动 1 元”报告的裸 Delta 并不等于 FRTB equity sensitivity；前者约为 ∂V/∂S，后者约为 S·∂V/∂S。类似地，传统 vega 若按每 1 vol point 报告，必须先换回与 σ 一致的单位，再形成 vega × σ。</w:t>
      </w: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PV01/CS01 单位  </w:t>
      </w:r>
      <w:r>
        <w:rPr>
          <w:rFonts w:ascii="Calibri" w:hAnsi="Calibri" w:eastAsia="Microsoft YaHei"/>
          <w:color w:val="1F2933"/>
        </w:rPr>
        <w:t>若桌面 PV01/CS01 以 CU/bp 报告、监管 RW 以 decimal rate/spread 表示，则先用 PV01 或 CS01 除以 0.0001 得到监管 sensitivity；等价地，也可把 RW 换成 bp。两种口径不可混用，且符号约定须一致。</w:t>
      </w: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GIRR 单位换算  </w:t>
      </w:r>
      <w:r>
        <w:rPr>
          <w:rFonts w:ascii="Calibri" w:hAnsi="Calibri" w:eastAsia="Microsoft YaHei"/>
          <w:color w:val="1F2933"/>
        </w:rPr>
        <w:t>若有符号 DV01 定义为“该期限利率上升 1 bp 时的价值变化” d_t，则 s_t = d_t / 0.0001。当 RW 用 decimal rate 表示时，WS_t = s_t·RW_t；这与“CNY/bp × RW in bp”等价。</w:t>
      </w:r>
    </w:p>
    <w:p>
      <w:pPr>
        <w:pStyle w:val="Heading2"/>
      </w:pPr>
      <w:r>
        <w:t>7.3 Risk weight 与 weighted sensitivity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WSₖ = RWₖ · sₖ</w:t>
      </w:r>
    </w:p>
    <w:p>
      <w:r>
        <w:rPr>
          <w:rFonts w:ascii="Calibri" w:hAnsi="Calibri" w:eastAsia="Microsoft YaHei"/>
        </w:rPr>
        <w:t>Risk weight 不是违约概率、置信度或银行自己的波动率预测，而是监管用于统一尺度和校准资本的参数。Delta 与 Vega 先用 RW 加权；Curvature 中的相应 RW 还决定 full-revaluation shock 的幅度。</w:t>
      </w:r>
    </w:p>
    <w:p>
      <w:pPr>
        <w:pStyle w:val="Heading2"/>
      </w:pPr>
      <w:r>
        <w:t>7.4 Within-bucket aggregation</w:t>
      </w:r>
    </w:p>
    <w:p>
      <w:pPr>
        <w:pStyle w:val="Equation"/>
        <w:spacing w:before="80" w:after="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K_b = √max{0, Σₖ∈b WSₖ² + Σₖ∈b Σₗ∈b,ₗ≠ₖ ρₖₗ·WSₖ·WSₗ}</w:t>
      </w:r>
    </w:p>
    <w:p>
      <w:pPr>
        <w:pStyle w:val="SourceNote"/>
        <w:jc w:val="center"/>
      </w:pPr>
      <w:r>
        <w:rPr>
          <w:rFonts w:ascii="Calibri" w:hAnsi="Calibri" w:eastAsia="Microsoft YaHei"/>
          <w:color w:val="5B6573"/>
          <w:sz w:val="17"/>
        </w:rPr>
        <w:t>双重求和按有序组合计数；若改写为 k&lt;l，交叉项前应乘 2。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S_b = Σₖ∈b WSₖ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500"/>
        <w:gridCol w:w="1700"/>
        <w:gridCol w:w="4160"/>
        <w:gridCol w:w="20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是否带符号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能否互换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K_b</w:t>
            </w:r>
          </w:p>
        </w:tc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非负</w:t>
            </w:r>
          </w:p>
        </w:tc>
        <w:tc>
          <w:tcPr>
            <w:tcW w:type="dxa" w:w="4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相关性聚合后的 bucket-level charge</w:t>
            </w:r>
          </w:p>
        </w:tc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不能替代 S_b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S_b</w:t>
            </w:r>
          </w:p>
        </w:tc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可正可负</w:t>
            </w:r>
          </w:p>
        </w:tc>
        <w:tc>
          <w:tcPr>
            <w:tcW w:type="dxa" w:w="4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bucket 内 weighted sensitivities 的方向性代数和</w:t>
            </w:r>
          </w:p>
        </w:tc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不能替代 K_b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7.5 Cross-bucket aggregation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K_RC = √[Σ_b K_b² + Σ_b Σ_c≠b γ_bc·S_b·S_c]</w:t>
      </w:r>
    </w:p>
    <w:p>
      <w:r>
        <w:rPr>
          <w:rFonts w:ascii="Calibri" w:hAnsi="Calibri" w:eastAsia="Microsoft YaHei"/>
        </w:rPr>
        <w:t>γ_bc 决定不同 buckets 之间允许多少监管分散。若使用原始 S_b 后，根号内整体为负，Basel 规则要求使用以下 clipped S_b 重新计算；该替代规则不是无条件使用。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S_b^alt = max{−K_b, min[Σₖ∈b WSₖ, K_b]}</w:t>
      </w:r>
    </w:p>
    <w:p>
      <w:pPr>
        <w:pStyle w:val="Heading2"/>
      </w:pPr>
      <w:r>
        <w:t>7.6 相关性情景与 SBM 汇总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High：ρᴴ = min(1, 1.25ρ)，γᴴ = min(1, 1.25γ)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Low：ρᴸ = max(2ρ−1, 0.75ρ)，γᴸ = max(2γ−1, 0.75γ)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K_SBM^(q) = Σ_risk classes [K_Delta^(q) + K_Vega^(q) + K_Curvature^(q)]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K_SBM = max{K_SBM^(Low), K_SBM^(Medium), K_SBM^(High)}</w:t>
      </w:r>
    </w:p>
    <w:p>
      <w:pPr>
        <w:spacing w:before="100" w:after="160" w:line="288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反直觉但重要  </w:t>
      </w:r>
      <w:r>
        <w:rPr>
          <w:rFonts w:ascii="Calibri" w:hAnsi="Calibri" w:eastAsia="Microsoft YaHei"/>
          <w:color w:val="1F2933"/>
        </w:rPr>
        <w:t>High correlation 不一定产生最高资本。若组合有 long-short hedge，相关性降低会削弱对冲，从而使 Low scenario 的 charge 更高。因此三种情景必须完整重算，并在整体组合层面取最大值。</w:t>
      </w:r>
    </w:p>
    <w:p>
      <w:pPr>
        <w:pStyle w:val="Heading2"/>
      </w:pPr>
      <w:r>
        <w:t>7.7 BCBS 官方教学例：Equity Delta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080"/>
        <w:gridCol w:w="1280"/>
        <w:gridCol w:w="2100"/>
        <w:gridCol w:w="1600"/>
        <w:gridCol w:w="2300"/>
      </w:tblGrid>
      <w:tr>
        <w:trPr>
          <w:tblHeader w:val="true"/>
        </w:trP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Risk factor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Bucket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sₖ（USD m）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RW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WSₖ（USD m）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Telco A</w:t>
            </w:r>
          </w:p>
        </w:tc>
        <w:tc>
          <w:tcPr>
            <w:tcW w:type="dxa" w:w="128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6</w:t>
            </w:r>
          </w:p>
        </w:tc>
        <w:tc>
          <w:tcPr>
            <w:tcW w:type="dxa" w:w="21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+200</w:t>
            </w:r>
          </w:p>
        </w:tc>
        <w:tc>
          <w:tcPr>
            <w:tcW w:type="dxa" w:w="16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35%</w:t>
            </w:r>
          </w:p>
        </w:tc>
        <w:tc>
          <w:tcPr>
            <w:tcW w:type="dxa" w:w="23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+70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Telco B</w:t>
            </w:r>
          </w:p>
        </w:tc>
        <w:tc>
          <w:tcPr>
            <w:tcW w:type="dxa" w:w="128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6</w:t>
            </w:r>
          </w:p>
        </w:tc>
        <w:tc>
          <w:tcPr>
            <w:tcW w:type="dxa" w:w="21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−100</w:t>
            </w:r>
          </w:p>
        </w:tc>
        <w:tc>
          <w:tcPr>
            <w:tcW w:type="dxa" w:w="16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35%</w:t>
            </w:r>
          </w:p>
        </w:tc>
        <w:tc>
          <w:tcPr>
            <w:tcW w:type="dxa" w:w="23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−35</w:t>
            </w:r>
          </w:p>
        </w:tc>
      </w:tr>
      <w:tr>
        <w:tc>
          <w:tcPr>
            <w:tcW w:type="dxa" w:w="20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Finco C</w:t>
            </w:r>
          </w:p>
        </w:tc>
        <w:tc>
          <w:tcPr>
            <w:tcW w:type="dxa" w:w="128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9</w:t>
            </w:r>
          </w:p>
        </w:tc>
        <w:tc>
          <w:tcPr>
            <w:tcW w:type="dxa" w:w="21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+100</w:t>
            </w:r>
          </w:p>
        </w:tc>
        <w:tc>
          <w:tcPr>
            <w:tcW w:type="dxa" w:w="16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70%</w:t>
            </w:r>
          </w:p>
        </w:tc>
        <w:tc>
          <w:tcPr>
            <w:tcW w:type="dxa" w:w="23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+70</w:t>
            </w:r>
          </w:p>
        </w:tc>
      </w:tr>
    </w:tbl>
    <w:p>
      <w:pPr>
        <w:spacing w:after="40" w:before="0"/>
      </w:pP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K₆ = √[70² + (−35)² + 2×25%×70×(−35)] = 70；   S₆ = 35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K₉ = S₉ = 70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K_Delta,Medium = √[70² + 70² + 2×15%×35×70] = 102.6 USD 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800"/>
        <w:gridCol w:w="2200"/>
        <w:gridCol w:w="43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Correlation scenario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Capital（USD m）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结果解释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High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102.0</w:t>
            </w:r>
          </w:p>
        </w:tc>
        <w:tc>
          <w:tcPr>
            <w:tcW w:type="dxa" w:w="4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更高相关性增强 bucket 6 内 long-short 对冲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Medium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102.6</w:t>
            </w:r>
          </w:p>
        </w:tc>
        <w:tc>
          <w:tcPr>
            <w:tcW w:type="dxa" w:w="4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使用基础 ρ 与 γ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Low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103.2</w:t>
            </w:r>
          </w:p>
        </w:tc>
        <w:tc>
          <w:tcPr>
            <w:tcW w:type="dxa" w:w="4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对冲效应减弱，得到三者最大值</w:t>
            </w:r>
          </w:p>
        </w:tc>
      </w:tr>
    </w:tbl>
    <w:p>
      <w:pPr>
        <w:spacing w:after="40" w:before="0"/>
      </w:pP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来源：BCBS (2019), Explanatory note on the minimum capital requirements for market risk, Worked Example 1。</w:t>
      </w: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先让学员算 K₆，再问为什么 cross-bucket 使用 S₆=35 而不是 K₆=70。最后改变相关性，观察 long-short 对冲组合为何可能在 Low scenario 下资本更高。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只有同一精确 risk factor 先做 net sensitivity；RW 决定监管尺度，ρ 与 γ 决定允许的对冲和分散；K_b 非负而 S_b 带方向，二者职责不同；三种相关性情景均须重算并取整体最大值。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8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FRTB Curvature Risk 与传统 Gamma / Convexity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准确写出 up/down curvature scenario 的 full-revaluation 与 Delta 扣除。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说明 Curvature 与 Gamma 的局部近似关系及六个以上关键差异。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理解 curvature 的 within-bucket、cross-bucket 与 scenario selection 逻辑。</w:t>
      </w:r>
    </w:p>
    <w:p>
      <w:pPr>
        <w:pStyle w:val="Heading2"/>
      </w:pPr>
      <w:r>
        <w:t>8.1 Curvature 在监管上测量什么</w:t>
      </w:r>
    </w:p>
    <w:p>
      <w:r>
        <w:rPr>
          <w:rFonts w:ascii="Calibri" w:hAnsi="Calibri" w:eastAsia="Microsoft YaHei"/>
        </w:rPr>
        <w:t>Curvature 关注的是：对监管风险因子施加规定的大幅向上/向下冲击后，工具的实际 full-revaluation 变化中，超出 Delta 已覆盖线性部分的增量损失。它适用于含 optionality 的工具；普通线性工具并不会因为数学上存在某种 convexity 就自动等同于 FRTB curvature input。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CVRₖ⁺ = −Σᵢ[Vᵢ(k,+) − Vᵢ(0) − RWₖ^curv·sᵢₖ]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CVRₖ⁻ = −Σᵢ[Vᵢ(k,−) − Vᵢ(0) + RWₖ^curv·sᵢₖ]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850"/>
        <w:gridCol w:w="4180"/>
        <w:gridCol w:w="333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符号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风险解释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Vᵢ(k,+/−)</w:t>
            </w:r>
          </w:p>
        </w:tc>
        <w:tc>
          <w:tcPr>
            <w:tcW w:type="dxa" w:w="4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只对 curvature risk factor k 施加规定上/下冲击后的价值</w:t>
            </w:r>
          </w:p>
        </w:tc>
        <w:tc>
          <w:tcPr>
            <w:tcW w:type="dxa" w:w="3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使用风险控制实际使用的定价模型全重估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RWₖ^curv·sᵢₖ</w:t>
            </w:r>
          </w:p>
        </w:tc>
        <w:tc>
          <w:tcPr>
            <w:tcW w:type="dxa" w:w="4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同一 shock 下已由 Delta 覆盖的线性变化</w:t>
            </w:r>
          </w:p>
        </w:tc>
        <w:tc>
          <w:tcPr>
            <w:tcW w:type="dxa" w:w="3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从 full-revaluation change 中扣除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前置负号</w:t>
            </w:r>
          </w:p>
        </w:tc>
        <w:tc>
          <w:tcPr>
            <w:tcW w:type="dxa" w:w="4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把 P&amp;L residual 转为 loss measure</w:t>
            </w:r>
          </w:p>
        </w:tc>
        <w:tc>
          <w:tcPr>
            <w:tcW w:type="dxa" w:w="3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CVR &gt; 0 表示增量损失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曲线风险特别说明  </w:t>
      </w:r>
      <w:r>
        <w:rPr>
          <w:rFonts w:ascii="Calibri" w:hAnsi="Calibri" w:eastAsia="Microsoft YaHei"/>
          <w:color w:val="1F2933"/>
        </w:rPr>
        <w:t>对 GIRR、CSR 和 Commodity，curvature shock 通常作用于相关曲线的一组规定期限点；对应的 sᵢₖ 也按标准要求汇总相关 Delta sensitivities。它不是逐期限点 Gamma 的简单相加。</w:t>
      </w:r>
    </w:p>
    <w:p>
      <w:pPr>
        <w:pStyle w:val="Heading2"/>
      </w:pPr>
      <w:r>
        <w:t>8.2 Up / Down 分别聚合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ψ(x,y) = 0（当 x&lt;0 且 y&lt;0）；其他情况 ψ(x,y)=1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K_b^a = √max{0, Σₖ max(CVRₖ^a,0)² + ΣₖΣₗ≠ₖ ρₖₗ^curv·CVRₖ^a·CVRₗ^a·ψ(CVRₖ^a,CVRₗ^a)}，a∈{+,−}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K_b = max(K_b⁺, K_b⁻)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K_curv,RC = √max{0, Σ_b K_b² + Σ_bΣ_c≠b γ_bc^curv·S_b·S_c·ψ(S_b,S_c)}</w:t>
      </w:r>
    </w:p>
    <w:p>
      <w:r>
        <w:rPr>
          <w:rFonts w:ascii="Calibri" w:hAnsi="Calibri" w:eastAsia="Microsoft YaHei"/>
        </w:rPr>
        <w:t>S_b 取自被选择的 up 或 down 场景。若 K_b⁺ = K_b⁻，标准另按两场景 CVR 合计比较来决定所选方向。Curvature correlations 通常与相应 Delta correlations 的平方有关，但 CSR non-securitisation 与 CSR securitisation CTP 有专门规则，不能把“全部直接平方”当成无例外结论。</w:t>
      </w:r>
    </w:p>
    <w:p>
      <w:pPr>
        <w:pStyle w:val="Heading2"/>
      </w:pPr>
      <w:r>
        <w:t>8.3 与 Gamma 的数学联系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V(x+h) − V(x) − hV′(x) ≈ ½Γh² + ⅙V⁽³⁾h³ + …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V(x−h) − V(x) + hV′(x) ≈ ½Γh² − ⅙V⁽³⁾h³ + …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在小冲击、平滑单因子条件下：CVR⁺ ≈ CVR⁻ ≈ −½Γh²</w:t>
      </w:r>
    </w:p>
    <w:p>
      <w:r>
        <w:rPr>
          <w:rFonts w:ascii="Calibri" w:hAnsi="Calibri" w:eastAsia="Microsoft YaHei"/>
        </w:rPr>
        <w:t>这说明 Curvature 包含 Gamma 所描述的二阶效应：short Gamma（Γ&lt;0）在两边通常产生正的增量损失。但监管 shock 并非无穷小，因此三阶及更高阶项、payoff kink、barrier、surface convention 和模型重估机制都会使 up/down 结果不对称。</w:t>
      </w:r>
    </w:p>
    <w:p>
      <w:pPr>
        <w:pStyle w:val="Heading2"/>
      </w:pPr>
      <w:r>
        <w:t>8.4 Gamma/Convexity 与 FRTB Curvature 对比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650"/>
        <w:gridCol w:w="3590"/>
        <w:gridCol w:w="412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传统 Gamma / Convexity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FRTB Curvature Risk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本质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当前位置的局部二阶导数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规定有限冲击后的 Delta-adjusted 增量损失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Shock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无穷小 / 小 bump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Prescribed up/down finite shock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计算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解析或二阶 finite difference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Full revaluation + Delta deduction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结果单位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货币 / risk factor²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直接为报告货币损失量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高阶项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不含三阶以上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全重估 residual 会包含高阶和非光滑影响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方向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一个局部曲率值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Up/down 两向分别聚合后取较不利结果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Cross-Gamma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Hessian 可显式表示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单因子监管 shock 不等于完整 cross-Gamma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Volga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σ 方向的二阶导数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Curvature shock 针对规定 Delta risk factors，不是 volatility curvature</w:t>
            </w:r>
          </w:p>
        </w:tc>
      </w:tr>
      <w:tr>
        <w:tc>
          <w:tcPr>
            <w:tcW w:type="dxa" w:w="16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用途</w:t>
            </w:r>
          </w:p>
        </w:tc>
        <w:tc>
          <w:tcPr>
            <w:tcW w:type="dxa" w:w="35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对冲、P&amp;L Explain、风险限额</w:t>
            </w:r>
          </w:p>
        </w:tc>
        <w:tc>
          <w:tcPr>
            <w:tcW w:type="dxa" w:w="41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Regulatory capital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8.5 数值例子：大冲击全重估为何不同于 Gamma approximation</w:t>
      </w:r>
    </w:p>
    <w:p>
      <w:r>
        <w:rPr>
          <w:rFonts w:ascii="Calibri" w:hAnsi="Calibri" w:eastAsia="Microsoft YaHei"/>
        </w:rPr>
        <w:t>设 S₀=100，Delta=20,000，Gamma=−1,200，三阶导数 Λ=30；教学用 curvature RW=20%，因此 h=20。相对价格 delta sensitivity s≈S₀·Delta=2,000,000，线性项 RW·s=400,000。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ΔV(h) = Delta·h + ½Gamma·h² + ⅙Λ·h³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Up：ΔV(+20)=400,000−240,000+40,000=200,000；CVR⁺=−[200,000−400,000]=200,000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Down：ΔV(−20)=−400,000−240,000−40,000=−680,000；CVR⁻=−[−680,000+400,000]=280,000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Single-factor curvature charge = max(200,000, 280,000, 0) = 280,000 CNY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Gamma-only loss ≈ −½Gamma·h² = 240,000 CNY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差异来源  </w:t>
      </w:r>
      <w:r>
        <w:rPr>
          <w:rFonts w:ascii="Calibri" w:hAnsi="Calibri" w:eastAsia="Microsoft YaHei"/>
          <w:color w:val="1F2933"/>
        </w:rPr>
        <w:t>FRTB full-revaluation 结果 280,000 与 Gamma-only 240,000 相差 40,000，来自三阶项造成的上下情景不对称。若真实日变动只有 −2，则超出 Delta 的二、三阶损益约为 −2,440，远小于监管大幅冲击下的结果。</w:t>
      </w: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先遮住三阶项，让学员得到 up/down 同为 240,000；再放开三阶项，观察两方向变为 200,000 与 280,000。由此自然得出“Curvature 不是 ½Gamma×RW²”的结论。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Curvature 是规定大冲击下的 full-revaluation residual，并扣除 Delta 线性部分；Gamma 只在平滑、小冲击、单因子条件下提供局部近似；Curvature 必须分别聚合 up/down，并使用自己的 ψ 与相关性规则；Volga、cross-Gamma 与 FRTB Curvature 不能直接等同。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9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从衍生品定价到 FRTB Capital：端到端流程与治理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沿交易、定价、风险因子、敏感度、聚合和资本完整追踪数据血缘。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区分管理风险路径与监管 SA 路径，并说明两者共享的定价基础。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识别落地中的 mapping、bump stability、单位、版本和独立风险控制要求。</w:t>
      </w:r>
    </w:p>
    <w:p>
      <w:pPr>
        <w:pStyle w:val="Heading2"/>
      </w:pPr>
      <w:r>
        <w:t>9.1 两条并行路径，共享一个定价基础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620"/>
        <w:gridCol w:w="3370"/>
        <w:gridCol w:w="3370"/>
      </w:tblGrid>
      <w:tr>
        <w:trPr>
          <w:tblHeader w:val="true"/>
        </w:trPr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共同起点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管理风险路径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监管 SA 路径</w:t>
            </w:r>
          </w:p>
        </w:tc>
      </w:tr>
      <w:tr>
        <w:tc>
          <w:tcPr>
            <w:tcW w:type="dxa" w:w="2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交易条款 + market data + pricing model</w:t>
            </w:r>
          </w:p>
        </w:tc>
        <w:tc>
          <w:tcPr>
            <w:tcW w:type="dxa" w:w="3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Greeks risk matrix → limits → P&amp;L explain → VaR/ES → Stress</w:t>
            </w:r>
          </w:p>
        </w:tc>
        <w:tc>
          <w:tcPr>
            <w:tcW w:type="dxa" w:w="3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Risk class/factor → Delta/Vega/Curvature → RW/correlation → SBM → SA</w:t>
            </w:r>
          </w:p>
        </w:tc>
      </w:tr>
      <w:tr>
        <w:tc>
          <w:tcPr>
            <w:tcW w:type="dxa" w:w="2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PV 与 full-revaluation engine</w:t>
            </w:r>
          </w:p>
        </w:tc>
        <w:tc>
          <w:tcPr>
            <w:tcW w:type="dxa" w:w="3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追求可对冲、可诊断和日常决策</w:t>
            </w:r>
          </w:p>
        </w:tc>
        <w:tc>
          <w:tcPr>
            <w:tcW w:type="dxa" w:w="3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追求规定口径、可比性和资本充足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重要逻辑  </w:t>
      </w:r>
      <w:r>
        <w:rPr>
          <w:rFonts w:ascii="Calibri" w:hAnsi="Calibri" w:eastAsia="Microsoft YaHei"/>
          <w:color w:val="1F2933"/>
        </w:rPr>
        <w:t>VaR/ES、Stress 与 Greeks 并非都按固定顺序喂给 SBM。它们与 SA/SBM 同源于定价与风险因子体系，但分别服务于管理风险和监管资本。</w:t>
      </w:r>
    </w:p>
    <w:p>
      <w:pPr>
        <w:pStyle w:val="Heading2"/>
      </w:pPr>
      <w:r>
        <w:t>9.2 完整流程图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0" w:space="0" w:color="FFFFFF"/>
          <w:start w:val="nil" w:sz="0" w:space="0" w:color="FFFFFF"/>
          <w:bottom w:val="nil" w:sz="0" w:space="0" w:color="FFFFFF"/>
          <w:end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800"/>
        <w:gridCol w:w="480"/>
        <w:gridCol w:w="2800"/>
        <w:gridCol w:w="480"/>
        <w:gridCol w:w="2800"/>
      </w:tblGrid>
      <w:tr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市场数据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Market Data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定价模型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Pricing Model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当前价值 / 全量重估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PV &amp; Full Revaluation</w:t>
            </w:r>
          </w:p>
        </w:tc>
      </w:tr>
      <w:tr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规定风险因子映射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Delta / Vega 路径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sₖ → RWₖ → WSₖ</w:t>
            </w:r>
          </w:p>
        </w:tc>
      </w:tr>
      <w:tr>
        <w:tc>
          <w:tcPr>
            <w:tcW w:type="dxa" w:w="2800"/>
            <w:shd w:fill="FFF6DA"/>
            <w:tcBorders>
              <w:top w:val="single" w:sz="8" w:space="0" w:color="8A6414"/>
              <w:start w:val="single" w:sz="8" w:space="0" w:color="8A6414"/>
              <w:bottom w:val="single" w:sz="8" w:space="0" w:color="8A6414"/>
              <w:end w:val="single" w:sz="8" w:space="0" w:color="8A641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规定 up/down shocks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FF6DA"/>
            <w:tcBorders>
              <w:top w:val="single" w:sz="8" w:space="0" w:color="8A6414"/>
              <w:start w:val="single" w:sz="8" w:space="0" w:color="8A6414"/>
              <w:bottom w:val="single" w:sz="8" w:space="0" w:color="8A6414"/>
              <w:end w:val="single" w:sz="8" w:space="0" w:color="8A641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Curvature 路径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FF6DA"/>
            <w:tcBorders>
              <w:top w:val="single" w:sz="8" w:space="0" w:color="8A6414"/>
              <w:start w:val="single" w:sz="8" w:space="0" w:color="8A6414"/>
              <w:bottom w:val="single" w:sz="8" w:space="0" w:color="8A6414"/>
              <w:end w:val="single" w:sz="8" w:space="0" w:color="8A641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Full Revaluation → CVRₖ⁺/⁻</w:t>
            </w:r>
          </w:p>
        </w:tc>
      </w:tr>
      <w:tr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两条路径分别聚合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Within-bucket ρ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Cross-bucket γ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Risk-class Charges</w:t>
            </w:r>
          </w:p>
        </w:tc>
      </w:tr>
      <w:tr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Low / Medium / High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完整重算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各情景内跨类别相加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K_SBM = max(L, M, H)</w:t>
            </w:r>
          </w:p>
        </w:tc>
      </w:tr>
      <w:tr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K_SBM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+</w:t>
            </w:r>
          </w:p>
        </w:tc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K_DRC + K_RRAO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FRTB SA Capital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标准法资本要求</w:t>
            </w:r>
          </w:p>
        </w:tc>
      </w:tr>
    </w:tbl>
    <w:p>
      <w:pPr>
        <w:pStyle w:val="SourceNote"/>
        <w:jc w:val="center"/>
      </w:pPr>
      <w:r>
        <w:rPr>
          <w:rFonts w:ascii="Calibri" w:hAnsi="Calibri" w:eastAsia="Microsoft YaHei"/>
          <w:i/>
          <w:color w:val="5B6573"/>
          <w:sz w:val="17"/>
        </w:rPr>
        <w:t>图 1  从衍生品定价到 FRTB SA capital：Delta/Vega 与 Curvature 双路径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接收交易条款、市场数据、曲线与波动率面，使用独立风险控制认可的 pricing model 计算 PV 和 full revaluation。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把内部风险节点映射到监管规定的 risk classes、risk factors、tenors 与 buckets。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计算 trade-level Delta/Vega sensitivities 与 Curvature up/down scenarios，并统一报告货币、符号和单位。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在完全相同 risk factor 上先做 net sensitivity，应用 risk weights 得到 weighted sensitivities。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对 Delta/Vega 先 bucket 内再 bucket 间聚合；对 Curvature 分别聚合 up/down 并选择较不利方向。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对 low/medium/high correlation scenarios 完整重算，合计七个 risk classes 的 Delta、Vega 与 Curvature 后取最大值形成 SBM。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将 SBM 与 DRC、RRAO 相加得到 FRTB SA capital；如需市场风险 RWA，再按适用框架转换。</w:t>
      </w:r>
    </w:p>
    <w:p>
      <w:pPr>
        <w:pStyle w:val="Heading2"/>
      </w:pPr>
      <w:r>
        <w:t>9.3 Equity option 端到端案例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200"/>
        <w:gridCol w:w="2600"/>
        <w:gridCol w:w="2860"/>
        <w:gridCol w:w="27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步骤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管理风险输出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FRTB SA 输出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控制点</w:t>
            </w:r>
          </w:p>
        </w:tc>
      </w:tr>
      <w:tr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定价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PV、implied vol、Greeks</w:t>
            </w:r>
          </w:p>
        </w:tc>
        <w:tc>
          <w:tcPr>
            <w:tcW w:type="dxa" w:w="2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Current value / revaluation engine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同一模型版本与 market-data snapshot</w:t>
            </w:r>
          </w:p>
        </w:tc>
      </w:tr>
      <w:tr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风险因子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spot、vol surface、rates</w:t>
            </w:r>
          </w:p>
        </w:tc>
        <w:tc>
          <w:tcPr>
            <w:tcW w:type="dxa" w:w="2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Equity prescribed spot/repo/vega factors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内部 nodes 到监管 grid 的可追溯 mapping</w:t>
            </w:r>
          </w:p>
        </w:tc>
      </w:tr>
      <w:tr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局部风险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Delta、Gamma、Vega、Theta</w:t>
            </w:r>
          </w:p>
        </w:tc>
        <w:tc>
          <w:tcPr>
            <w:tcW w:type="dxa" w:w="2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Delta sensitivity、vega×σ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1%、1 vol point 与 decimal units</w:t>
            </w:r>
          </w:p>
        </w:tc>
      </w:tr>
      <w:tr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非线性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Gamma/Volga/Vanna、stress</w:t>
            </w:r>
          </w:p>
        </w:tc>
        <w:tc>
          <w:tcPr>
            <w:tcW w:type="dxa" w:w="2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Curvature up/down full revaluation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扣除相应 Delta 线性项</w:t>
            </w:r>
          </w:p>
        </w:tc>
      </w:tr>
      <w:tr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聚合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desk/product/node limits</w:t>
            </w:r>
          </w:p>
        </w:tc>
        <w:tc>
          <w:tcPr>
            <w:tcW w:type="dxa" w:w="2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Bucket/RW/ρ/γ/correlation scenarios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同因子净额与相关因子对冲分开</w:t>
            </w:r>
          </w:p>
        </w:tc>
      </w:tr>
      <w:tr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资本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不适用或内部经济资本</w:t>
            </w:r>
          </w:p>
        </w:tc>
        <w:tc>
          <w:tcPr>
            <w:tcW w:type="dxa" w:w="2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SBM + DRC + RRAO</w:t>
            </w:r>
          </w:p>
        </w:tc>
        <w:tc>
          <w:tcPr>
            <w:tcW w:type="dxa" w:w="2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参数版本、法域实施与审计轨迹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9.4 5Y×5Y payer swaption 端到端案例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Pricing：由多条利率曲线、forward swap rate、volatility model/surface 与 discounting 决定 PV。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Management Greeks：key-rate DV01、curve/basis delta、Gamma、expiry × underlying-tenor Vega、Theta/Charm。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FRTB mapping：主要进入 GIRR；Delta 分到规定曲线期限点，Vega 分到 option maturity 与 underlying residual maturity，Curvature 对相关曲线施加规定 shock 并全重估。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Aggregation：同一币种通常构成 GIRR bucket；不同期限通过 ρ 聚合，不同币种 buckets 通过 γ 聚合；三种相关性情景均重算。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Governance：normal/lognormal vol、sticky strike/delta、interpolation、negative-rate handling 与 bump conventions 必须文档化。</w:t>
      </w:r>
    </w:p>
    <w:p>
      <w:pPr>
        <w:pStyle w:val="Heading2"/>
      </w:pPr>
      <w:r>
        <w:t>9.5 实施与模型治理检查表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900"/>
        <w:gridCol w:w="4170"/>
        <w:gridCol w:w="329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控制域</w:t>
            </w:r>
          </w:p>
        </w:tc>
        <w:tc>
          <w:tcPr>
            <w:tcW w:type="dxa" w:w="4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最低检查问题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常见失败模式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Risk-factor inventory</w:t>
            </w:r>
          </w:p>
        </w:tc>
        <w:tc>
          <w:tcPr>
            <w:tcW w:type="dxa" w:w="41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所有 material pricing inputs 是否有风险归属？</w:t>
            </w:r>
          </w:p>
        </w:tc>
        <w:tc>
          <w:tcPr>
            <w:tcW w:type="dxa" w:w="32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遗漏 basis、repo、inflation 或 smile risk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Mapping</w:t>
            </w:r>
          </w:p>
        </w:tc>
        <w:tc>
          <w:tcPr>
            <w:tcW w:type="dxa" w:w="41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内部节点到 prescribed nodes/buckets 是否可回溯？</w:t>
            </w:r>
          </w:p>
        </w:tc>
        <w:tc>
          <w:tcPr>
            <w:tcW w:type="dxa" w:w="32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插值权重不守恒、bucket 错配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Units/signs</w:t>
            </w:r>
          </w:p>
        </w:tc>
        <w:tc>
          <w:tcPr>
            <w:tcW w:type="dxa" w:w="41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bp、%、percentage point、vol point 与方向约定是否统一？</w:t>
            </w:r>
          </w:p>
        </w:tc>
        <w:tc>
          <w:tcPr>
            <w:tcW w:type="dxa" w:w="32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100 倍错误、DV01 符号翻转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Bump stability</w:t>
            </w:r>
          </w:p>
        </w:tc>
        <w:tc>
          <w:tcPr>
            <w:tcW w:type="dxa" w:w="41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有限差分对 bump size 是否稳定？</w:t>
            </w:r>
          </w:p>
        </w:tc>
        <w:tc>
          <w:tcPr>
            <w:tcW w:type="dxa" w:w="32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噪声、discontinuity、recalibration contamination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Model consistency</w:t>
            </w:r>
          </w:p>
        </w:tc>
        <w:tc>
          <w:tcPr>
            <w:tcW w:type="dxa" w:w="41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风险与实际 P&amp;L 是否使用独立风险控制认可的模型？</w:t>
            </w:r>
          </w:p>
        </w:tc>
        <w:tc>
          <w:tcPr>
            <w:tcW w:type="dxa" w:w="32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front-office/risk 模型版本漂移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Aggregation</w:t>
            </w:r>
          </w:p>
        </w:tc>
        <w:tc>
          <w:tcPr>
            <w:tcW w:type="dxa" w:w="41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同因子 netting、ρ/γ、fallback 与 scenario max 是否正确？</w:t>
            </w:r>
          </w:p>
        </w:tc>
        <w:tc>
          <w:tcPr>
            <w:tcW w:type="dxa" w:w="32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把 K_b 当 S_b、漏算 Low/High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Versioning</w:t>
            </w:r>
          </w:p>
        </w:tc>
        <w:tc>
          <w:tcPr>
            <w:tcW w:type="dxa" w:w="41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监管文本、参数表、effective date 和法域覆盖是否固化？</w:t>
            </w:r>
          </w:p>
        </w:tc>
        <w:tc>
          <w:tcPr>
            <w:tcW w:type="dxa" w:w="32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沿用过期权重或错用 Basel baseline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Lineage/audit</w:t>
            </w:r>
          </w:p>
        </w:tc>
        <w:tc>
          <w:tcPr>
            <w:tcW w:type="dxa" w:w="41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能否从 capital 回溯到 trade、factor、sensitivity 与 market data？</w:t>
            </w:r>
          </w:p>
        </w:tc>
        <w:tc>
          <w:tcPr>
            <w:tcW w:type="dxa" w:w="32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聚合结果不可解释、无法复算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教学提示  </w:t>
      </w:r>
      <w:r>
        <w:rPr>
          <w:rFonts w:ascii="Calibri" w:hAnsi="Calibri" w:eastAsia="Microsoft YaHei"/>
          <w:color w:val="1F2933"/>
        </w:rPr>
        <w:t>让学员从最终 capital 数字反向追溯到一个 trade-level sensitivity。若任何一步无法解释 factor、unit、bucket、RW 或 correlation，说明流程虽能“出数”，但尚不具备稳健治理。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定价与风险因子体系是管理风险和监管资本的共同基础；从 PV 到 capital 的关键是可追溯 mapping、统一单位和规定聚合；模型、数据、参数版本与审计血缘和公式同等重要。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10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授课设计、课堂练习与参考答案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把本讲义组织成可执行的 2×90 分钟课程或半日工作坊。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通过计算题、辨析题和产品映射题检验关键概念。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使用易错点清单避免把管理风险与监管资本混讲。</w:t>
      </w:r>
    </w:p>
    <w:p>
      <w:pPr>
        <w:pStyle w:val="Heading2"/>
      </w:pPr>
      <w:r>
        <w:t>10.1 推荐授课节奏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300"/>
        <w:gridCol w:w="1200"/>
        <w:gridCol w:w="4260"/>
        <w:gridCol w:w="26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环节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讲授 / 活动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产出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开场</w:t>
            </w:r>
          </w:p>
        </w:tc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10 min</w:t>
            </w:r>
          </w:p>
        </w:tc>
        <w:tc>
          <w:tcPr>
            <w:tcW w:type="dxa" w:w="4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三个问题：什么在动？多敏感？如何变成 P&amp;L/capital？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共同语言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Greeks</w:t>
            </w:r>
          </w:p>
        </w:tc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45 min</w:t>
            </w:r>
          </w:p>
        </w:tc>
        <w:tc>
          <w:tcPr>
            <w:tcW w:type="dxa" w:w="4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Taylor、核心 Greeks、组合例题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能算并解释局部 P&amp;L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P&amp;L 与尾部</w:t>
            </w:r>
          </w:p>
        </w:tc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35 min</w:t>
            </w:r>
          </w:p>
        </w:tc>
        <w:tc>
          <w:tcPr>
            <w:tcW w:type="dxa" w:w="4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Residual 诊断、VaR/ES/Stress 辨析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两条风险路径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FRTB 架构</w:t>
            </w:r>
          </w:p>
        </w:tc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25 min</w:t>
            </w:r>
          </w:p>
        </w:tc>
        <w:tc>
          <w:tcPr>
            <w:tcW w:type="dxa" w:w="4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SA≠SBM、七类风险、映射表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资本地图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SBM 计算</w:t>
            </w:r>
          </w:p>
        </w:tc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45 min</w:t>
            </w:r>
          </w:p>
        </w:tc>
        <w:tc>
          <w:tcPr>
            <w:tcW w:type="dxa" w:w="4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RW/WS、K_b/S_b、跨 bucket、相关性情景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完成官方例题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Curvature</w:t>
            </w:r>
          </w:p>
        </w:tc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35 min</w:t>
            </w:r>
          </w:p>
        </w:tc>
        <w:tc>
          <w:tcPr>
            <w:tcW w:type="dxa" w:w="4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Up/down full revaluation、Gamma 对比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解释差异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收尾</w:t>
            </w:r>
          </w:p>
        </w:tc>
        <w:tc>
          <w:tcPr>
            <w:tcW w:type="dxa" w:w="1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15 min</w:t>
            </w:r>
          </w:p>
        </w:tc>
        <w:tc>
          <w:tcPr>
            <w:tcW w:type="dxa" w:w="42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端到端流程、治理检查、快速测验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形成复习清单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10.2 课堂练习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单位题：模型 vega = 4,000,000 CNY per 1.00 volatility。若 implied volatility 上升 2 vol points，Vega P&amp;L 是多少？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辨析题：一个组合 Delta=0，是否可以说没有市场风险？至少列出四项剩余风险。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聚合题：Bucket A 有 WS₁=+20、WS₂=−15、ρ=25%；Bucket B 有 WS₃=+20；γ_AB=15%。计算 K_A、S_A、K_B、S_B 与 medium-scenario risk-class charge。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Curvature 题：V₀=100，监管线性预测 up/down 分别为 +10/−10；full revaluation 后价值变化为 +6/−14。计算 CVR⁺ 与 CVR⁻。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映射题：分别列出 corporate bond、equity call、5Y×5Y swaption 与 exotic option 可能进入的 SBM/DRC/RRAO 组成。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概念题：解释为什么 High correlation scenario 不必然产生最高 capital。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术语题：用一句话区分 daily Greek P&amp;L Explain 与 FRTB IMA PLA test。</w:t>
      </w:r>
    </w:p>
    <w:p>
      <w:pPr>
        <w:pStyle w:val="Heading2"/>
      </w:pPr>
      <w:r>
        <w:t>10.3 参考答案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2 vol points = 0.02，因此 P&amp;L = 4,000,000 × 0.02 = +80,000 CNY。若 vega 已按每 vol point 报告，则应直接乘 2，不能再乘 0.02。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不能。至少还有 Gamma、Vega、Theta、Rho/curve、basis、jump、liquidity、model 或 cross risk。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K_A=√[20²+15²+2×25%×20×(−15)]=√475≈21.79；S_A=5；K_B=S_B=20；K=√[475+400+2×15%×5×20]=√905≈30.08。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Up：CVR⁺=−[(+6)−(+10)]=4；Down：CVR⁻=−[(−14)−(−10)]=4。单因子 charge 为 4。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Corporate bond：GIRR Delta、CSR Delta、通常 DRC；equity call：Equity Delta/Vega/Curvature，视头寸另有 DRC；swaption：GIRR Delta/Vega/Curvature；exotic：相关 SBM，并检查 RRAO。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在 long-short hedge 组合中，相关性越低，对冲认可越少，资本可能越高；因此必须算 Low/Medium/High 并取最大。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Greek P&amp;L Explain 用敏感度分解日常损益；监管 PLA 比较 RTPL 与 HPL 的统计一致性，用于判断交易台 IMA 资格。</w:t>
      </w:r>
    </w:p>
    <w:p>
      <w:pPr>
        <w:pStyle w:val="Heading2"/>
      </w:pPr>
      <w:r>
        <w:t>10.4 二十个易错点速查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600"/>
        <w:gridCol w:w="3700"/>
        <w:gridCol w:w="506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#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易错表述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正确纠偏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Risk factor = sensitivity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前者是变量，后者是价值响应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2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Greeks→VaR→Stress→SBM 是固定流水线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管理路径与 SA 路径并行、共享定价基础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3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SA = SBM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SA 还包括 DRC 与 RRAO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4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Curvature 就是 Gamma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它是规定大冲击全重估并扣除 Delta 的增量损失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5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Vega 可直接用 desk 总数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需按单位、期限和监管网格转换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6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Volga = FRTB Curvature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一个是 vol 二阶导数，一个针对规定 Delta factors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7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Rho 是独立 FRTB risk class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通常映射到 GIRR Delta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8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同 bucket 可先直接净额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只有同一精确 risk factor 先净额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9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K_b = S_b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K_b 非负 charge；S_b 是带符号方向和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10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RW 是概率 / 预测波动率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它是监管校准的风险尺度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11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ρ、γ 是当期经验相关性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它们是规定监管参数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12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双重求和后还额外乘 2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k≠l 双重和已计两次；k&lt;l 才乘 2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13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1%、1 percentage point、1 bp 相同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三者必须分别定义和换算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14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VaR 是最大可能损失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VaR 是分位数门槛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15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ES 是最坏损失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ES 是超越分位数后的平均尾部损失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16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Residual 一定是模型错误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也可能来自数据、交易流、现金流和高阶项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17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Greek explain = 监管 PLA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PLA 比较 RTPL/HPL，并非 Greeks 加总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18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High correlation 一定最大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对冲组合可能 Low scenario 最大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19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Delta-neutral = risk-free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仍有非线性、波动率、时间和尾部风险</w:t>
            </w:r>
          </w:p>
        </w:tc>
      </w:tr>
      <w:tr>
        <w:tc>
          <w:tcPr>
            <w:tcW w:type="dxa" w:w="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20</w:t>
            </w:r>
          </w:p>
        </w:tc>
        <w:tc>
          <w:tcPr>
            <w:tcW w:type="dxa" w:w="3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Basel 参数可直接用于所有法域</w:t>
            </w:r>
          </w:p>
        </w:tc>
        <w:tc>
          <w:tcPr>
            <w:tcW w:type="dxa" w:w="50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5"/>
              </w:rPr>
              <w:t>实际以本地实施文本和有效日期为准</w:t>
            </w:r>
          </w:p>
        </w:tc>
      </w:tr>
    </w:tbl>
    <w:p>
      <w:pPr>
        <w:spacing w:after="40" w:before="0"/>
      </w:pP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课程收束  </w:t>
      </w:r>
      <w:r>
        <w:rPr>
          <w:rFonts w:ascii="Calibri" w:hAnsi="Calibri" w:eastAsia="Microsoft YaHei"/>
          <w:color w:val="1F2933"/>
        </w:rPr>
        <w:t>如果学员能用自己的话讲清 Risk factor → Sensitivity → Bucket → RW → WS → K_b → Cross-bucket → Correlation scenario → SBM，并能说明 Curvature 为何不等于 Gamma，本课程的核心目标即已实现。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授课应以概念链和单位约定为主线，而不是背参数表；计算题检验公式，辨析题检验边界，产品映射题检验迁移能力；易错点清单可直接作为课后复习与模型实施审查表。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176B70"/>
          <w:sz w:val="20"/>
        </w:rPr>
        <w:t>第 11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附录：公式速查、双语术语与监管来源</w:t>
      </w:r>
    </w:p>
    <w:p>
      <w:pPr>
        <w:spacing w:before="100" w:after="160" w:line="288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本章学习目标  </w:t>
      </w:r>
      <w:r>
        <w:rPr>
          <w:rFonts w:ascii="Calibri" w:hAnsi="Calibri" w:eastAsia="Microsoft YaHei"/>
          <w:color w:val="1F2933"/>
        </w:rPr>
        <w:t>完成本章后，你应能：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在一处查阅全套关键公式和符号。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统一中英文术语与报告口径。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定位 BCBS/BIS 的权威监管来源和适用边界。</w:t>
      </w:r>
    </w:p>
    <w:p>
      <w:pPr>
        <w:pStyle w:val="Heading2"/>
      </w:pPr>
      <w:r>
        <w:t>A.1 公式速查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公式 / 规则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Greeks P&amp;L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ΔV ≈ Delta·ΔS + ½Gamma(ΔS)² + Vega·Δσ + Rho·Δr + Theta·Δt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Net sensitivity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sₖ = Σᵢsᵢₖ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Weighted sensitivity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WSₖ = RWₖ·sₖ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Within-bucket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K_b = √max{0, ΣWSₖ² + ΣₖΣₗ≠ₖρₖₗWSₖWSₗ}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Bucket directional sum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S_b = Σₖ∈bWSₖ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Cross-bucket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K_RC = √[ΣK_b² + Σ_bΣ_c≠bγ_bcS_bS_c]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Alternative S_b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S_b^alt = max{−K_b, min(ΣWSₖ, K_b)}，仅在规定条件下启用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Vega sensitivity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sᵛₖ = vegaₖ·σₖ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Curvature up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CVRₖ⁺ = −Σᵢ[Vᵢ(k,+)−Vᵢ(0)−RWₖ^curv·sᵢₖ]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Curvature down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CVRₖ⁻ = −Σᵢ[Vᵢ(k,−)−Vᵢ(0)+RWₖ^curv·sᵢₖ]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SBM scenario max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K_SBM = max_q Σ_risk classes(K_Delta^q + K_Vega^q + K_Curvature^q)</w:t>
            </w:r>
          </w:p>
        </w:tc>
      </w:tr>
      <w:tr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Full SA</w:t>
            </w:r>
          </w:p>
        </w:tc>
        <w:tc>
          <w:tcPr>
            <w:tcW w:type="dxa" w:w="7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K_SA = K_SBM + K_DRC + K_RRAO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A.2 双语术语表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600"/>
        <w:gridCol w:w="2200"/>
        <w:gridCol w:w="45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English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中文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本文中的精确定义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Risk factor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风险因子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影响工具价值的规定市场变量坐标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Sensitivity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敏感度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工具价值对指定因子变化的货币响应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Bucket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风险桶 / 分组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按共同特征归组的一组风险因子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Risk weight (RW)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风险权重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监管校准的风险尺度或 curvature shock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Weighted sensitivity (WS)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加权敏感度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RW 与 net sensitivity 的乘积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Within-bucket aggregation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桶内聚合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用 ρ 聚合同一 bucket 的不同因子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Cross-bucket aggregation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桶间聚合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用 γ 聚合一个 risk class 内不同 buckets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Curvature risk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曲率风险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规定 up/down 冲击全重估后、扣除 Delta 的增量损失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P&amp;L Attribution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损益归因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把实际损益分解到风险来源与 residual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Expected Shortfall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预期损失 / 期望尾部损失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超过给定分位数后的平均尾部损失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Full revaluation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全量重估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在新市场情景下用定价模型重新计算价值</w:t>
            </w:r>
          </w:p>
        </w:tc>
      </w:tr>
      <w:tr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Reporting currency</w:t>
            </w:r>
          </w:p>
        </w:tc>
        <w:tc>
          <w:tcPr>
            <w:tcW w:type="dxa" w:w="2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报告货币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所有 sensitivities 与 capital 的统一货币口径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A.3 监管依据与延伸阅读</w:t>
      </w:r>
    </w:p>
    <w:p>
      <w:r>
        <w:rPr>
          <w:rFonts w:ascii="Calibri" w:hAnsi="Calibri" w:eastAsia="Microsoft YaHei"/>
        </w:rPr>
        <w:t>以下以 Basel Committee on Banking Supervision / Bank for International Settlements 的官方材料为监管基线。网页与标准可能更新；本讲义检索日期为 2026-08-15。</w:t>
      </w:r>
    </w:p>
    <w:p>
      <w:pPr>
        <w:numPr>
          <w:ilvl w:val="0"/>
          <w:numId w:val="10"/>
        </w:numPr>
        <w:spacing w:after="80"/>
      </w:pPr>
      <w:hyperlink r:id="rId12">
        <w:r>
          <w:rPr>
            <w:rFonts w:ascii="Calibri" w:hAnsi="Calibri" w:eastAsia="Microsoft YaHei"/>
            <w:color w:val="2E74B5"/>
            <w:u w:val="single"/>
          </w:rPr>
          <w:t>Basel Framework MAR20 — Standardised approach: general provisions and structure</w:t>
        </w:r>
      </w:hyperlink>
    </w:p>
    <w:p>
      <w:pPr>
        <w:numPr>
          <w:ilvl w:val="0"/>
          <w:numId w:val="10"/>
        </w:numPr>
        <w:spacing w:after="80"/>
      </w:pPr>
      <w:hyperlink r:id="rId13">
        <w:r>
          <w:rPr>
            <w:rFonts w:ascii="Calibri" w:hAnsi="Calibri" w:eastAsia="Microsoft YaHei"/>
            <w:color w:val="2E74B5"/>
            <w:u w:val="single"/>
          </w:rPr>
          <w:t>Basel Framework MAR21 — Standardised approach: sensitivities-based method</w:t>
        </w:r>
      </w:hyperlink>
    </w:p>
    <w:p>
      <w:pPr>
        <w:numPr>
          <w:ilvl w:val="0"/>
          <w:numId w:val="10"/>
        </w:numPr>
        <w:spacing w:after="80"/>
      </w:pPr>
      <w:hyperlink r:id="rId14">
        <w:r>
          <w:rPr>
            <w:rFonts w:ascii="Calibri" w:hAnsi="Calibri" w:eastAsia="Microsoft YaHei"/>
            <w:color w:val="2E74B5"/>
            <w:u w:val="single"/>
          </w:rPr>
          <w:t>Basel Framework MAR32 — IMA backtesting and P&amp;L attribution test requirements</w:t>
        </w:r>
      </w:hyperlink>
    </w:p>
    <w:p>
      <w:pPr>
        <w:numPr>
          <w:ilvl w:val="0"/>
          <w:numId w:val="10"/>
        </w:numPr>
        <w:spacing w:after="80"/>
      </w:pPr>
      <w:hyperlink r:id="rId15">
        <w:r>
          <w:rPr>
            <w:rFonts w:ascii="Calibri" w:hAnsi="Calibri" w:eastAsia="Microsoft YaHei"/>
            <w:color w:val="2E74B5"/>
            <w:u w:val="single"/>
          </w:rPr>
          <w:t>Basel Framework MAR33 — IMA capital requirements calculation</w:t>
        </w:r>
      </w:hyperlink>
    </w:p>
    <w:p>
      <w:pPr>
        <w:numPr>
          <w:ilvl w:val="0"/>
          <w:numId w:val="10"/>
        </w:numPr>
        <w:spacing w:after="80"/>
      </w:pPr>
      <w:hyperlink r:id="rId16">
        <w:r>
          <w:rPr>
            <w:rFonts w:ascii="Calibri" w:hAnsi="Calibri" w:eastAsia="Microsoft YaHei"/>
            <w:color w:val="2E74B5"/>
            <w:u w:val="single"/>
          </w:rPr>
          <w:t>BCBS (2019) Minimum capital requirements for market risk — corrected standard</w:t>
        </w:r>
      </w:hyperlink>
    </w:p>
    <w:p>
      <w:pPr>
        <w:numPr>
          <w:ilvl w:val="0"/>
          <w:numId w:val="10"/>
        </w:numPr>
        <w:spacing w:after="80"/>
      </w:pPr>
      <w:hyperlink r:id="rId17">
        <w:r>
          <w:rPr>
            <w:rFonts w:ascii="Calibri" w:hAnsi="Calibri" w:eastAsia="Microsoft YaHei"/>
            <w:color w:val="2E74B5"/>
            <w:u w:val="single"/>
          </w:rPr>
          <w:t>BCBS (2019) Explanatory note — includes worked SA examples</w:t>
        </w:r>
      </w:hyperlink>
    </w:p>
    <w:p>
      <w:pPr>
        <w:spacing w:before="100" w:after="160" w:line="288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最后提醒  </w:t>
      </w:r>
      <w:r>
        <w:rPr>
          <w:rFonts w:ascii="Calibri" w:hAnsi="Calibri" w:eastAsia="Microsoft YaHei"/>
          <w:color w:val="1F2933"/>
        </w:rPr>
        <w:t>本讲义强调原理、计算链与教学直觉，不复制各风险类别的完整参数表。进行生产或报送计算时，应锁定所在法域的有效规则版本，并对 risk weights、tenors、buckets、correlations、currency treatment 与产品适用性进行逐条验证。</w:t>
      </w:r>
    </w:p>
    <w:p>
      <w:pPr>
        <w:spacing w:before="100" w:after="160" w:line="288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章节小结  </w:t>
      </w:r>
      <w:r>
        <w:rPr>
          <w:rFonts w:ascii="Calibri" w:hAnsi="Calibri" w:eastAsia="Microsoft YaHei"/>
          <w:color w:val="1F2933"/>
        </w:rPr>
        <w:t>公式速查用于复习，不替代监管文本；术语、单位和报告口径必须跨模型、风险与资本系统一致；任何生产计算都应绑定规则版本、有效日期和法域实施要求。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>
        <w:t>1</w:t>
      </w:fldChar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7"/>
      </w:rPr>
      <w:t>教学用途 | 版本 2026.08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5B6573"/>
        <w:sz w:val="17"/>
      </w:rPr>
      <w:t>衍生品风险控制与 FRTB SA 教学讲义</w:t>
    </w:r>
    <w:r>
      <w:rPr>
        <w:rFonts w:ascii="Calibri" w:hAnsi="Calibri" w:eastAsia="Microsoft YaHei"/>
        <w:color w:val="5B6573"/>
        <w:sz w:val="17"/>
      </w:rPr>
      <w:tab/>
      <w:t>Greeks → Sensitivities-based Method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ctureTitle">
    <w:name w:val="Lecture Title"/>
    <w:pPr>
      <w:keepNext/>
      <w:spacing w:before="0" w:after="120" w:line="288" w:lineRule="auto"/>
    </w:pPr>
    <w:rPr>
      <w:rFonts w:ascii="Calibri" w:hAnsi="Calibri" w:eastAsia="Microsoft YaHei"/>
      <w:b/>
      <w:color w:val="0B2545"/>
      <w:sz w:val="60"/>
    </w:rPr>
  </w:style>
  <w:style w:type="paragraph" w:customStyle="1" w:styleId="LectureSubtitle">
    <w:name w:val="Lecture Subtitle"/>
    <w:pPr>
      <w:keepNext/>
      <w:spacing w:before="0" w:after="120" w:line="288" w:lineRule="auto"/>
    </w:pPr>
    <w:rPr>
      <w:rFonts w:ascii="Calibri" w:hAnsi="Calibri" w:eastAsia="Microsoft YaHei"/>
      <w:b w:val="0"/>
      <w:color w:val="1F4D78"/>
      <w:sz w:val="30"/>
    </w:rPr>
  </w:style>
  <w:style w:type="paragraph" w:customStyle="1" w:styleId="Kicker">
    <w:name w:val="Kicker"/>
    <w:pPr>
      <w:keepNext/>
      <w:spacing w:before="0" w:after="120" w:line="288" w:lineRule="auto"/>
    </w:pPr>
    <w:rPr>
      <w:rFonts w:ascii="Calibri" w:hAnsi="Calibri" w:eastAsia="Microsoft YaHei"/>
      <w:b/>
      <w:color w:val="176B70"/>
      <w:sz w:val="20"/>
    </w:rPr>
  </w:style>
  <w:style w:type="paragraph" w:customStyle="1" w:styleId="TableBody">
    <w:name w:val="Table Body"/>
    <w:pPr>
      <w:spacing w:before="0" w:after="120" w:line="276" w:lineRule="auto"/>
    </w:pPr>
    <w:rPr>
      <w:rFonts w:ascii="Calibri" w:hAnsi="Calibri" w:eastAsia="Microsoft YaHei"/>
      <w:b w:val="0"/>
      <w:color w:val="1F2933"/>
      <w:sz w:val="18"/>
    </w:rPr>
  </w:style>
  <w:style w:type="paragraph" w:customStyle="1" w:styleId="TableHeader">
    <w:name w:val="Table Header"/>
    <w:pPr>
      <w:spacing w:before="0" w:after="120" w:line="276" w:lineRule="auto"/>
    </w:pPr>
    <w:rPr>
      <w:rFonts w:ascii="Calibri" w:hAnsi="Calibri" w:eastAsia="Microsoft YaHei"/>
      <w:b/>
      <w:color w:val="0B2545"/>
      <w:sz w:val="18"/>
    </w:rPr>
  </w:style>
  <w:style w:type="paragraph" w:customStyle="1" w:styleId="Equation">
    <w:name w:val="Equation"/>
    <w:pPr>
      <w:spacing w:before="0" w:after="120" w:line="276" w:lineRule="auto"/>
    </w:pPr>
    <w:rPr>
      <w:rFonts w:ascii="Cambria Math" w:hAnsi="Cambria Math" w:eastAsia="Microsoft YaHei"/>
      <w:b w:val="0"/>
      <w:color w:val="0B2545"/>
      <w:sz w:val="21"/>
    </w:rPr>
  </w:style>
  <w:style w:type="paragraph" w:customStyle="1" w:styleId="SourceNote">
    <w:name w:val="Source Note"/>
    <w:pPr>
      <w:spacing w:before="0" w:after="120" w:line="288" w:lineRule="auto"/>
    </w:pPr>
    <w:rPr>
      <w:rFonts w:ascii="Calibri" w:hAnsi="Calibri" w:eastAsia="Microsoft YaHei"/>
      <w:b w:val="0"/>
      <w:color w:val="5B6573"/>
      <w:sz w:val="17"/>
    </w:rPr>
  </w:style>
  <w:style w:type="paragraph" w:customStyle="1" w:styleId="SmallMeta">
    <w:name w:val="Small Meta"/>
    <w:pPr>
      <w:spacing w:before="0" w:after="120" w:line="288" w:lineRule="auto"/>
    </w:pPr>
    <w:rPr>
      <w:rFonts w:ascii="Calibri" w:hAnsi="Calibri" w:eastAsia="Microsoft YaHei"/>
      <w:b w:val="0"/>
      <w:color w:val="5B657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bis.org/basel_framework/chapter/MAR/20.htm" TargetMode="External"/><Relationship Id="rId13" Type="http://schemas.openxmlformats.org/officeDocument/2006/relationships/hyperlink" Target="https://www.bis.org/basel_framework/chapter/MAR/21.htm" TargetMode="External"/><Relationship Id="rId14" Type="http://schemas.openxmlformats.org/officeDocument/2006/relationships/hyperlink" Target="https://www.bis.org/basel_framework/chapter/MAR/32.htm" TargetMode="External"/><Relationship Id="rId15" Type="http://schemas.openxmlformats.org/officeDocument/2006/relationships/hyperlink" Target="https://www.bis.org/basel_framework/chapter/MAR/33.htm" TargetMode="External"/><Relationship Id="rId16" Type="http://schemas.openxmlformats.org/officeDocument/2006/relationships/hyperlink" Target="https://www.bis.org/bcbs/publ/d457.pdf" TargetMode="External"/><Relationship Id="rId17" Type="http://schemas.openxmlformats.org/officeDocument/2006/relationships/hyperlink" Target="https://www.bis.org/bcbs/publ/d457_no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衍生品风险控制中的 Greeks 与 FRTB SA</dc:title>
  <dc:subject>从局部敏感度、P&amp;L Attribution 到 FRTB Sensitivities-based Method</dc:subject>
  <dc:creator>OpenAI Codex</dc:creator>
  <cp:keywords>Greeks, FRTB, SBM, Delta, Vega, Curvature, Market Risk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